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《关于发布森林禁火令的通告（征求意见稿）》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起草说明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市地处金衢盆地东缘，东、南、北三面环山，基本呈“五山一水三分田，一分交通居民点”格局，全市林地面积86万多亩，森林覆盖率50.89%，森林资源丰富。近年来，受极端天气增多、林内可燃物增加和强活力的经济社会活动等因素影响，森林火险等级居高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不下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国庆、冬至、春节、清明等时段历来是我市森林火灾高发、多发时期，人员流动大、野外用火增多，管控任务繁重</w:t>
      </w:r>
      <w:r>
        <w:rPr>
          <w:rFonts w:ascii="Times New Roman" w:hAnsi="Times New Roman" w:eastAsia="仿宋_GB2312"/>
          <w:sz w:val="32"/>
          <w:szCs w:val="32"/>
        </w:rPr>
        <w:t>。根据近几年的实践证明，颁布禁火令既可以切实提高人民群众的森林防火责任和意识，又为执法部门对违法犯罪行为的处置提供充分的法律依据，从而加大打击失火违法犯罪的力度，有效地控制森林火灾的发生，禁火令存在发布的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森林防火条例第二章第二十八条规定：“必要时，县级以上地方人民政府可以根据需要发布命令，严禁一切野外用火”和《浙江省森林消防条例》第三章第十五条规定：“遇高温、干旱、大风等高火险天气以及春节、清明、冬至等火灾高发时段，县级以上人民政府可以发布森林禁火令，规定禁火期和禁火区”等有关规定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有法律法规支撑</w:t>
      </w:r>
      <w:r>
        <w:rPr>
          <w:rFonts w:ascii="Times New Roman" w:hAnsi="Times New Roman" w:eastAsia="仿宋_GB2312"/>
          <w:sz w:val="32"/>
          <w:szCs w:val="32"/>
        </w:rPr>
        <w:t>发布禁火令。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我局认真研究了《中华人民共和国森林法》《中华人民共和国治安管理处罚法》《森林防火条例》《浙江省森林消防条例》等法律法规，结合我市实际，起草了《关于发布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森林</w:t>
      </w:r>
      <w:r>
        <w:rPr>
          <w:rFonts w:ascii="Times New Roman" w:hAnsi="Times New Roman" w:eastAsia="仿宋_GB2312"/>
          <w:sz w:val="32"/>
          <w:szCs w:val="32"/>
        </w:rPr>
        <w:t>禁火令的通告》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（征求意见稿），并征求了各相关部门及各涉林镇街意见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</w:t>
      </w:r>
      <w:r>
        <w:rPr>
          <w:rFonts w:ascii="Times New Roman" w:hAnsi="Times New Roman" w:eastAsia="黑体"/>
          <w:sz w:val="32"/>
          <w:szCs w:val="32"/>
        </w:rPr>
        <w:t>主要内容</w:t>
      </w:r>
    </w:p>
    <w:p>
      <w:r>
        <w:rPr>
          <w:rFonts w:ascii="Times New Roman" w:hAnsi="Times New Roman" w:eastAsia="仿宋_GB2312"/>
          <w:sz w:val="32"/>
          <w:szCs w:val="32"/>
        </w:rPr>
        <w:t>《禁火令》共分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八</w:t>
      </w:r>
      <w:r>
        <w:rPr>
          <w:rFonts w:ascii="Times New Roman" w:hAnsi="Times New Roman" w:eastAsia="仿宋_GB2312"/>
          <w:sz w:val="32"/>
          <w:szCs w:val="32"/>
        </w:rPr>
        <w:t>条，其中，第一条根据《浙江省森林消防条例》第十五条规定，结合我市实际规定了该《禁火令》的时间；第二条为禁火区域，全市林区内及距林地边缘100米范围内；第三条为具体禁火要求，根据《浙江省森林消防条例》第二十条规定，结合我市实际确定具体禁火行为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第四条规定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森林防火特别防护期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第五条明确高火险天气各相关责任单位及各镇街职责；</w:t>
      </w:r>
      <w:r>
        <w:rPr>
          <w:rFonts w:ascii="Times New Roman" w:hAnsi="Times New Roman" w:eastAsia="仿宋_GB2312"/>
          <w:sz w:val="32"/>
          <w:szCs w:val="32"/>
        </w:rPr>
        <w:t>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/>
          <w:sz w:val="32"/>
          <w:szCs w:val="32"/>
        </w:rPr>
        <w:t>条公布报警电话，便于早发现、早扑救；第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/>
          <w:sz w:val="32"/>
          <w:szCs w:val="32"/>
        </w:rPr>
        <w:t>条为责任追究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；第八条规定了通告实施日期。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3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2024-10-08T07:10:47Z</dcterms:created>
  <dc:creator>Administrator</dc:creator>
  <cp:lastModifiedBy>Administrator</cp:lastModifiedBy>
  <dcterms:modified xsi:type="dcterms:W3CDTF">2024-10-08T07:11:10Z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