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75" w:line="174" w:lineRule="auto"/>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关于公开征求《瓯海区文化旅游体育事业</w:t>
      </w:r>
    </w:p>
    <w:p>
      <w:pPr>
        <w:widowControl/>
        <w:spacing w:before="175" w:line="174" w:lineRule="auto"/>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发展扶持办法(征求意见稿)》意见的通知</w:t>
      </w:r>
    </w:p>
    <w:p>
      <w:pPr>
        <w:keepNext w:val="0"/>
        <w:keepLines w:val="0"/>
        <w:widowControl w:val="0"/>
        <w:suppressLineNumbers w:val="0"/>
        <w:spacing w:before="0" w:beforeAutospacing="0" w:after="0" w:afterAutospacing="0" w:line="576" w:lineRule="exact"/>
        <w:ind w:left="0" w:right="0" w:firstLine="640"/>
        <w:jc w:val="both"/>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为深入学习贯彻党的二十大报告中关于推进文化和旅游深度融合发展的重大决策部署，</w:t>
      </w:r>
      <w:r>
        <w:rPr>
          <w:rFonts w:hint="default" w:ascii="仿宋_GB2312" w:hAnsi="Times New Roman" w:eastAsia="仿宋_GB2312" w:cs="仿宋_GB2312"/>
          <w:kern w:val="0"/>
          <w:sz w:val="32"/>
          <w:szCs w:val="32"/>
          <w:lang w:val="en-US" w:eastAsia="zh-CN" w:bidi="ar"/>
          <w:woUserID w:val="1"/>
        </w:rPr>
        <w:t>加快实现瓯海区文旅体事业提质增效，促进我区文旅融合高质量发展</w:t>
      </w:r>
      <w:r>
        <w:rPr>
          <w:rFonts w:hint="default" w:ascii="仿宋_GB2312" w:eastAsia="仿宋_GB2312" w:cs="仿宋_GB2312"/>
          <w:kern w:val="0"/>
          <w:sz w:val="32"/>
          <w:szCs w:val="32"/>
          <w:lang w:eastAsia="zh-CN" w:bidi="ar"/>
          <w:woUserID w:val="1"/>
        </w:rPr>
        <w:t>，特制定</w:t>
      </w:r>
      <w:r>
        <w:rPr>
          <w:rFonts w:hint="eastAsia" w:ascii="仿宋_GB2312" w:hAnsi="仿宋_GB2312" w:cs="仿宋_GB2312"/>
          <w:color w:val="auto"/>
          <w:szCs w:val="32"/>
          <w:lang w:eastAsia="zh-CN"/>
        </w:rPr>
        <w:t>《瓯海区文化旅游体育事业发展扶持办法(征求意见稿)》</w:t>
      </w:r>
      <w:r>
        <w:rPr>
          <w:rFonts w:hint="default" w:ascii="仿宋_GB2312" w:hAnsi="仿宋_GB2312" w:cs="仿宋_GB2312"/>
          <w:color w:val="auto"/>
          <w:szCs w:val="32"/>
          <w:lang w:eastAsia="zh-CN"/>
          <w:woUserID w:val="1"/>
        </w:rPr>
        <w:t>。</w:t>
      </w:r>
      <w:bookmarkStart w:id="0" w:name="_GoBack"/>
      <w:bookmarkEnd w:id="0"/>
      <w:r>
        <w:rPr>
          <w:rFonts w:hint="eastAsia" w:ascii="仿宋_GB2312" w:hAnsi="仿宋_GB2312" w:cs="仿宋_GB2312"/>
          <w:color w:val="auto"/>
          <w:szCs w:val="32"/>
          <w:lang w:eastAsia="zh-CN"/>
        </w:rPr>
        <w:t>现</w:t>
      </w:r>
      <w:r>
        <w:rPr>
          <w:rFonts w:hint="default" w:ascii="仿宋_GB2312" w:hAnsi="仿宋_GB2312" w:cs="仿宋_GB2312"/>
          <w:color w:val="auto"/>
          <w:szCs w:val="32"/>
          <w:lang w:eastAsia="zh-CN"/>
          <w:woUserID w:val="1"/>
        </w:rPr>
        <w:t>将此稿予以公布，征求公众</w:t>
      </w:r>
      <w:r>
        <w:rPr>
          <w:rFonts w:hint="eastAsia" w:ascii="仿宋_GB2312" w:hAnsi="仿宋_GB2312" w:cs="仿宋_GB2312"/>
          <w:color w:val="auto"/>
          <w:szCs w:val="32"/>
          <w:lang w:eastAsia="zh-CN"/>
        </w:rPr>
        <w:t>意见。</w:t>
      </w:r>
    </w:p>
    <w:p>
      <w:pPr>
        <w:spacing w:line="576" w:lineRule="exact"/>
        <w:ind w:firstLine="640"/>
        <w:jc w:val="left"/>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如有意见和建议，请于2023年4月</w:t>
      </w:r>
      <w:r>
        <w:rPr>
          <w:rFonts w:hint="eastAsia" w:ascii="仿宋_GB2312" w:hAnsi="仿宋_GB2312" w:cs="仿宋_GB2312"/>
          <w:color w:val="auto"/>
          <w:szCs w:val="32"/>
          <w:lang w:val="en-US" w:eastAsia="zh-CN"/>
        </w:rPr>
        <w:t>21</w:t>
      </w:r>
      <w:r>
        <w:rPr>
          <w:rFonts w:hint="eastAsia" w:ascii="仿宋_GB2312" w:hAnsi="仿宋_GB2312" w:cs="仿宋_GB2312"/>
          <w:color w:val="auto"/>
          <w:szCs w:val="32"/>
          <w:lang w:eastAsia="zh-CN"/>
        </w:rPr>
        <w:t>日前通过留言提出，也可直接与温州市瓯海区市文化和广电旅游体育局联系。为保障所提供意见真实可信，请留下真实姓名和联系方式，以便核查。电话：0</w:t>
      </w:r>
      <w:r>
        <w:rPr>
          <w:rFonts w:hint="eastAsia" w:ascii="仿宋_GB2312" w:hAnsi="仿宋_GB2312" w:cs="仿宋_GB2312"/>
          <w:color w:val="auto"/>
          <w:szCs w:val="32"/>
          <w:lang w:val="en-US" w:eastAsia="zh-CN"/>
        </w:rPr>
        <w:t>577</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88531868。</w:t>
      </w:r>
    </w:p>
    <w:p>
      <w:pPr>
        <w:spacing w:line="576" w:lineRule="exact"/>
        <w:ind w:firstLine="640"/>
        <w:jc w:val="right"/>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　　温州市瓯海区文化</w:t>
      </w:r>
      <w:r>
        <w:rPr>
          <w:rFonts w:hint="default" w:ascii="仿宋_GB2312" w:hAnsi="仿宋_GB2312" w:cs="仿宋_GB2312"/>
          <w:color w:val="auto"/>
          <w:szCs w:val="32"/>
          <w:lang w:eastAsia="zh-CN"/>
          <w:woUserID w:val="1"/>
        </w:rPr>
        <w:t>和</w:t>
      </w:r>
      <w:r>
        <w:rPr>
          <w:rFonts w:hint="eastAsia" w:ascii="仿宋_GB2312" w:hAnsi="仿宋_GB2312" w:cs="仿宋_GB2312"/>
          <w:color w:val="auto"/>
          <w:szCs w:val="32"/>
          <w:lang w:eastAsia="zh-CN"/>
        </w:rPr>
        <w:t>广电旅游体育局</w:t>
      </w:r>
    </w:p>
    <w:p>
      <w:pPr>
        <w:spacing w:line="576" w:lineRule="exact"/>
        <w:ind w:firstLine="640"/>
        <w:jc w:val="right"/>
        <w:rPr>
          <w:rFonts w:hint="eastAsia" w:ascii="仿宋_GB2312" w:hAnsi="仿宋_GB2312" w:cs="仿宋_GB2312"/>
          <w:color w:val="auto"/>
          <w:szCs w:val="32"/>
          <w:lang w:eastAsia="zh-CN"/>
        </w:rPr>
      </w:pPr>
      <w:r>
        <w:rPr>
          <w:rFonts w:hint="eastAsia" w:ascii="仿宋_GB2312" w:hAnsi="仿宋_GB2312" w:cs="仿宋_GB2312"/>
          <w:color w:val="auto"/>
          <w:szCs w:val="32"/>
          <w:lang w:eastAsia="zh-CN"/>
        </w:rPr>
        <w:t>2023年</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lang w:eastAsia="zh-CN"/>
        </w:rPr>
        <w:t>月1</w:t>
      </w:r>
      <w:r>
        <w:rPr>
          <w:rFonts w:hint="eastAsia" w:ascii="仿宋_GB2312" w:hAnsi="仿宋_GB2312" w:cs="仿宋_GB2312"/>
          <w:color w:val="auto"/>
          <w:szCs w:val="32"/>
          <w:lang w:val="en-US" w:eastAsia="zh-CN"/>
        </w:rPr>
        <w:t>2</w:t>
      </w:r>
      <w:r>
        <w:rPr>
          <w:rFonts w:hint="eastAsia" w:ascii="仿宋_GB2312" w:hAnsi="仿宋_GB2312" w:cs="仿宋_GB2312"/>
          <w:color w:val="auto"/>
          <w:szCs w:val="32"/>
          <w:lang w:eastAsia="zh-CN"/>
        </w:rPr>
        <w:t>日</w:t>
      </w:r>
    </w:p>
    <w:p>
      <w:pPr>
        <w:spacing w:line="560" w:lineRule="exact"/>
        <w:jc w:val="both"/>
        <w:rPr>
          <w:rFonts w:hint="eastAsia" w:ascii="方正小标宋简体" w:hAnsi="方正小标宋简体" w:eastAsia="方正小标宋简体" w:cs="方正小标宋简体"/>
          <w:sz w:val="44"/>
          <w:szCs w:val="44"/>
        </w:rPr>
      </w:pPr>
    </w:p>
    <w:p>
      <w:pPr>
        <w:widowControl/>
        <w:spacing w:before="175" w:line="174" w:lineRule="auto"/>
        <w:jc w:val="center"/>
        <w:rPr>
          <w:rFonts w:hint="eastAsia" w:ascii="方正小标宋简体" w:hAnsi="方正小标宋简体" w:eastAsia="方正小标宋简体" w:cs="方正小标宋简体"/>
          <w:color w:val="auto"/>
          <w:spacing w:val="-7"/>
          <w:sz w:val="44"/>
          <w:szCs w:val="44"/>
        </w:rPr>
      </w:pPr>
      <w:r>
        <w:rPr>
          <w:rFonts w:hint="eastAsia" w:ascii="方正小标宋简体" w:hAnsi="方正小标宋简体" w:eastAsia="方正小标宋简体" w:cs="方正小标宋简体"/>
          <w:color w:val="auto"/>
          <w:spacing w:val="-7"/>
          <w:sz w:val="44"/>
          <w:szCs w:val="44"/>
        </w:rPr>
        <w:t>瓯海区文化旅游体育事业发展扶持办法</w:t>
      </w:r>
    </w:p>
    <w:p>
      <w:pPr>
        <w:spacing w:before="229" w:line="220" w:lineRule="auto"/>
        <w:ind w:left="3617" w:right="0"/>
        <w:jc w:val="both"/>
        <w:rPr>
          <w:rFonts w:ascii="方正小标宋简体" w:hAnsi="方正小标宋简体" w:eastAsia="方正小标宋简体" w:cs="方正小标宋简体"/>
          <w:color w:val="auto"/>
          <w:sz w:val="44"/>
          <w:szCs w:val="44"/>
        </w:rPr>
      </w:pPr>
      <w:r>
        <w:rPr>
          <w:rFonts w:ascii="楷体" w:hAnsi="楷体" w:eastAsia="楷体" w:cs="楷体"/>
          <w:color w:val="auto"/>
          <w:spacing w:val="21"/>
          <w:sz w:val="31"/>
          <w:szCs w:val="31"/>
        </w:rPr>
        <w:t>(</w:t>
      </w:r>
      <w:r>
        <w:rPr>
          <w:rFonts w:hint="eastAsia" w:ascii="楷体" w:hAnsi="楷体" w:eastAsia="楷体" w:cs="楷体"/>
          <w:color w:val="auto"/>
          <w:spacing w:val="21"/>
          <w:sz w:val="31"/>
          <w:szCs w:val="31"/>
          <w:lang w:eastAsia="zh-CN"/>
        </w:rPr>
        <w:t>征求意见</w:t>
      </w:r>
      <w:r>
        <w:rPr>
          <w:rFonts w:ascii="楷体" w:hAnsi="楷体" w:eastAsia="楷体" w:cs="楷体"/>
          <w:color w:val="auto"/>
          <w:spacing w:val="20"/>
          <w:sz w:val="31"/>
          <w:szCs w:val="31"/>
        </w:rPr>
        <w:t>稿)</w:t>
      </w:r>
    </w:p>
    <w:p>
      <w:pPr>
        <w:spacing w:line="576" w:lineRule="exact"/>
        <w:ind w:firstLine="640"/>
        <w:jc w:val="left"/>
        <w:rPr>
          <w:rFonts w:cs="仿宋_GB2312"/>
          <w:color w:val="auto"/>
          <w:szCs w:val="32"/>
        </w:rPr>
      </w:pPr>
      <w:r>
        <w:rPr>
          <w:rFonts w:hint="eastAsia" w:ascii="黑体" w:hAnsi="黑体" w:eastAsia="黑体" w:cs="黑体"/>
          <w:color w:val="auto"/>
          <w:szCs w:val="32"/>
        </w:rPr>
        <w:t>一、大力保护利用文化遗产资源</w:t>
      </w:r>
    </w:p>
    <w:p>
      <w:pPr>
        <w:spacing w:line="576" w:lineRule="exact"/>
        <w:ind w:firstLine="640"/>
        <w:jc w:val="left"/>
        <w:rPr>
          <w:rFonts w:hint="default" w:eastAsia="仿宋_GB2312" w:cs="仿宋_GB2312"/>
          <w:color w:val="auto"/>
          <w:szCs w:val="32"/>
          <w:lang w:val="en-US" w:eastAsia="zh-CN"/>
        </w:rPr>
      </w:pPr>
      <w:r>
        <w:rPr>
          <w:rFonts w:hint="eastAsia" w:ascii="楷体_GB2312" w:hAnsi="楷体_GB2312" w:eastAsia="楷体_GB2312" w:cs="楷体_GB2312"/>
          <w:color w:val="auto"/>
          <w:szCs w:val="32"/>
        </w:rPr>
        <w:t>（一）鼓励“非遗”传承发展。</w:t>
      </w:r>
      <w:r>
        <w:rPr>
          <w:rFonts w:hint="eastAsia" w:ascii="仿宋_GB2312" w:hAnsi="仿宋_GB2312" w:cs="仿宋_GB2312"/>
          <w:color w:val="auto"/>
          <w:szCs w:val="32"/>
        </w:rPr>
        <w:t>对获评国家</w:t>
      </w:r>
      <w:r>
        <w:rPr>
          <w:rFonts w:hint="eastAsia" w:ascii="仿宋_GB2312" w:hAnsi="仿宋_GB2312" w:cs="仿宋_GB2312"/>
          <w:color w:val="auto"/>
          <w:szCs w:val="32"/>
          <w:lang w:eastAsia="zh-CN"/>
        </w:rPr>
        <w:t>级</w:t>
      </w:r>
      <w:r>
        <w:rPr>
          <w:rFonts w:hint="eastAsia" w:ascii="仿宋_GB2312" w:hAnsi="仿宋_GB2312" w:cs="仿宋_GB2312"/>
          <w:color w:val="auto"/>
          <w:szCs w:val="32"/>
        </w:rPr>
        <w:t>、省级“非遗”传承人的，分别给予一次性5万元、3万元</w:t>
      </w:r>
      <w:r>
        <w:rPr>
          <w:rFonts w:hint="eastAsia" w:ascii="仿宋_GB2312" w:hAnsi="仿宋_GB2312" w:cs="仿宋_GB2312"/>
          <w:color w:val="auto"/>
          <w:szCs w:val="32"/>
          <w:lang w:eastAsia="zh-CN"/>
        </w:rPr>
        <w:t>经费</w:t>
      </w:r>
      <w:r>
        <w:rPr>
          <w:rFonts w:hint="eastAsia" w:ascii="仿宋_GB2312" w:hAnsi="仿宋_GB2312" w:cs="仿宋_GB2312"/>
          <w:color w:val="auto"/>
          <w:szCs w:val="32"/>
        </w:rPr>
        <w:t>补助。每年由主管部门对各类“非遗”基地（包括非遗百家坊、非遗工坊等）进行评估，被评为区级优秀基地的，给予2万元的经费补助，每年不超过5个</w:t>
      </w:r>
      <w:r>
        <w:rPr>
          <w:rFonts w:hint="eastAsia" w:ascii="仿宋_GB2312" w:hAnsi="仿宋_GB2312" w:cs="仿宋_GB2312"/>
          <w:color w:val="auto"/>
          <w:szCs w:val="32"/>
          <w:lang w:val="en-US" w:eastAsia="zh-CN"/>
        </w:rPr>
        <w:t>。</w:t>
      </w:r>
    </w:p>
    <w:p>
      <w:pPr>
        <w:spacing w:line="576" w:lineRule="exact"/>
        <w:ind w:firstLine="640"/>
        <w:jc w:val="left"/>
        <w:rPr>
          <w:rFonts w:hint="eastAsia" w:ascii="仿宋_GB2312" w:hAnsi="仿宋_GB2312" w:cs="仿宋_GB2312"/>
          <w:color w:val="auto"/>
          <w:szCs w:val="32"/>
        </w:rPr>
      </w:pPr>
      <w:r>
        <w:rPr>
          <w:rFonts w:hint="eastAsia" w:ascii="楷体_GB2312" w:hAnsi="楷体_GB2312" w:eastAsia="楷体_GB2312" w:cs="楷体_GB2312"/>
          <w:color w:val="auto"/>
          <w:szCs w:val="32"/>
          <w:lang w:val="en-US" w:eastAsia="zh-CN"/>
        </w:rPr>
        <w:t>（二）鼓励乡村博物馆建设。</w:t>
      </w:r>
      <w:r>
        <w:rPr>
          <w:rFonts w:hint="eastAsia" w:ascii="仿宋_GB2312" w:hAnsi="仿宋_GB2312" w:cs="仿宋_GB2312"/>
          <w:color w:val="auto"/>
          <w:szCs w:val="32"/>
        </w:rPr>
        <w:t>利用文物建筑建设乡村博物馆的，按照国家文物局《文物建筑开放导则（试行）》要求并经市级以上验收通过，可给予一次性50万元建设补助。建成省级乡村博物馆的，验收通过后可给予一次性3万元建设补助；建成市级乡村博物馆的，验收通过后可给予一次性2万元建设补助。</w:t>
      </w:r>
    </w:p>
    <w:p>
      <w:pPr>
        <w:spacing w:line="576" w:lineRule="exact"/>
        <w:ind w:firstLine="640"/>
        <w:jc w:val="left"/>
        <w:rPr>
          <w:rFonts w:hint="eastAsia" w:ascii="仿宋_GB2312" w:hAnsi="仿宋_GB2312" w:cs="仿宋_GB2312"/>
          <w:color w:val="auto"/>
          <w:szCs w:val="32"/>
          <w:lang w:val="en-US" w:eastAsia="zh-CN"/>
        </w:rPr>
      </w:pPr>
      <w:r>
        <w:rPr>
          <w:rFonts w:hint="eastAsia" w:ascii="楷体_GB2312" w:hAnsi="楷体_GB2312" w:eastAsia="楷体_GB2312" w:cs="楷体_GB2312"/>
          <w:color w:val="auto"/>
          <w:szCs w:val="32"/>
          <w:lang w:eastAsia="zh-CN"/>
        </w:rPr>
        <w:t>（三）</w:t>
      </w:r>
      <w:r>
        <w:rPr>
          <w:rFonts w:hint="eastAsia" w:ascii="楷体_GB2312" w:hAnsi="楷体_GB2312" w:eastAsia="楷体_GB2312" w:cs="楷体_GB2312"/>
          <w:color w:val="auto"/>
          <w:szCs w:val="32"/>
        </w:rPr>
        <w:t>鼓励推动文旅人才设立留瓯工作室</w:t>
      </w:r>
      <w:r>
        <w:rPr>
          <w:rFonts w:hint="eastAsia" w:cs="仿宋_GB2312"/>
          <w:color w:val="auto"/>
          <w:szCs w:val="32"/>
          <w:lang w:val="en-US" w:eastAsia="zh-CN"/>
        </w:rPr>
        <w:t>。</w:t>
      </w:r>
      <w:r>
        <w:rPr>
          <w:rFonts w:hint="eastAsia" w:ascii="仿宋_GB2312" w:hAnsi="仿宋_GB2312" w:cs="仿宋_GB2312"/>
          <w:color w:val="auto"/>
          <w:szCs w:val="32"/>
          <w:lang w:val="en-US" w:eastAsia="zh-CN"/>
        </w:rPr>
        <w:t>社会力量引进领衔人为中宣部、文化旅游部、享受国务院政府特殊津贴、曾获得过</w:t>
      </w:r>
      <w:r>
        <w:rPr>
          <w:rFonts w:hint="eastAsia" w:ascii="仿宋_GB2312" w:hAnsi="仿宋_GB2312" w:cs="仿宋_GB2312"/>
          <w:color w:val="auto"/>
          <w:szCs w:val="32"/>
        </w:rPr>
        <w:t>全国精神文明建设“五个一工程”奖单项奖、中国文化艺术政府奖，以及中国文联</w:t>
      </w:r>
      <w:r>
        <w:rPr>
          <w:rFonts w:hint="eastAsia" w:ascii="仿宋_GB2312" w:hAnsi="仿宋_GB2312" w:cs="仿宋_GB2312"/>
          <w:color w:val="auto"/>
          <w:szCs w:val="32"/>
          <w:lang w:eastAsia="zh-CN"/>
        </w:rPr>
        <w:t>、中国作协</w:t>
      </w:r>
      <w:r>
        <w:rPr>
          <w:rFonts w:hint="eastAsia" w:ascii="仿宋_GB2312" w:hAnsi="仿宋_GB2312" w:cs="仿宋_GB2312"/>
          <w:color w:val="auto"/>
          <w:szCs w:val="32"/>
        </w:rPr>
        <w:t>常设性文艺规范奖项（含中国戏剧奖、中国电影金鸡奖、大众电影百花奖、中国音乐金钟奖、</w:t>
      </w:r>
      <w:r>
        <w:rPr>
          <w:rFonts w:hint="eastAsia" w:ascii="仿宋_GB2312" w:hAnsi="仿宋_GB2312" w:cs="仿宋_GB2312"/>
          <w:color w:val="auto"/>
          <w:szCs w:val="32"/>
          <w:lang w:eastAsia="zh-CN"/>
        </w:rPr>
        <w:t>中国美术家协会主办的</w:t>
      </w:r>
      <w:r>
        <w:rPr>
          <w:rFonts w:hint="eastAsia" w:ascii="仿宋_GB2312" w:hAnsi="仿宋_GB2312" w:cs="仿宋_GB2312"/>
          <w:color w:val="auto"/>
          <w:szCs w:val="32"/>
        </w:rPr>
        <w:t>美术</w:t>
      </w:r>
      <w:r>
        <w:rPr>
          <w:rFonts w:hint="eastAsia" w:ascii="仿宋_GB2312" w:hAnsi="仿宋_GB2312" w:cs="仿宋_GB2312"/>
          <w:color w:val="auto"/>
          <w:szCs w:val="32"/>
          <w:lang w:eastAsia="zh-CN"/>
        </w:rPr>
        <w:t>展览提名</w:t>
      </w:r>
      <w:r>
        <w:rPr>
          <w:rFonts w:hint="eastAsia" w:ascii="仿宋_GB2312" w:hAnsi="仿宋_GB2312" w:cs="仿宋_GB2312"/>
          <w:color w:val="auto"/>
          <w:szCs w:val="32"/>
        </w:rPr>
        <w:t>奖、中国曲艺牡丹奖、中国舞蹈荷花奖、中国民间文艺山花奖、中国摄影金像奖、中国书法兰亭奖、中国电视金鹰奖、茅盾文学奖、鲁迅文学奖等</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的文化人才、国家级非物质文化遗产项目代表性传承人（符合一项即可）及经一事一议研究认定在特定文旅领域内具有一定造诣和社会影响力等其他专业人才，在瓯海建立温州地区唯一的工作站、工作室，组织公益性活动，发挥辐射带动作用，全年开放时间达120天以上，领衔人在工作室时间不少于60天，经签署服务协议奖励举办方经费为20万元，以三年为一个扶持管理周期，第一年给予拨付50%（10万元）的扶持经费，此后两年的扶持经费经考核合格后按每年25%（5万元）的比例给予拨付。全年组织公益活动（含专题讲座、艺术沙龙、研讨会等），每场达100人按3000元/场的标准给予补助，每场达50人按1500元/场的标准给予补助，全年活动补助不超过10万元。</w:t>
      </w:r>
      <w:r>
        <w:rPr>
          <w:rFonts w:hint="eastAsia" w:ascii="仿宋_GB2312" w:hAnsi="仿宋_GB2312" w:cs="仿宋_GB2312"/>
          <w:color w:val="auto"/>
          <w:szCs w:val="32"/>
        </w:rPr>
        <w:t>以上项目需经主管部门评估认定后予以补助。</w:t>
      </w:r>
    </w:p>
    <w:p>
      <w:pPr>
        <w:spacing w:line="576" w:lineRule="exact"/>
        <w:ind w:firstLine="640"/>
        <w:jc w:val="left"/>
        <w:rPr>
          <w:rFonts w:cs="仿宋_GB2312"/>
          <w:color w:val="auto"/>
          <w:szCs w:val="32"/>
        </w:rPr>
      </w:pP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四</w:t>
      </w:r>
      <w:r>
        <w:rPr>
          <w:rFonts w:hint="eastAsia" w:ascii="楷体_GB2312" w:hAnsi="楷体_GB2312" w:eastAsia="楷体_GB2312" w:cs="楷体_GB2312"/>
          <w:color w:val="auto"/>
          <w:szCs w:val="32"/>
        </w:rPr>
        <w:t>）鼓励非国有博物馆（乡村博物馆）参与国家博物馆等级评定。</w:t>
      </w:r>
      <w:r>
        <w:rPr>
          <w:rFonts w:hint="eastAsia" w:ascii="仿宋_GB2312" w:hAnsi="仿宋_GB2312" w:cs="仿宋_GB2312"/>
          <w:color w:val="auto"/>
          <w:szCs w:val="32"/>
        </w:rPr>
        <w:t>对非国有博物馆（乡村博物馆）参与申报国家博物馆等级被评估为国家</w:t>
      </w:r>
      <w:r>
        <w:rPr>
          <w:rFonts w:hint="eastAsia" w:ascii="仿宋_GB2312" w:hAnsi="仿宋_GB2312" w:cs="仿宋_GB2312"/>
          <w:color w:val="auto"/>
          <w:szCs w:val="32"/>
          <w:lang w:val="en-US" w:eastAsia="zh-CN"/>
        </w:rPr>
        <w:t>一</w:t>
      </w:r>
      <w:r>
        <w:rPr>
          <w:rFonts w:hint="eastAsia" w:ascii="仿宋_GB2312" w:hAnsi="仿宋_GB2312" w:cs="仿宋_GB2312"/>
          <w:color w:val="auto"/>
          <w:szCs w:val="32"/>
        </w:rPr>
        <w:t>级、二级和</w:t>
      </w:r>
      <w:r>
        <w:rPr>
          <w:rFonts w:hint="eastAsia" w:ascii="仿宋_GB2312" w:hAnsi="仿宋_GB2312" w:cs="仿宋_GB2312"/>
          <w:color w:val="auto"/>
          <w:szCs w:val="32"/>
          <w:lang w:val="en-US" w:eastAsia="zh-CN"/>
        </w:rPr>
        <w:t>三</w:t>
      </w:r>
      <w:r>
        <w:rPr>
          <w:rFonts w:hint="eastAsia" w:ascii="仿宋_GB2312" w:hAnsi="仿宋_GB2312" w:cs="仿宋_GB2312"/>
          <w:color w:val="auto"/>
          <w:szCs w:val="32"/>
        </w:rPr>
        <w:t>级博物馆，分别给予一次性奖励</w:t>
      </w:r>
      <w:r>
        <w:rPr>
          <w:rFonts w:hint="eastAsia" w:ascii="仿宋_GB2312" w:hAnsi="仿宋_GB2312" w:cs="仿宋_GB2312"/>
          <w:color w:val="auto"/>
          <w:szCs w:val="32"/>
          <w:lang w:val="en-US" w:eastAsia="zh-CN"/>
        </w:rPr>
        <w:t>3</w:t>
      </w:r>
      <w:r>
        <w:rPr>
          <w:rFonts w:hint="eastAsia" w:ascii="仿宋_GB2312" w:hAnsi="仿宋_GB2312" w:cs="仿宋_GB2312"/>
          <w:color w:val="auto"/>
          <w:szCs w:val="32"/>
        </w:rPr>
        <w:t>00万元、200万元和</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rPr>
        <w:t>00万元。如初定后升级，可参照对应等级补助标准</w:t>
      </w:r>
      <w:r>
        <w:rPr>
          <w:rFonts w:hint="eastAsia" w:ascii="仿宋_GB2312" w:hAnsi="仿宋_GB2312" w:cs="仿宋_GB2312"/>
          <w:color w:val="auto"/>
          <w:szCs w:val="32"/>
          <w:lang w:eastAsia="zh-CN"/>
        </w:rPr>
        <w:t>补差额</w:t>
      </w:r>
      <w:r>
        <w:rPr>
          <w:rFonts w:hint="eastAsia" w:ascii="仿宋_GB2312" w:hAnsi="仿宋_GB2312" w:cs="仿宋_GB2312"/>
          <w:color w:val="auto"/>
          <w:szCs w:val="32"/>
        </w:rPr>
        <w:t>。</w:t>
      </w:r>
    </w:p>
    <w:p>
      <w:pPr>
        <w:spacing w:line="576" w:lineRule="exact"/>
        <w:ind w:firstLine="640"/>
        <w:jc w:val="left"/>
        <w:rPr>
          <w:rFonts w:hint="eastAsia" w:ascii="仿宋_GB2312" w:hAnsi="仿宋_GB2312" w:cs="仿宋_GB2312"/>
          <w:color w:val="auto"/>
          <w:szCs w:val="32"/>
        </w:rPr>
      </w:pP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五</w:t>
      </w: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highlight w:val="none"/>
        </w:rPr>
        <w:t>鼓励非国有博物馆（乡村博物馆）开展专题展览与社会教育活动</w:t>
      </w:r>
      <w:r>
        <w:rPr>
          <w:rFonts w:hint="eastAsia" w:ascii="楷体_GB2312" w:hAnsi="楷体_GB2312" w:eastAsia="楷体_GB2312" w:cs="楷体_GB2312"/>
          <w:color w:val="auto"/>
          <w:szCs w:val="32"/>
        </w:rPr>
        <w:t>。</w:t>
      </w:r>
      <w:r>
        <w:rPr>
          <w:rFonts w:hint="eastAsia" w:ascii="仿宋_GB2312" w:hAnsi="仿宋_GB2312" w:cs="仿宋_GB2312"/>
          <w:color w:val="auto"/>
          <w:szCs w:val="32"/>
        </w:rPr>
        <w:t>组织专题展览成系列展品50件（组）以上，参观人次达1万以上、开放展期1个月以上，按3万元/场次给予补助，全年不超过10万元的补助；全年组织社会教育活动（含专题讲座、艺术沙龙、研讨会等），每场达50人，按1500元/场的标准给予补助，全年不超过5万元。实施以上补助办法的展览与活动须经区文物主管部门审核备案，否则不予补助。全年免费开放时间达240天以上（塘河非国有博物馆群展馆开放时间根据协议要求须不少于300天），按陈列展览面积每年给予50元/平方米补助，最高补助金额不超过10万元。</w:t>
      </w:r>
    </w:p>
    <w:p>
      <w:pPr>
        <w:spacing w:line="576" w:lineRule="exact"/>
        <w:ind w:firstLine="640"/>
        <w:jc w:val="left"/>
        <w:rPr>
          <w:rFonts w:hint="eastAsia" w:ascii="仿宋_GB2312" w:hAnsi="仿宋_GB2312" w:eastAsia="黑体" w:cs="仿宋_GB2312"/>
          <w:color w:val="auto"/>
          <w:szCs w:val="32"/>
          <w:lang w:eastAsia="zh-CN"/>
        </w:rPr>
      </w:pPr>
      <w:r>
        <w:rPr>
          <w:rFonts w:hint="eastAsia" w:ascii="黑体" w:hAnsi="黑体" w:eastAsia="黑体" w:cs="黑体"/>
          <w:color w:val="auto"/>
          <w:szCs w:val="32"/>
        </w:rPr>
        <w:t>二、大力加强旅游</w:t>
      </w:r>
      <w:r>
        <w:rPr>
          <w:rFonts w:hint="eastAsia" w:ascii="黑体" w:hAnsi="黑体" w:eastAsia="黑体" w:cs="黑体"/>
          <w:color w:val="auto"/>
          <w:szCs w:val="32"/>
          <w:lang w:eastAsia="zh-CN"/>
        </w:rPr>
        <w:t>品牌创建</w:t>
      </w:r>
    </w:p>
    <w:p>
      <w:pPr>
        <w:spacing w:line="576" w:lineRule="exact"/>
        <w:ind w:firstLine="640"/>
        <w:jc w:val="left"/>
        <w:rPr>
          <w:rFonts w:hint="eastAsia" w:ascii="仿宋_GB2312" w:hAnsi="仿宋_GB2312" w:cs="仿宋_GB2312"/>
          <w:color w:val="auto"/>
          <w:szCs w:val="32"/>
        </w:rPr>
      </w:pP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六</w:t>
      </w:r>
      <w:r>
        <w:rPr>
          <w:rFonts w:hint="eastAsia" w:ascii="楷体_GB2312" w:hAnsi="楷体_GB2312" w:eastAsia="楷体_GB2312" w:cs="楷体_GB2312"/>
          <w:color w:val="auto"/>
          <w:szCs w:val="32"/>
        </w:rPr>
        <w:t>）鼓励景区镇（街道）创建。</w:t>
      </w:r>
      <w:r>
        <w:rPr>
          <w:rFonts w:hint="eastAsia" w:ascii="仿宋_GB2312" w:hAnsi="仿宋_GB2312" w:cs="仿宋_GB2312"/>
          <w:color w:val="auto"/>
          <w:szCs w:val="32"/>
        </w:rPr>
        <w:t>自主申报并创成AAAAA、AAAA级景区镇（街道）的，分别一次性奖励200万元、100万元；在景区城创建范围内，配合开展景区城创建工作的，同步提升为AAAAA、AAAA级景区镇（街道）的，分别一次性奖励50万元、30万元；创成国家级旅游重点镇的，一次性奖励200万元。</w:t>
      </w:r>
    </w:p>
    <w:p>
      <w:pPr>
        <w:spacing w:line="576" w:lineRule="exact"/>
        <w:ind w:firstLine="640"/>
        <w:jc w:val="left"/>
        <w:rPr>
          <w:rFonts w:ascii="黑体" w:hAnsi="黑体" w:eastAsia="黑体" w:cs="黑体"/>
          <w:color w:val="auto"/>
          <w:szCs w:val="32"/>
        </w:rPr>
      </w:pPr>
      <w:r>
        <w:rPr>
          <w:rFonts w:hint="eastAsia" w:ascii="黑体" w:hAnsi="黑体" w:eastAsia="黑体" w:cs="黑体"/>
          <w:color w:val="auto"/>
          <w:szCs w:val="32"/>
        </w:rPr>
        <w:t>三、大力加强公共文化服务</w:t>
      </w:r>
    </w:p>
    <w:p>
      <w:pPr>
        <w:spacing w:line="576" w:lineRule="exact"/>
        <w:ind w:firstLine="640"/>
        <w:jc w:val="left"/>
        <w:rPr>
          <w:rFonts w:hint="eastAsia" w:ascii="仿宋_GB2312" w:hAnsi="仿宋_GB2312" w:cs="仿宋_GB2312"/>
          <w:color w:val="auto"/>
          <w:szCs w:val="32"/>
        </w:rPr>
      </w:pP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七</w:t>
      </w:r>
      <w:r>
        <w:rPr>
          <w:rFonts w:hint="eastAsia" w:ascii="楷体_GB2312" w:hAnsi="楷体_GB2312" w:eastAsia="楷体_GB2312" w:cs="楷体_GB2312"/>
          <w:color w:val="auto"/>
          <w:szCs w:val="32"/>
        </w:rPr>
        <w:t>）推进文化强镇、</w:t>
      </w:r>
      <w:r>
        <w:rPr>
          <w:rFonts w:hint="eastAsia" w:ascii="楷体_GB2312" w:hAnsi="楷体_GB2312" w:eastAsia="楷体_GB2312" w:cs="楷体_GB2312"/>
          <w:color w:val="auto"/>
          <w:szCs w:val="32"/>
          <w:lang w:eastAsia="zh-CN"/>
        </w:rPr>
        <w:t>文艺特色镇街（村社）</w:t>
      </w:r>
      <w:r>
        <w:rPr>
          <w:rFonts w:hint="eastAsia" w:ascii="楷体_GB2312" w:hAnsi="楷体_GB2312" w:eastAsia="楷体_GB2312" w:cs="楷体_GB2312"/>
          <w:color w:val="auto"/>
          <w:szCs w:val="32"/>
        </w:rPr>
        <w:t>、文化示范村（社区）、文化类基地建设</w:t>
      </w:r>
      <w:r>
        <w:rPr>
          <w:rFonts w:hint="eastAsia" w:cs="仿宋_GB2312"/>
          <w:color w:val="auto"/>
          <w:szCs w:val="32"/>
        </w:rPr>
        <w:t>。</w:t>
      </w:r>
      <w:r>
        <w:rPr>
          <w:rFonts w:hint="eastAsia" w:ascii="仿宋_GB2312" w:hAnsi="仿宋_GB2312" w:cs="仿宋_GB2312"/>
          <w:color w:val="auto"/>
          <w:szCs w:val="32"/>
        </w:rPr>
        <w:t>被评为省级文化强镇的街道（镇）给予</w:t>
      </w:r>
      <w:r>
        <w:rPr>
          <w:rFonts w:hint="default" w:ascii="仿宋_GB2312" w:hAnsi="仿宋_GB2312" w:cs="仿宋_GB2312"/>
          <w:color w:val="auto"/>
          <w:szCs w:val="32"/>
        </w:rPr>
        <w:t>30</w:t>
      </w:r>
      <w:r>
        <w:rPr>
          <w:rFonts w:hint="eastAsia" w:ascii="仿宋_GB2312" w:hAnsi="仿宋_GB2312" w:cs="仿宋_GB2312"/>
          <w:color w:val="auto"/>
          <w:szCs w:val="32"/>
        </w:rPr>
        <w:t>万元奖励；被评为国家级、省级文艺特色镇街</w:t>
      </w:r>
      <w:r>
        <w:rPr>
          <w:rFonts w:hint="eastAsia" w:ascii="仿宋_GB2312" w:hAnsi="仿宋_GB2312" w:cs="仿宋_GB2312"/>
          <w:color w:val="auto"/>
          <w:szCs w:val="32"/>
          <w:lang w:eastAsia="zh-CN"/>
        </w:rPr>
        <w:t>（</w:t>
      </w:r>
      <w:r>
        <w:rPr>
          <w:rFonts w:hint="eastAsia" w:ascii="仿宋_GB2312" w:hAnsi="仿宋_GB2312" w:cs="仿宋_GB2312"/>
          <w:color w:val="auto"/>
          <w:szCs w:val="32"/>
        </w:rPr>
        <w:t>村社</w:t>
      </w:r>
      <w:r>
        <w:rPr>
          <w:rFonts w:hint="eastAsia" w:ascii="仿宋_GB2312" w:hAnsi="仿宋_GB2312" w:cs="仿宋_GB2312"/>
          <w:color w:val="auto"/>
          <w:szCs w:val="32"/>
          <w:lang w:eastAsia="zh-CN"/>
        </w:rPr>
        <w:t>）的镇街（村社）</w:t>
      </w:r>
      <w:r>
        <w:rPr>
          <w:rFonts w:hint="eastAsia" w:ascii="仿宋_GB2312" w:hAnsi="仿宋_GB2312" w:cs="仿宋_GB2312"/>
          <w:color w:val="auto"/>
          <w:szCs w:val="32"/>
        </w:rPr>
        <w:t>分别给予</w:t>
      </w:r>
      <w:r>
        <w:rPr>
          <w:rFonts w:hint="default" w:ascii="仿宋_GB2312" w:hAnsi="仿宋_GB2312" w:cs="仿宋_GB2312"/>
          <w:color w:val="auto"/>
          <w:szCs w:val="32"/>
        </w:rPr>
        <w:t>30</w:t>
      </w:r>
      <w:r>
        <w:rPr>
          <w:rFonts w:hint="eastAsia" w:ascii="仿宋_GB2312" w:hAnsi="仿宋_GB2312" w:cs="仿宋_GB2312"/>
          <w:color w:val="auto"/>
          <w:szCs w:val="32"/>
        </w:rPr>
        <w:t>万元、</w:t>
      </w:r>
      <w:r>
        <w:rPr>
          <w:rFonts w:hint="default" w:ascii="仿宋_GB2312" w:hAnsi="仿宋_GB2312" w:cs="仿宋_GB2312"/>
          <w:color w:val="auto"/>
          <w:szCs w:val="32"/>
        </w:rPr>
        <w:t>10</w:t>
      </w:r>
      <w:r>
        <w:rPr>
          <w:rFonts w:hint="eastAsia" w:ascii="仿宋_GB2312" w:hAnsi="仿宋_GB2312" w:cs="仿宋_GB2312"/>
          <w:color w:val="auto"/>
          <w:szCs w:val="32"/>
        </w:rPr>
        <w:t>万元奖励；被评为国家级、省级文化示范村（社区）的村（社区）分别给予50万、10万元奖励；被命名为省级、市级文化类基地的单位（企业）分别给予10万元、5万元奖励。</w:t>
      </w:r>
    </w:p>
    <w:p>
      <w:pPr>
        <w:spacing w:line="576" w:lineRule="exact"/>
        <w:ind w:firstLine="640"/>
        <w:jc w:val="left"/>
        <w:rPr>
          <w:rFonts w:hint="eastAsia" w:ascii="仿宋_GB2312" w:hAnsi="仿宋_GB2312" w:cs="仿宋_GB2312"/>
          <w:color w:val="auto"/>
          <w:szCs w:val="32"/>
        </w:rPr>
      </w:pP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八</w:t>
      </w:r>
      <w:r>
        <w:rPr>
          <w:rFonts w:hint="eastAsia" w:ascii="楷体_GB2312" w:hAnsi="楷体_GB2312" w:eastAsia="楷体_GB2312" w:cs="楷体_GB2312"/>
          <w:color w:val="auto"/>
          <w:szCs w:val="32"/>
        </w:rPr>
        <w:t>）加强综合文化站建设。</w:t>
      </w:r>
      <w:r>
        <w:rPr>
          <w:rFonts w:hint="eastAsia" w:ascii="仿宋_GB2312" w:hAnsi="仿宋_GB2312" w:cs="仿宋_GB2312"/>
          <w:color w:val="auto"/>
          <w:szCs w:val="32"/>
        </w:rPr>
        <w:t>对于设施符合建设配置标准的综合文化站，建成验收后分别给予补助：1.独立新建的综合文化站，按照第三方审定价格的50%给予补助，最高不超过50万元；合作新建的综合文化站，按照第三方审定价格的50%给予补助，最高不超过10万元</w:t>
      </w:r>
      <w:r>
        <w:rPr>
          <w:rFonts w:hint="eastAsia" w:ascii="仿宋_GB2312" w:hAnsi="仿宋_GB2312" w:cs="仿宋_GB2312"/>
          <w:color w:val="auto"/>
          <w:szCs w:val="32"/>
          <w:lang w:eastAsia="zh-CN"/>
        </w:rPr>
        <w:t>；</w:t>
      </w:r>
      <w:r>
        <w:rPr>
          <w:rFonts w:hint="eastAsia" w:ascii="仿宋_GB2312" w:hAnsi="仿宋_GB2312" w:cs="仿宋_GB2312"/>
          <w:color w:val="auto"/>
          <w:szCs w:val="32"/>
        </w:rPr>
        <w:t>2.改建提升的综合文化站，按照第三方审定价格的50%给予补助，最高不超过30万元。</w:t>
      </w:r>
    </w:p>
    <w:p>
      <w:pPr>
        <w:spacing w:line="576" w:lineRule="exact"/>
        <w:ind w:firstLine="640"/>
        <w:jc w:val="left"/>
        <w:rPr>
          <w:rFonts w:hint="eastAsia" w:ascii="仿宋_GB2312" w:hAnsi="仿宋_GB2312" w:eastAsia="仿宋_GB2312" w:cs="仿宋_GB2312"/>
          <w:color w:val="auto"/>
          <w:szCs w:val="32"/>
          <w:lang w:eastAsia="zh-CN"/>
        </w:rPr>
      </w:pPr>
      <w:r>
        <w:rPr>
          <w:rFonts w:hint="eastAsia" w:ascii="楷体_GB2312" w:hAnsi="楷体_GB2312" w:eastAsia="楷体_GB2312" w:cs="楷体_GB2312"/>
          <w:color w:val="auto"/>
          <w:szCs w:val="32"/>
          <w:highlight w:val="none"/>
        </w:rPr>
        <w:t>（</w:t>
      </w:r>
      <w:r>
        <w:rPr>
          <w:rFonts w:hint="eastAsia" w:ascii="楷体_GB2312" w:hAnsi="楷体_GB2312" w:eastAsia="楷体_GB2312" w:cs="楷体_GB2312"/>
          <w:color w:val="auto"/>
          <w:szCs w:val="32"/>
          <w:highlight w:val="none"/>
          <w:lang w:eastAsia="zh-CN"/>
        </w:rPr>
        <w:t>九</w:t>
      </w:r>
      <w:r>
        <w:rPr>
          <w:rFonts w:hint="eastAsia" w:ascii="楷体_GB2312" w:hAnsi="楷体_GB2312" w:eastAsia="楷体_GB2312" w:cs="楷体_GB2312"/>
          <w:color w:val="auto"/>
          <w:szCs w:val="32"/>
          <w:highlight w:val="none"/>
        </w:rPr>
        <w:t>）加强百姓书屋、文化驿站、“15分钟品质文化生活圈”建设。</w:t>
      </w:r>
      <w:r>
        <w:rPr>
          <w:rFonts w:hint="eastAsia" w:ascii="仿宋_GB2312" w:hAnsi="仿宋_GB2312" w:cs="仿宋_GB2312"/>
          <w:color w:val="auto"/>
          <w:szCs w:val="32"/>
        </w:rPr>
        <w:t>加强百姓书屋品牌创建，每年度根据开放时间、维护、安全、服务效能、读者满意度等对百姓书屋开展星级评定，按照评定等级，分别给予五星、四星、三星级的百姓书屋3万元、2万元、1万元奖励；加强文化驿站建设，文化驿站各站点每年度被评为区</w:t>
      </w:r>
      <w:r>
        <w:rPr>
          <w:rFonts w:hint="eastAsia" w:ascii="仿宋_GB2312" w:hAnsi="仿宋_GB2312" w:cs="仿宋_GB2312"/>
          <w:color w:val="auto"/>
          <w:szCs w:val="32"/>
          <w:lang w:val="en-US" w:eastAsia="zh-CN"/>
        </w:rPr>
        <w:t>五</w:t>
      </w:r>
      <w:r>
        <w:rPr>
          <w:rFonts w:hint="eastAsia" w:ascii="仿宋_GB2312" w:hAnsi="仿宋_GB2312" w:cs="仿宋_GB2312"/>
          <w:color w:val="auto"/>
          <w:szCs w:val="32"/>
        </w:rPr>
        <w:t>星、四星、</w:t>
      </w:r>
      <w:r>
        <w:rPr>
          <w:rFonts w:hint="eastAsia" w:ascii="仿宋_GB2312" w:hAnsi="仿宋_GB2312" w:cs="仿宋_GB2312"/>
          <w:color w:val="auto"/>
          <w:szCs w:val="32"/>
          <w:lang w:val="en-US" w:eastAsia="zh-CN"/>
        </w:rPr>
        <w:t>三</w:t>
      </w:r>
      <w:r>
        <w:rPr>
          <w:rFonts w:hint="eastAsia" w:ascii="仿宋_GB2312" w:hAnsi="仿宋_GB2312" w:cs="仿宋_GB2312"/>
          <w:color w:val="auto"/>
          <w:szCs w:val="32"/>
        </w:rPr>
        <w:t>星站点的分别给予</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rPr>
        <w:t>万元、3万元、</w:t>
      </w:r>
      <w:r>
        <w:rPr>
          <w:rFonts w:hint="eastAsia" w:ascii="仿宋_GB2312" w:hAnsi="仿宋_GB2312" w:cs="仿宋_GB2312"/>
          <w:color w:val="auto"/>
          <w:szCs w:val="32"/>
          <w:lang w:val="en-US" w:eastAsia="zh-CN"/>
        </w:rPr>
        <w:t>2</w:t>
      </w:r>
      <w:r>
        <w:rPr>
          <w:rFonts w:hint="eastAsia" w:ascii="仿宋_GB2312" w:hAnsi="仿宋_GB2312" w:cs="仿宋_GB2312"/>
          <w:color w:val="auto"/>
          <w:szCs w:val="32"/>
        </w:rPr>
        <w:t>万元奖励；建设“15分钟品质文化生活圈”区级示范点，每年度被评为五星级、四星级、三星级“15分钟品质文化生活圈”的，分别给予</w:t>
      </w:r>
      <w:r>
        <w:rPr>
          <w:rFonts w:hint="eastAsia" w:ascii="仿宋_GB2312" w:hAnsi="仿宋_GB2312" w:cs="仿宋_GB2312"/>
          <w:color w:val="auto"/>
          <w:szCs w:val="32"/>
          <w:lang w:val="en-US" w:eastAsia="zh-CN"/>
        </w:rPr>
        <w:t>3</w:t>
      </w:r>
      <w:r>
        <w:rPr>
          <w:rFonts w:hint="eastAsia" w:ascii="仿宋_GB2312" w:hAnsi="仿宋_GB2312" w:cs="仿宋_GB2312"/>
          <w:color w:val="auto"/>
          <w:szCs w:val="32"/>
        </w:rPr>
        <w:t>万元、</w:t>
      </w:r>
      <w:r>
        <w:rPr>
          <w:rFonts w:hint="eastAsia" w:ascii="仿宋_GB2312" w:hAnsi="仿宋_GB2312" w:cs="仿宋_GB2312"/>
          <w:color w:val="auto"/>
          <w:szCs w:val="32"/>
          <w:lang w:val="en-US" w:eastAsia="zh-CN"/>
        </w:rPr>
        <w:t>2</w:t>
      </w:r>
      <w:r>
        <w:rPr>
          <w:rFonts w:hint="eastAsia" w:ascii="仿宋_GB2312" w:hAnsi="仿宋_GB2312" w:cs="仿宋_GB2312"/>
          <w:color w:val="auto"/>
          <w:szCs w:val="32"/>
        </w:rPr>
        <w:t>万元、</w:t>
      </w:r>
      <w:r>
        <w:rPr>
          <w:rFonts w:hint="eastAsia" w:ascii="仿宋_GB2312" w:hAnsi="仿宋_GB2312" w:cs="仿宋_GB2312"/>
          <w:color w:val="auto"/>
          <w:szCs w:val="32"/>
          <w:lang w:val="en-US" w:eastAsia="zh-CN"/>
        </w:rPr>
        <w:t>1</w:t>
      </w:r>
      <w:r>
        <w:rPr>
          <w:rFonts w:hint="eastAsia" w:ascii="仿宋_GB2312" w:hAnsi="仿宋_GB2312" w:cs="仿宋_GB2312"/>
          <w:color w:val="auto"/>
          <w:szCs w:val="32"/>
        </w:rPr>
        <w:t>万元奖励。</w:t>
      </w:r>
    </w:p>
    <w:p>
      <w:pPr>
        <w:spacing w:line="576" w:lineRule="exact"/>
        <w:ind w:firstLine="640"/>
        <w:jc w:val="left"/>
        <w:rPr>
          <w:rFonts w:hint="default" w:eastAsia="仿宋_GB2312" w:cs="仿宋_GB2312"/>
          <w:color w:val="auto"/>
          <w:szCs w:val="32"/>
          <w:lang w:val="en-US" w:eastAsia="zh-CN"/>
        </w:rPr>
      </w:pPr>
      <w:r>
        <w:rPr>
          <w:rFonts w:hint="eastAsia" w:ascii="楷体_GB2312" w:hAnsi="楷体_GB2312" w:eastAsia="楷体_GB2312" w:cs="楷体_GB2312"/>
          <w:color w:val="auto"/>
          <w:szCs w:val="32"/>
        </w:rPr>
        <w:t>（</w:t>
      </w:r>
      <w:r>
        <w:rPr>
          <w:rFonts w:hint="eastAsia" w:ascii="楷体_GB2312" w:hAnsi="楷体_GB2312" w:eastAsia="楷体_GB2312" w:cs="楷体_GB2312"/>
          <w:color w:val="auto"/>
          <w:szCs w:val="32"/>
          <w:lang w:eastAsia="zh-CN"/>
        </w:rPr>
        <w:t>十</w:t>
      </w:r>
      <w:r>
        <w:rPr>
          <w:rFonts w:hint="eastAsia" w:ascii="楷体_GB2312" w:hAnsi="楷体_GB2312" w:eastAsia="楷体_GB2312" w:cs="楷体_GB2312"/>
          <w:color w:val="auto"/>
          <w:szCs w:val="32"/>
        </w:rPr>
        <w:t>）推进城市公共文化服务新空间建设。</w:t>
      </w:r>
      <w:r>
        <w:rPr>
          <w:rFonts w:hint="eastAsia" w:ascii="仿宋_GB2312" w:hAnsi="仿宋_GB2312" w:cs="仿宋_GB2312"/>
          <w:color w:val="auto"/>
          <w:szCs w:val="32"/>
        </w:rPr>
        <w:t>新建的城市公共文化服务新空间场所面积达300平方米以上，有书房书屋、文化驿站、文化展示厅、休闲空间、文创产品等融为一体的综合空间，内部功能要达3个以上，每周免费开放时间不少于48小时，按新建城市公共文化服务新空间规模分档，一档1000平米（含）以上，按最终审价投入额的20%比例给予一次性基本建设补助，补助资金最高不超过60万元；二档500平米（含）以上，按最终审价投入额的15%比例给予一次性基本建设补助，补助资金最高不超过30万元；三档300平米（含）以上，按最终审价投入额的10%比例给予一次性基本建设补助，补助资金最高不超过10万元。</w:t>
      </w:r>
      <w:r>
        <w:rPr>
          <w:rFonts w:hint="eastAsia" w:ascii="仿宋_GB2312" w:hAnsi="仿宋_GB2312" w:cs="仿宋_GB2312"/>
          <w:color w:val="auto"/>
          <w:szCs w:val="32"/>
          <w:lang w:eastAsia="zh-CN"/>
        </w:rPr>
        <w:t>鼓励社会力量参与国有公共文化场所按照相关规定对外招租运营进行市场化运作，每年</w:t>
      </w:r>
      <w:r>
        <w:rPr>
          <w:rFonts w:hint="eastAsia" w:ascii="仿宋_GB2312" w:hAnsi="仿宋_GB2312" w:cs="仿宋_GB2312"/>
          <w:color w:val="auto"/>
          <w:szCs w:val="32"/>
          <w:lang w:val="en-US" w:eastAsia="zh-CN"/>
        </w:rPr>
        <w:t>经主管部门评估认可后，每年给予最高不超过15万元的奖励。</w:t>
      </w:r>
    </w:p>
    <w:p>
      <w:pPr>
        <w:spacing w:line="576" w:lineRule="exact"/>
        <w:ind w:firstLine="640"/>
        <w:jc w:val="left"/>
        <w:rPr>
          <w:rFonts w:ascii="黑体" w:hAnsi="黑体" w:eastAsia="黑体" w:cs="黑体"/>
          <w:color w:val="auto"/>
          <w:szCs w:val="32"/>
        </w:rPr>
      </w:pPr>
      <w:r>
        <w:rPr>
          <w:rFonts w:hint="eastAsia" w:ascii="黑体" w:hAnsi="黑体" w:eastAsia="黑体" w:cs="黑体"/>
          <w:color w:val="auto"/>
          <w:szCs w:val="32"/>
        </w:rPr>
        <w:t>四、大力扶持体育事业发展</w:t>
      </w:r>
    </w:p>
    <w:p>
      <w:pPr>
        <w:spacing w:line="576" w:lineRule="exact"/>
        <w:ind w:firstLine="640"/>
        <w:jc w:val="left"/>
        <w:rPr>
          <w:rFonts w:hint="eastAsia" w:ascii="仿宋_GB2312" w:hAnsi="仿宋_GB2312" w:eastAsia="仿宋_GB2312" w:cs="仿宋_GB2312"/>
          <w:color w:val="auto"/>
          <w:szCs w:val="32"/>
          <w:highlight w:val="yellow"/>
          <w:lang w:eastAsia="zh-CN"/>
        </w:rPr>
      </w:pPr>
      <w:r>
        <w:rPr>
          <w:rFonts w:hint="eastAsia" w:ascii="楷体_GB2312" w:hAnsi="楷体_GB2312" w:eastAsia="楷体_GB2312" w:cs="楷体_GB2312"/>
          <w:color w:val="auto"/>
          <w:szCs w:val="32"/>
        </w:rPr>
        <w:t>（十</w:t>
      </w:r>
      <w:r>
        <w:rPr>
          <w:rFonts w:hint="eastAsia" w:ascii="楷体_GB2312" w:hAnsi="楷体_GB2312" w:eastAsia="楷体_GB2312" w:cs="楷体_GB2312"/>
          <w:color w:val="auto"/>
          <w:szCs w:val="32"/>
          <w:lang w:eastAsia="zh-CN"/>
        </w:rPr>
        <w:t>一</w:t>
      </w:r>
      <w:r>
        <w:rPr>
          <w:rFonts w:hint="eastAsia" w:ascii="楷体_GB2312" w:hAnsi="楷体_GB2312" w:eastAsia="楷体_GB2312" w:cs="楷体_GB2312"/>
          <w:color w:val="auto"/>
          <w:szCs w:val="32"/>
        </w:rPr>
        <w:t>）提升百姓健身房运营品质发展。</w:t>
      </w:r>
      <w:r>
        <w:rPr>
          <w:rFonts w:hint="eastAsia" w:ascii="仿宋_GB2312" w:hAnsi="仿宋_GB2312" w:eastAsia="仿宋_GB2312" w:cs="仿宋_GB2312"/>
          <w:color w:val="auto"/>
          <w:szCs w:val="32"/>
          <w:lang w:val="en-US" w:eastAsia="zh-CN"/>
        </w:rPr>
        <w:t>对</w:t>
      </w:r>
      <w:r>
        <w:rPr>
          <w:rFonts w:hint="eastAsia" w:ascii="仿宋_GB2312" w:hAnsi="仿宋_GB2312" w:cs="仿宋_GB2312"/>
          <w:color w:val="auto"/>
          <w:szCs w:val="32"/>
        </w:rPr>
        <w:t>每年度被新评为温州市</w:t>
      </w:r>
      <w:r>
        <w:rPr>
          <w:rFonts w:hint="eastAsia" w:ascii="仿宋_GB2312" w:hAnsi="仿宋_GB2312" w:cs="仿宋_GB2312"/>
          <w:color w:val="auto"/>
          <w:szCs w:val="32"/>
          <w:lang w:val="en-US" w:eastAsia="zh-CN"/>
        </w:rPr>
        <w:t>五</w:t>
      </w:r>
      <w:r>
        <w:rPr>
          <w:rFonts w:hint="eastAsia" w:ascii="仿宋_GB2312" w:hAnsi="仿宋_GB2312" w:cs="仿宋_GB2312"/>
          <w:color w:val="auto"/>
          <w:szCs w:val="32"/>
        </w:rPr>
        <w:t>星、四星、</w:t>
      </w:r>
      <w:r>
        <w:rPr>
          <w:rFonts w:hint="eastAsia" w:ascii="仿宋_GB2312" w:hAnsi="仿宋_GB2312" w:cs="仿宋_GB2312"/>
          <w:color w:val="auto"/>
          <w:szCs w:val="32"/>
          <w:lang w:val="en-US" w:eastAsia="zh-CN"/>
        </w:rPr>
        <w:t>三</w:t>
      </w:r>
      <w:r>
        <w:rPr>
          <w:rFonts w:hint="eastAsia" w:ascii="仿宋_GB2312" w:hAnsi="仿宋_GB2312" w:cs="仿宋_GB2312"/>
          <w:color w:val="auto"/>
          <w:szCs w:val="32"/>
        </w:rPr>
        <w:t>星的百姓健身房</w:t>
      </w:r>
      <w:r>
        <w:rPr>
          <w:rFonts w:hint="eastAsia" w:ascii="仿宋_GB2312" w:hAnsi="仿宋_GB2312" w:cs="仿宋_GB2312"/>
          <w:color w:val="auto"/>
          <w:szCs w:val="32"/>
          <w:lang w:eastAsia="zh-CN"/>
        </w:rPr>
        <w:t>，</w:t>
      </w:r>
      <w:r>
        <w:rPr>
          <w:rFonts w:hint="eastAsia" w:ascii="仿宋_GB2312" w:hAnsi="仿宋_GB2312" w:cs="仿宋_GB2312"/>
          <w:color w:val="auto"/>
          <w:szCs w:val="32"/>
        </w:rPr>
        <w:t>分别给予</w:t>
      </w:r>
      <w:r>
        <w:rPr>
          <w:rFonts w:hint="eastAsia" w:ascii="仿宋_GB2312" w:hAnsi="仿宋_GB2312" w:cs="仿宋_GB2312"/>
          <w:color w:val="auto"/>
          <w:szCs w:val="32"/>
          <w:lang w:val="en-US" w:eastAsia="zh-CN"/>
        </w:rPr>
        <w:t>10000</w:t>
      </w:r>
      <w:r>
        <w:rPr>
          <w:rFonts w:hint="eastAsia" w:ascii="仿宋_GB2312" w:hAnsi="仿宋_GB2312" w:cs="仿宋_GB2312"/>
          <w:color w:val="auto"/>
          <w:szCs w:val="32"/>
        </w:rPr>
        <w:t>元、</w:t>
      </w:r>
      <w:r>
        <w:rPr>
          <w:rFonts w:hint="eastAsia" w:ascii="仿宋_GB2312" w:hAnsi="仿宋_GB2312" w:cs="仿宋_GB2312"/>
          <w:color w:val="auto"/>
          <w:szCs w:val="32"/>
          <w:lang w:val="en-US" w:eastAsia="zh-CN"/>
        </w:rPr>
        <w:t>8000</w:t>
      </w:r>
      <w:r>
        <w:rPr>
          <w:rFonts w:hint="eastAsia" w:ascii="仿宋_GB2312" w:hAnsi="仿宋_GB2312" w:cs="仿宋_GB2312"/>
          <w:color w:val="auto"/>
          <w:szCs w:val="32"/>
        </w:rPr>
        <w:t>元、</w:t>
      </w:r>
      <w:r>
        <w:rPr>
          <w:rFonts w:hint="eastAsia" w:ascii="仿宋_GB2312" w:hAnsi="仿宋_GB2312" w:cs="仿宋_GB2312"/>
          <w:color w:val="auto"/>
          <w:szCs w:val="32"/>
          <w:lang w:val="en-US" w:eastAsia="zh-CN"/>
        </w:rPr>
        <w:t>6000</w:t>
      </w:r>
      <w:r>
        <w:rPr>
          <w:rFonts w:hint="eastAsia" w:ascii="仿宋_GB2312" w:hAnsi="仿宋_GB2312" w:cs="仿宋_GB2312"/>
          <w:color w:val="auto"/>
          <w:szCs w:val="32"/>
        </w:rPr>
        <w:t>元的运营奖励。</w:t>
      </w:r>
    </w:p>
    <w:p>
      <w:pPr>
        <w:spacing w:line="576" w:lineRule="exact"/>
        <w:ind w:firstLine="640"/>
        <w:jc w:val="left"/>
        <w:rPr>
          <w:rFonts w:hint="eastAsia" w:ascii="仿宋_GB2312" w:hAnsi="仿宋_GB2312" w:eastAsia="仿宋_GB2312" w:cs="仿宋_GB2312"/>
          <w:color w:val="auto"/>
          <w:szCs w:val="32"/>
          <w:lang w:eastAsia="zh-CN"/>
        </w:rPr>
      </w:pPr>
      <w:r>
        <w:rPr>
          <w:rFonts w:hint="default" w:ascii="楷体_GB2312" w:hAnsi="楷体_GB2312" w:eastAsia="楷体_GB2312" w:cs="楷体_GB2312"/>
          <w:color w:val="auto"/>
          <w:szCs w:val="32"/>
        </w:rPr>
        <w:t>（十</w:t>
      </w:r>
      <w:r>
        <w:rPr>
          <w:rFonts w:hint="eastAsia" w:ascii="楷体_GB2312" w:hAnsi="楷体_GB2312" w:eastAsia="楷体_GB2312" w:cs="楷体_GB2312"/>
          <w:color w:val="auto"/>
          <w:szCs w:val="32"/>
          <w:lang w:eastAsia="zh-CN"/>
        </w:rPr>
        <w:t>二</w:t>
      </w:r>
      <w:r>
        <w:rPr>
          <w:rFonts w:hint="default" w:ascii="楷体_GB2312" w:hAnsi="楷体_GB2312" w:eastAsia="楷体_GB2312" w:cs="楷体_GB2312"/>
          <w:color w:val="auto"/>
          <w:szCs w:val="32"/>
        </w:rPr>
        <w:t>）加强体育项目基地、训练机构发展。</w:t>
      </w:r>
      <w:r>
        <w:rPr>
          <w:rFonts w:hint="default" w:ascii="仿宋_GB2312" w:hAnsi="仿宋_GB2312" w:eastAsia="仿宋_GB2312" w:cs="仿宋_GB2312"/>
          <w:color w:val="auto"/>
          <w:szCs w:val="32"/>
          <w:lang w:val="en-US" w:eastAsia="zh-CN"/>
        </w:rPr>
        <w:t>对</w:t>
      </w:r>
      <w:r>
        <w:rPr>
          <w:rFonts w:hint="eastAsia" w:ascii="仿宋_GB2312" w:hAnsi="仿宋_GB2312" w:cs="仿宋_GB2312"/>
          <w:color w:val="auto"/>
          <w:szCs w:val="32"/>
        </w:rPr>
        <w:t>获得省、市</w:t>
      </w:r>
      <w:r>
        <w:rPr>
          <w:rFonts w:hint="eastAsia" w:ascii="仿宋_GB2312" w:hAnsi="仿宋_GB2312" w:cs="仿宋_GB2312"/>
          <w:color w:val="auto"/>
          <w:szCs w:val="32"/>
          <w:lang w:val="en-US" w:eastAsia="zh-CN"/>
        </w:rPr>
        <w:t>级</w:t>
      </w:r>
      <w:r>
        <w:rPr>
          <w:rFonts w:hint="eastAsia" w:ascii="仿宋_GB2312" w:hAnsi="仿宋_GB2312" w:cs="仿宋_GB2312"/>
          <w:color w:val="auto"/>
          <w:szCs w:val="32"/>
        </w:rPr>
        <w:t>阳光体育后备人才基地和非奥运项目基地，</w:t>
      </w:r>
      <w:r>
        <w:rPr>
          <w:rFonts w:hint="eastAsia" w:ascii="仿宋_GB2312" w:hAnsi="仿宋_GB2312" w:cs="仿宋_GB2312"/>
          <w:color w:val="auto"/>
          <w:szCs w:val="32"/>
          <w:lang w:val="en-US" w:eastAsia="zh-CN"/>
        </w:rPr>
        <w:t>分别</w:t>
      </w:r>
      <w:r>
        <w:rPr>
          <w:rFonts w:hint="eastAsia" w:ascii="仿宋_GB2312" w:hAnsi="仿宋_GB2312" w:cs="仿宋_GB2312"/>
          <w:color w:val="auto"/>
          <w:szCs w:val="32"/>
        </w:rPr>
        <w:t>一次性奖励3万</w:t>
      </w:r>
      <w:r>
        <w:rPr>
          <w:rFonts w:hint="eastAsia" w:ascii="仿宋_GB2312" w:hAnsi="仿宋_GB2312" w:cs="仿宋_GB2312"/>
          <w:color w:val="auto"/>
          <w:szCs w:val="32"/>
          <w:lang w:val="en-US" w:eastAsia="zh-CN"/>
        </w:rPr>
        <w:t>元</w:t>
      </w:r>
      <w:r>
        <w:rPr>
          <w:rFonts w:hint="eastAsia" w:ascii="仿宋_GB2312" w:hAnsi="仿宋_GB2312" w:cs="仿宋_GB2312"/>
          <w:color w:val="auto"/>
          <w:szCs w:val="32"/>
        </w:rPr>
        <w:t>、1.5万</w:t>
      </w:r>
      <w:r>
        <w:rPr>
          <w:rFonts w:hint="eastAsia" w:ascii="仿宋_GB2312" w:hAnsi="仿宋_GB2312" w:cs="仿宋_GB2312"/>
          <w:color w:val="auto"/>
          <w:szCs w:val="32"/>
          <w:lang w:val="en-US" w:eastAsia="zh-CN"/>
        </w:rPr>
        <w:t>元</w:t>
      </w:r>
      <w:r>
        <w:rPr>
          <w:rFonts w:hint="eastAsia" w:ascii="仿宋_GB2312" w:hAnsi="仿宋_GB2312" w:cs="仿宋_GB2312"/>
          <w:color w:val="auto"/>
          <w:szCs w:val="32"/>
        </w:rPr>
        <w:t>；</w:t>
      </w:r>
      <w:r>
        <w:rPr>
          <w:rFonts w:hint="eastAsia" w:ascii="仿宋_GB2312" w:hAnsi="仿宋_GB2312" w:cs="仿宋_GB2312"/>
          <w:color w:val="auto"/>
          <w:szCs w:val="32"/>
          <w:lang w:val="en-US" w:eastAsia="zh-CN"/>
        </w:rPr>
        <w:t>对</w:t>
      </w:r>
      <w:r>
        <w:rPr>
          <w:rFonts w:hint="eastAsia" w:ascii="仿宋_GB2312" w:hAnsi="仿宋_GB2312" w:cs="仿宋_GB2312"/>
          <w:color w:val="auto"/>
          <w:szCs w:val="32"/>
        </w:rPr>
        <w:t>获得市</w:t>
      </w:r>
      <w:r>
        <w:rPr>
          <w:rFonts w:hint="eastAsia" w:ascii="仿宋_GB2312" w:hAnsi="仿宋_GB2312" w:cs="仿宋_GB2312"/>
          <w:color w:val="auto"/>
          <w:szCs w:val="32"/>
          <w:lang w:eastAsia="zh-CN"/>
        </w:rPr>
        <w:t>级</w:t>
      </w:r>
      <w:r>
        <w:rPr>
          <w:rFonts w:hint="eastAsia" w:ascii="仿宋_GB2312" w:hAnsi="仿宋_GB2312" w:cs="仿宋_GB2312"/>
          <w:color w:val="auto"/>
          <w:szCs w:val="32"/>
        </w:rPr>
        <w:t>五星级</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四星级、三星级</w:t>
      </w:r>
      <w:r>
        <w:rPr>
          <w:rFonts w:hint="eastAsia" w:ascii="仿宋_GB2312" w:hAnsi="仿宋_GB2312" w:cs="仿宋_GB2312"/>
          <w:color w:val="auto"/>
          <w:szCs w:val="32"/>
        </w:rPr>
        <w:t>社会力量兴办</w:t>
      </w:r>
      <w:r>
        <w:rPr>
          <w:rFonts w:hint="eastAsia" w:ascii="仿宋_GB2312" w:hAnsi="仿宋_GB2312" w:cs="仿宋_GB2312"/>
          <w:color w:val="auto"/>
          <w:szCs w:val="32"/>
          <w:lang w:eastAsia="zh-CN"/>
        </w:rPr>
        <w:t>的</w:t>
      </w:r>
      <w:r>
        <w:rPr>
          <w:rFonts w:hint="eastAsia" w:ascii="仿宋_GB2312" w:hAnsi="仿宋_GB2312" w:cs="仿宋_GB2312"/>
          <w:color w:val="auto"/>
          <w:szCs w:val="32"/>
        </w:rPr>
        <w:t>竞技体育训练机构</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分别</w:t>
      </w:r>
      <w:r>
        <w:rPr>
          <w:rFonts w:hint="eastAsia" w:ascii="仿宋_GB2312" w:hAnsi="仿宋_GB2312" w:cs="仿宋_GB2312"/>
          <w:color w:val="auto"/>
          <w:szCs w:val="32"/>
        </w:rPr>
        <w:t>补助8万</w:t>
      </w:r>
      <w:r>
        <w:rPr>
          <w:rFonts w:hint="eastAsia" w:ascii="仿宋_GB2312" w:hAnsi="仿宋_GB2312" w:cs="仿宋_GB2312"/>
          <w:color w:val="auto"/>
          <w:szCs w:val="32"/>
          <w:lang w:val="en-US" w:eastAsia="zh-CN"/>
        </w:rPr>
        <w:t>元、6万元、4万元</w:t>
      </w:r>
      <w:r>
        <w:rPr>
          <w:rFonts w:hint="eastAsia" w:ascii="仿宋_GB2312" w:hAnsi="仿宋_GB2312" w:cs="仿宋_GB2312"/>
          <w:color w:val="auto"/>
          <w:szCs w:val="32"/>
        </w:rPr>
        <w:t>。</w:t>
      </w:r>
    </w:p>
    <w:p>
      <w:pPr>
        <w:spacing w:line="576" w:lineRule="exact"/>
        <w:ind w:firstLine="640"/>
        <w:jc w:val="left"/>
        <w:rPr>
          <w:rFonts w:hint="default" w:cs="仿宋_GB2312"/>
          <w:color w:val="auto"/>
          <w:szCs w:val="32"/>
          <w:highlight w:val="none"/>
        </w:rPr>
      </w:pPr>
      <w:r>
        <w:rPr>
          <w:rFonts w:hint="default" w:ascii="楷体_GB2312" w:hAnsi="楷体_GB2312" w:eastAsia="楷体_GB2312" w:cs="楷体_GB2312"/>
          <w:color w:val="auto"/>
          <w:szCs w:val="32"/>
        </w:rPr>
        <w:t>（十</w:t>
      </w:r>
      <w:r>
        <w:rPr>
          <w:rFonts w:hint="eastAsia" w:ascii="楷体_GB2312" w:hAnsi="楷体_GB2312" w:eastAsia="楷体_GB2312" w:cs="楷体_GB2312"/>
          <w:color w:val="auto"/>
          <w:szCs w:val="32"/>
          <w:lang w:eastAsia="zh-CN"/>
        </w:rPr>
        <w:t>三</w:t>
      </w:r>
      <w:r>
        <w:rPr>
          <w:rFonts w:hint="default" w:ascii="楷体_GB2312" w:hAnsi="楷体_GB2312" w:eastAsia="楷体_GB2312" w:cs="楷体_GB2312"/>
          <w:color w:val="auto"/>
          <w:szCs w:val="32"/>
        </w:rPr>
        <w:t>）强化体育人才贡献奖励</w:t>
      </w:r>
      <w:r>
        <w:rPr>
          <w:rFonts w:hint="eastAsia" w:ascii="楷体_GB2312" w:hAnsi="楷体_GB2312" w:eastAsia="楷体_GB2312" w:cs="楷体_GB2312"/>
          <w:color w:val="auto"/>
          <w:szCs w:val="32"/>
          <w:lang w:eastAsia="zh-CN"/>
        </w:rPr>
        <w:t>。</w:t>
      </w:r>
      <w:r>
        <w:rPr>
          <w:rFonts w:hint="default" w:ascii="仿宋_GB2312" w:hAnsi="仿宋_GB2312" w:cs="仿宋_GB2312"/>
          <w:color w:val="auto"/>
          <w:szCs w:val="32"/>
        </w:rPr>
        <w:t>对在奥运会、世界级赛事、亚运会、全运会（青奥会、城运会）、世青赛、亚青会、青运会、省运会（省体育大会）上新获得金牌的运动员和教练员</w:t>
      </w:r>
      <w:r>
        <w:rPr>
          <w:rFonts w:hint="default" w:ascii="仿宋_GB2312" w:hAnsi="仿宋_GB2312" w:cs="仿宋_GB2312"/>
          <w:color w:val="auto"/>
          <w:szCs w:val="32"/>
          <w:lang w:val="en-US" w:eastAsia="zh-CN"/>
        </w:rPr>
        <w:t>分别</w:t>
      </w:r>
      <w:r>
        <w:rPr>
          <w:rFonts w:hint="default" w:ascii="仿宋_GB2312" w:hAnsi="仿宋_GB2312" w:cs="仿宋_GB2312"/>
          <w:color w:val="auto"/>
          <w:szCs w:val="32"/>
        </w:rPr>
        <w:t>奖励30万元、20万元、15万元、8万元、5万元、3万元、2万元、0.5万元，第二名至第八名按金牌奖励标准的60%、35%、20%、17%、14%、11%、8%执行。</w:t>
      </w:r>
    </w:p>
    <w:p>
      <w:pPr>
        <w:spacing w:line="576" w:lineRule="exact"/>
        <w:ind w:firstLine="640"/>
        <w:jc w:val="left"/>
        <w:rPr>
          <w:rFonts w:hint="default" w:ascii="仿宋_GB2312" w:hAnsi="仿宋_GB2312" w:cs="仿宋_GB2312"/>
          <w:color w:val="auto"/>
          <w:szCs w:val="32"/>
        </w:rPr>
      </w:pPr>
      <w:r>
        <w:rPr>
          <w:rFonts w:hint="eastAsia" w:ascii="楷体_GB2312" w:hAnsi="楷体_GB2312" w:eastAsia="楷体_GB2312" w:cs="楷体_GB2312"/>
          <w:color w:val="auto"/>
          <w:szCs w:val="32"/>
          <w:lang w:eastAsia="zh-CN"/>
        </w:rPr>
        <w:t>（十四）</w:t>
      </w:r>
      <w:r>
        <w:rPr>
          <w:rFonts w:hint="default" w:ascii="楷体_GB2312" w:hAnsi="楷体_GB2312" w:eastAsia="楷体_GB2312" w:cs="楷体_GB2312"/>
          <w:color w:val="auto"/>
          <w:szCs w:val="32"/>
        </w:rPr>
        <w:t>扶持社会力量办</w:t>
      </w:r>
      <w:r>
        <w:rPr>
          <w:rFonts w:hint="eastAsia" w:ascii="楷体_GB2312" w:hAnsi="楷体_GB2312" w:eastAsia="楷体_GB2312" w:cs="楷体_GB2312"/>
          <w:color w:val="auto"/>
          <w:szCs w:val="32"/>
          <w:lang w:val="en-US" w:eastAsia="zh-CN"/>
        </w:rPr>
        <w:t>文体</w:t>
      </w:r>
      <w:r>
        <w:rPr>
          <w:rFonts w:hint="default" w:ascii="楷体_GB2312" w:hAnsi="楷体_GB2312" w:eastAsia="楷体_GB2312" w:cs="楷体_GB2312"/>
          <w:color w:val="auto"/>
          <w:szCs w:val="32"/>
        </w:rPr>
        <w:t>赛事活动。</w:t>
      </w:r>
      <w:r>
        <w:rPr>
          <w:rFonts w:hint="default" w:ascii="仿宋_GB2312" w:hAnsi="仿宋_GB2312" w:cs="仿宋_GB2312"/>
          <w:color w:val="auto"/>
          <w:szCs w:val="32"/>
        </w:rPr>
        <w:t>大力培育扶持</w:t>
      </w:r>
      <w:r>
        <w:rPr>
          <w:rFonts w:hint="eastAsia" w:ascii="仿宋_GB2312" w:hAnsi="仿宋_GB2312" w:cs="仿宋_GB2312"/>
          <w:color w:val="auto"/>
          <w:szCs w:val="32"/>
          <w:lang w:val="en-US" w:eastAsia="zh-CN"/>
        </w:rPr>
        <w:t>文化</w:t>
      </w:r>
      <w:r>
        <w:rPr>
          <w:rFonts w:hint="default" w:ascii="仿宋_GB2312" w:hAnsi="仿宋_GB2312" w:cs="仿宋_GB2312"/>
          <w:color w:val="auto"/>
          <w:szCs w:val="32"/>
        </w:rPr>
        <w:t>体育企业发展，积极引进高水平</w:t>
      </w:r>
      <w:r>
        <w:rPr>
          <w:rFonts w:hint="eastAsia" w:ascii="仿宋_GB2312" w:hAnsi="仿宋_GB2312" w:cs="仿宋_GB2312"/>
          <w:color w:val="auto"/>
          <w:szCs w:val="32"/>
          <w:lang w:eastAsia="zh-CN"/>
        </w:rPr>
        <w:t>文化</w:t>
      </w:r>
      <w:r>
        <w:rPr>
          <w:rFonts w:hint="default" w:ascii="仿宋_GB2312" w:hAnsi="仿宋_GB2312" w:cs="仿宋_GB2312"/>
          <w:color w:val="auto"/>
          <w:szCs w:val="32"/>
        </w:rPr>
        <w:t>体育赛事。举办地在瓯海区内且赛事期间运动员、裁判员及工作人员均入住瓯海区内星级宾馆（酒店），并以瓯海区内注册的</w:t>
      </w:r>
      <w:r>
        <w:rPr>
          <w:rFonts w:hint="eastAsia" w:ascii="仿宋_GB2312" w:hAnsi="仿宋_GB2312" w:cs="仿宋_GB2312"/>
          <w:color w:val="auto"/>
          <w:szCs w:val="32"/>
          <w:lang w:val="en-US" w:eastAsia="zh-CN"/>
        </w:rPr>
        <w:t>文化</w:t>
      </w:r>
      <w:r>
        <w:rPr>
          <w:rFonts w:hint="default" w:ascii="仿宋_GB2312" w:hAnsi="仿宋_GB2312" w:cs="仿宋_GB2312"/>
          <w:color w:val="auto"/>
          <w:szCs w:val="32"/>
        </w:rPr>
        <w:t>体育公司（企业）</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文化</w:t>
      </w:r>
      <w:r>
        <w:rPr>
          <w:rFonts w:hint="default" w:ascii="仿宋_GB2312" w:hAnsi="仿宋_GB2312" w:cs="仿宋_GB2312"/>
          <w:color w:val="auto"/>
          <w:szCs w:val="32"/>
        </w:rPr>
        <w:t>体育协会为承办或执行单位的，举办具有广泛社会影响力且成绩显著的赛事活动,经区</w:t>
      </w:r>
      <w:r>
        <w:rPr>
          <w:rFonts w:hint="eastAsia" w:ascii="仿宋_GB2312" w:hAnsi="仿宋_GB2312" w:cs="仿宋_GB2312"/>
          <w:color w:val="auto"/>
          <w:szCs w:val="32"/>
          <w:lang w:val="en-US" w:eastAsia="zh-CN"/>
        </w:rPr>
        <w:t>文化或</w:t>
      </w:r>
      <w:r>
        <w:rPr>
          <w:rFonts w:hint="default" w:ascii="仿宋_GB2312" w:hAnsi="仿宋_GB2312" w:cs="仿宋_GB2312"/>
          <w:color w:val="auto"/>
          <w:szCs w:val="32"/>
        </w:rPr>
        <w:t>体育主管部门综合评估认定,最高按各级赛事</w:t>
      </w:r>
      <w:r>
        <w:rPr>
          <w:rFonts w:hint="eastAsia" w:ascii="仿宋_GB2312" w:hAnsi="仿宋_GB2312" w:cs="仿宋_GB2312"/>
          <w:color w:val="auto"/>
          <w:szCs w:val="32"/>
          <w:lang w:val="en-US" w:eastAsia="zh-CN"/>
        </w:rPr>
        <w:t>活动</w:t>
      </w:r>
      <w:r>
        <w:rPr>
          <w:rFonts w:hint="default" w:ascii="仿宋_GB2312" w:hAnsi="仿宋_GB2312" w:cs="仿宋_GB2312"/>
          <w:color w:val="auto"/>
          <w:szCs w:val="32"/>
        </w:rPr>
        <w:t>实际投入的30%给予补助，国际级、国家级、省级、市级赛事的最高补助分别为100万元、60万元、30万元、5万元。在本区举办国家级的</w:t>
      </w:r>
      <w:r>
        <w:rPr>
          <w:rFonts w:hint="eastAsia" w:ascii="仿宋_GB2312" w:hAnsi="仿宋_GB2312" w:cs="仿宋_GB2312"/>
          <w:color w:val="auto"/>
          <w:szCs w:val="32"/>
          <w:lang w:val="en-US" w:eastAsia="zh-CN"/>
        </w:rPr>
        <w:t>文化</w:t>
      </w:r>
      <w:r>
        <w:rPr>
          <w:rFonts w:hint="default" w:ascii="仿宋_GB2312" w:hAnsi="仿宋_GB2312" w:cs="仿宋_GB2312"/>
          <w:color w:val="auto"/>
          <w:szCs w:val="32"/>
        </w:rPr>
        <w:t>体育产业节庆、展会、论坛等活动，经区</w:t>
      </w:r>
      <w:r>
        <w:rPr>
          <w:rFonts w:hint="eastAsia" w:ascii="仿宋_GB2312" w:hAnsi="仿宋_GB2312" w:cs="仿宋_GB2312"/>
          <w:color w:val="auto"/>
          <w:szCs w:val="32"/>
          <w:lang w:val="en-US" w:eastAsia="zh-CN"/>
        </w:rPr>
        <w:t>文化或</w:t>
      </w:r>
      <w:r>
        <w:rPr>
          <w:rFonts w:hint="default" w:ascii="仿宋_GB2312" w:hAnsi="仿宋_GB2312" w:cs="仿宋_GB2312"/>
          <w:color w:val="auto"/>
          <w:szCs w:val="32"/>
        </w:rPr>
        <w:t>体育主管部门认定，按实际投入</w:t>
      </w:r>
      <w:r>
        <w:rPr>
          <w:rFonts w:hint="eastAsia" w:ascii="仿宋_GB2312" w:hAnsi="仿宋_GB2312" w:cs="仿宋_GB2312"/>
          <w:color w:val="auto"/>
          <w:szCs w:val="32"/>
          <w:lang w:eastAsia="zh-CN"/>
        </w:rPr>
        <w:t>的</w:t>
      </w:r>
      <w:r>
        <w:rPr>
          <w:rFonts w:hint="default" w:ascii="仿宋_GB2312" w:hAnsi="仿宋_GB2312" w:cs="仿宋_GB2312"/>
          <w:color w:val="auto"/>
          <w:szCs w:val="32"/>
        </w:rPr>
        <w:t>20%给予补助，最高补助20万元。有重大意义的赛事活动可上报区政府一事一议。</w:t>
      </w:r>
    </w:p>
    <w:p>
      <w:pPr>
        <w:spacing w:line="576" w:lineRule="exact"/>
        <w:ind w:firstLine="640"/>
        <w:jc w:val="left"/>
        <w:rPr>
          <w:rFonts w:hint="default" w:ascii="仿宋_GB2312" w:hAnsi="仿宋_GB2312" w:cs="仿宋_GB2312"/>
          <w:color w:val="auto"/>
          <w:szCs w:val="32"/>
        </w:rPr>
      </w:pPr>
      <w:r>
        <w:rPr>
          <w:rFonts w:hint="eastAsia" w:ascii="黑体" w:hAnsi="黑体" w:eastAsia="黑体" w:cs="黑体"/>
          <w:color w:val="auto"/>
          <w:szCs w:val="32"/>
        </w:rPr>
        <w:t>五、其他</w:t>
      </w:r>
    </w:p>
    <w:p>
      <w:pPr>
        <w:spacing w:line="576" w:lineRule="exact"/>
        <w:ind w:firstLine="640"/>
        <w:jc w:val="left"/>
        <w:rPr>
          <w:rFonts w:hint="default" w:ascii="仿宋_GB2312" w:hAnsi="仿宋_GB2312" w:cs="仿宋_GB2312"/>
          <w:color w:val="auto"/>
          <w:szCs w:val="32"/>
        </w:rPr>
      </w:pPr>
      <w:r>
        <w:rPr>
          <w:rFonts w:hint="default" w:ascii="仿宋_GB2312" w:hAnsi="仿宋_GB2312" w:cs="仿宋_GB2312"/>
          <w:color w:val="auto"/>
          <w:szCs w:val="32"/>
        </w:rPr>
        <w:t>1.同一奖励项目实现提档升级的，按新的档次标准给予补差奖励。</w:t>
      </w:r>
    </w:p>
    <w:p>
      <w:pPr>
        <w:spacing w:line="576" w:lineRule="exact"/>
        <w:ind w:firstLine="640"/>
        <w:jc w:val="left"/>
        <w:rPr>
          <w:rFonts w:hint="default" w:ascii="仿宋_GB2312" w:hAnsi="仿宋_GB2312" w:cs="仿宋_GB2312"/>
          <w:color w:val="000000"/>
          <w:szCs w:val="32"/>
        </w:rPr>
      </w:pPr>
      <w:r>
        <w:rPr>
          <w:rFonts w:hint="default" w:ascii="仿宋_GB2312" w:hAnsi="仿宋_GB2312" w:cs="仿宋_GB2312"/>
          <w:color w:val="000000"/>
          <w:szCs w:val="32"/>
        </w:rPr>
        <w:t>2.本办法涉及的奖励、补助遵循“一事不二补、就高不就低”的原则，被奖励补助对象同一项目如果已申请到上级补助的区级不再重复予以补助；如果没有相应的国家、行业或地方认定标准（办法），由区相关职能部门另行制定具体的认定标准（办法）。</w:t>
      </w:r>
    </w:p>
    <w:p>
      <w:pPr>
        <w:spacing w:line="576" w:lineRule="exact"/>
        <w:ind w:firstLine="640"/>
        <w:jc w:val="left"/>
        <w:rPr>
          <w:rFonts w:hint="default" w:ascii="仿宋_GB2312" w:hAnsi="仿宋_GB2312" w:cs="仿宋_GB2312"/>
          <w:color w:val="auto"/>
          <w:szCs w:val="32"/>
        </w:rPr>
      </w:pPr>
      <w:r>
        <w:rPr>
          <w:rFonts w:hint="default" w:ascii="仿宋_GB2312" w:hAnsi="仿宋_GB2312" w:cs="仿宋_GB2312"/>
          <w:color w:val="auto"/>
          <w:szCs w:val="32"/>
        </w:rPr>
        <w:t>3.对我区发展具有重大推动作用的优秀文旅体项目，需另行给予优惠政策的，由区政府“一事一议”确定。</w:t>
      </w:r>
    </w:p>
    <w:p>
      <w:pPr>
        <w:spacing w:line="576" w:lineRule="exact"/>
        <w:ind w:firstLine="640"/>
        <w:jc w:val="left"/>
        <w:rPr>
          <w:rFonts w:hint="eastAsia" w:ascii="仿宋_GB2312" w:hAnsi="仿宋_GB2312" w:cs="仿宋_GB2312"/>
          <w:color w:val="auto"/>
          <w:szCs w:val="32"/>
          <w:lang w:eastAsia="zh-CN"/>
        </w:rPr>
      </w:pPr>
      <w:r>
        <w:rPr>
          <w:rFonts w:hint="eastAsia" w:ascii="仿宋_GB2312" w:hAnsi="仿宋_GB2312" w:cs="仿宋_GB2312"/>
          <w:color w:val="auto"/>
          <w:szCs w:val="32"/>
          <w:lang w:val="en-US" w:eastAsia="zh-CN"/>
        </w:rPr>
        <w:t>4.</w:t>
      </w:r>
      <w:r>
        <w:rPr>
          <w:rFonts w:hint="default" w:ascii="仿宋_GB2312" w:hAnsi="仿宋_GB2312" w:cs="仿宋_GB2312"/>
          <w:color w:val="auto"/>
          <w:szCs w:val="32"/>
        </w:rPr>
        <w:t>本</w:t>
      </w:r>
      <w:r>
        <w:rPr>
          <w:rFonts w:hint="eastAsia" w:ascii="仿宋_GB2312" w:hAnsi="仿宋_GB2312" w:cs="仿宋_GB2312"/>
          <w:color w:val="auto"/>
          <w:szCs w:val="32"/>
          <w:lang w:eastAsia="zh-CN"/>
        </w:rPr>
        <w:t>办法</w:t>
      </w:r>
      <w:r>
        <w:rPr>
          <w:rFonts w:hint="default" w:ascii="仿宋_GB2312" w:hAnsi="仿宋_GB2312" w:cs="仿宋_GB2312"/>
          <w:color w:val="auto"/>
          <w:szCs w:val="32"/>
        </w:rPr>
        <w:t>涉及文旅体奖补主体不受“奖补资金总量控制”规定限制</w:t>
      </w:r>
      <w:r>
        <w:rPr>
          <w:rFonts w:hint="eastAsia" w:ascii="仿宋_GB2312" w:hAnsi="仿宋_GB2312" w:cs="仿宋_GB2312"/>
          <w:color w:val="auto"/>
          <w:szCs w:val="32"/>
          <w:lang w:eastAsia="zh-CN"/>
        </w:rPr>
        <w:t>。</w:t>
      </w:r>
    </w:p>
    <w:p>
      <w:pPr>
        <w:spacing w:line="576" w:lineRule="exact"/>
        <w:ind w:firstLine="640"/>
        <w:jc w:val="left"/>
        <w:rPr>
          <w:rFonts w:hint="eastAsia" w:ascii="仿宋_GB2312" w:hAnsi="仿宋_GB2312" w:cs="仿宋_GB2312"/>
          <w:color w:val="auto"/>
          <w:szCs w:val="32"/>
          <w:lang w:eastAsia="zh-CN"/>
        </w:rPr>
      </w:pPr>
      <w:r>
        <w:rPr>
          <w:rFonts w:hint="eastAsia" w:ascii="仿宋_GB2312" w:hAnsi="仿宋_GB2312" w:cs="仿宋_GB2312"/>
          <w:color w:val="auto"/>
          <w:szCs w:val="32"/>
          <w:lang w:val="en-US" w:eastAsia="zh-CN"/>
        </w:rPr>
        <w:t>5.</w:t>
      </w:r>
      <w:r>
        <w:rPr>
          <w:rFonts w:hint="eastAsia" w:ascii="仿宋_GB2312" w:hAnsi="仿宋_GB2312" w:cs="仿宋_GB2312"/>
          <w:color w:val="auto"/>
          <w:szCs w:val="32"/>
          <w:lang w:eastAsia="zh-CN"/>
        </w:rPr>
        <w:t>本</w:t>
      </w:r>
      <w:r>
        <w:rPr>
          <w:rFonts w:hint="default" w:ascii="仿宋_GB2312" w:hAnsi="仿宋_GB2312" w:cs="仿宋_GB2312"/>
          <w:color w:val="auto"/>
          <w:szCs w:val="32"/>
          <w:lang w:eastAsia="zh-CN"/>
        </w:rPr>
        <w:t>办法自</w:t>
      </w:r>
      <w:r>
        <w:rPr>
          <w:rFonts w:hint="eastAsia" w:ascii="仿宋_GB2312" w:hAnsi="仿宋_GB2312" w:cs="仿宋_GB2312"/>
          <w:color w:val="auto"/>
          <w:szCs w:val="32"/>
          <w:lang w:eastAsia="zh-CN"/>
        </w:rPr>
        <w:t>印发之日起实施。</w:t>
      </w:r>
    </w:p>
    <w:p>
      <w:pPr>
        <w:ind w:firstLine="960"/>
        <w:rPr>
          <w:rFonts w:ascii="仿宋_GB2312" w:hAnsi="仿宋_GB2312" w:cs="仿宋_GB2312"/>
          <w:szCs w:val="32"/>
        </w:rPr>
      </w:pPr>
    </w:p>
    <w:sectPr>
      <w:pgSz w:w="11906" w:h="16838"/>
      <w:pgMar w:top="1587" w:right="1800" w:bottom="1440" w:left="1800"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_GB2312">
    <w:altName w:val="汉仪仿宋KW"/>
    <w:panose1 w:val="02010609030101010101"/>
    <w:charset w:val="86"/>
    <w:family w:val="auto"/>
    <w:pitch w:val="default"/>
    <w:sig w:usb0="00000000" w:usb1="00000000" w:usb2="00000000" w:usb3="00000000" w:csb0="00040000" w:csb1="00000000"/>
  </w:font>
  <w:font w:name="楷体_GB2312">
    <w:altName w:val="汉仪楷体KW"/>
    <w:panose1 w:val="02010609030101010101"/>
    <w:charset w:val="86"/>
    <w:family w:val="auto"/>
    <w:pitch w:val="default"/>
    <w:sig w:usb0="00000000" w:usb1="00000000" w:usb2="00000000"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仿宋_GB2312">
    <w:altName w:val="汉仪仿宋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isplayHorizontalDrawingGridEvery w:val="0"/>
  <w:displayVerticalDrawingGridEvery w:val="2"/>
  <w:characterSpacingControl w:val="doNotCompress"/>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Y2Y3MGViNWJjMzkxNmNmZGY2YThjZDcyMjNlNDcifQ=="/>
  </w:docVars>
  <w:rsids>
    <w:rsidRoot w:val="00000000"/>
    <w:rsid w:val="024A1943"/>
    <w:rsid w:val="22F90186"/>
    <w:rsid w:val="29BC6642"/>
    <w:rsid w:val="399936F2"/>
    <w:rsid w:val="3E7A1C2F"/>
    <w:rsid w:val="45FE4769"/>
    <w:rsid w:val="701F07E4"/>
    <w:rsid w:val="77FE6D37"/>
    <w:rsid w:val="79FA0211"/>
    <w:rsid w:val="BFD1F38C"/>
    <w:rsid w:val="C5FF34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imes New Roman" w:hAnsi="Times New Roman" w:eastAsia="仿宋_GB2312" w:cs="Times New Roman"/>
      <w:sz w:val="32"/>
      <w:szCs w:val="24"/>
      <w:lang w:val="en-US" w:eastAsia="zh-CN" w:bidi="ar-SA"/>
    </w:rPr>
  </w:style>
  <w:style w:type="paragraph" w:styleId="2">
    <w:name w:val="heading 1"/>
    <w:basedOn w:val="1"/>
    <w:next w:val="1"/>
    <w:link w:val="36"/>
    <w:qFormat/>
    <w:uiPriority w:val="9"/>
    <w:pPr>
      <w:keepNext/>
      <w:keepLines/>
      <w:spacing w:before="480" w:after="200"/>
      <w:outlineLvl w:val="0"/>
    </w:pPr>
    <w:rPr>
      <w:rFonts w:ascii="Arial" w:hAnsi="Arial" w:eastAsia="Arial" w:cs="Arial"/>
      <w:sz w:val="40"/>
      <w:szCs w:val="40"/>
    </w:rPr>
  </w:style>
  <w:style w:type="paragraph" w:styleId="3">
    <w:name w:val="heading 2"/>
    <w:basedOn w:val="1"/>
    <w:next w:val="1"/>
    <w:link w:val="37"/>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8"/>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9"/>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0"/>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1"/>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2"/>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4"/>
    <w:unhideWhenUsed/>
    <w:qFormat/>
    <w:uiPriority w:val="9"/>
    <w:pPr>
      <w:keepNext/>
      <w:keepLines/>
      <w:spacing w:before="320" w:after="200"/>
      <w:outlineLvl w:val="8"/>
    </w:pPr>
    <w:rPr>
      <w:rFonts w:ascii="Arial" w:hAnsi="Arial" w:eastAsia="Arial" w:cs="Arial"/>
      <w:i/>
      <w:iCs/>
      <w:sz w:val="21"/>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Body Text"/>
    <w:basedOn w:val="1"/>
    <w:next w:val="14"/>
    <w:unhideWhenUsed/>
    <w:qFormat/>
    <w:uiPriority w:val="0"/>
    <w:pPr>
      <w:spacing w:line="640" w:lineRule="exact"/>
    </w:pPr>
    <w:rPr>
      <w:rFonts w:ascii="仿宋_GB2312"/>
      <w:bCs/>
      <w:szCs w:val="20"/>
    </w:rPr>
  </w:style>
  <w:style w:type="paragraph" w:styleId="14">
    <w:name w:val="Body Text First Indent"/>
    <w:basedOn w:val="13"/>
    <w:next w:val="1"/>
    <w:qFormat/>
    <w:uiPriority w:val="0"/>
    <w:pPr>
      <w:spacing w:line="500" w:lineRule="exact"/>
      <w:ind w:firstLine="420"/>
    </w:pPr>
    <w:rPr>
      <w:rFonts w:eastAsia="楷体_GB2312"/>
      <w:sz w:val="28"/>
    </w:rPr>
  </w:style>
  <w:style w:type="paragraph" w:styleId="15">
    <w:name w:val="toc 5"/>
    <w:basedOn w:val="1"/>
    <w:next w:val="1"/>
    <w:unhideWhenUsed/>
    <w:qFormat/>
    <w:uiPriority w:val="39"/>
    <w:pPr>
      <w:spacing w:after="57"/>
      <w:ind w:left="1134" w:right="0" w:firstLine="0"/>
    </w:pPr>
  </w:style>
  <w:style w:type="paragraph" w:styleId="16">
    <w:name w:val="toc 3"/>
    <w:basedOn w:val="1"/>
    <w:next w:val="1"/>
    <w:unhideWhenUsed/>
    <w:qFormat/>
    <w:uiPriority w:val="39"/>
    <w:pPr>
      <w:spacing w:after="57"/>
      <w:ind w:left="567" w:right="0" w:firstLine="0"/>
    </w:pPr>
  </w:style>
  <w:style w:type="paragraph" w:styleId="17">
    <w:name w:val="toc 8"/>
    <w:basedOn w:val="1"/>
    <w:next w:val="1"/>
    <w:unhideWhenUsed/>
    <w:qFormat/>
    <w:uiPriority w:val="39"/>
    <w:pPr>
      <w:spacing w:after="57"/>
      <w:ind w:left="1984" w:right="0" w:firstLine="0"/>
    </w:pPr>
  </w:style>
  <w:style w:type="paragraph" w:styleId="18">
    <w:name w:val="endnote text"/>
    <w:basedOn w:val="1"/>
    <w:link w:val="182"/>
    <w:semiHidden/>
    <w:unhideWhenUsed/>
    <w:qFormat/>
    <w:uiPriority w:val="99"/>
    <w:pPr>
      <w:spacing w:after="0" w:line="240" w:lineRule="auto"/>
    </w:pPr>
    <w:rPr>
      <w:sz w:val="20"/>
    </w:rPr>
  </w:style>
  <w:style w:type="paragraph" w:styleId="19">
    <w:name w:val="footer"/>
    <w:basedOn w:val="1"/>
    <w:link w:val="185"/>
    <w:unhideWhenUsed/>
    <w:qFormat/>
    <w:uiPriority w:val="99"/>
    <w:pPr>
      <w:tabs>
        <w:tab w:val="center" w:pos="4153"/>
        <w:tab w:val="right" w:pos="8306"/>
      </w:tabs>
      <w:jc w:val="left"/>
    </w:pPr>
    <w:rPr>
      <w:rFonts w:asciiTheme="minorHAnsi" w:hAnsiTheme="minorHAnsi" w:eastAsiaTheme="minorEastAsia" w:cstheme="minorBidi"/>
      <w:sz w:val="18"/>
      <w:szCs w:val="18"/>
    </w:rPr>
  </w:style>
  <w:style w:type="paragraph" w:styleId="20">
    <w:name w:val="header"/>
    <w:basedOn w:val="1"/>
    <w:link w:val="184"/>
    <w:unhideWhenUsed/>
    <w:qFormat/>
    <w:uiPriority w:val="99"/>
    <w:pPr>
      <w:pBdr>
        <w:bottom w:val="single" w:color="auto" w:sz="6" w:space="1"/>
      </w:pBdr>
      <w:tabs>
        <w:tab w:val="center" w:pos="4153"/>
        <w:tab w:val="right" w:pos="8306"/>
      </w:tabs>
      <w:jc w:val="center"/>
    </w:pPr>
    <w:rPr>
      <w:rFonts w:asciiTheme="minorHAnsi" w:hAnsiTheme="minorHAnsi" w:eastAsiaTheme="minorEastAsia" w:cstheme="minorBidi"/>
      <w:sz w:val="18"/>
      <w:szCs w:val="18"/>
    </w:rPr>
  </w:style>
  <w:style w:type="paragraph" w:styleId="21">
    <w:name w:val="toc 1"/>
    <w:basedOn w:val="1"/>
    <w:next w:val="1"/>
    <w:unhideWhenUsed/>
    <w:qFormat/>
    <w:uiPriority w:val="39"/>
    <w:pPr>
      <w:spacing w:after="57"/>
      <w:ind w:left="0" w:right="0" w:firstLine="0"/>
    </w:pPr>
  </w:style>
  <w:style w:type="paragraph" w:styleId="22">
    <w:name w:val="toc 4"/>
    <w:basedOn w:val="1"/>
    <w:next w:val="1"/>
    <w:unhideWhenUsed/>
    <w:qFormat/>
    <w:uiPriority w:val="39"/>
    <w:pPr>
      <w:spacing w:after="57"/>
      <w:ind w:left="850" w:right="0" w:firstLine="0"/>
    </w:pPr>
  </w:style>
  <w:style w:type="paragraph" w:styleId="23">
    <w:name w:val="Subtitle"/>
    <w:basedOn w:val="1"/>
    <w:next w:val="1"/>
    <w:link w:val="48"/>
    <w:qFormat/>
    <w:uiPriority w:val="11"/>
    <w:pPr>
      <w:spacing w:before="200" w:after="200"/>
    </w:pPr>
    <w:rPr>
      <w:sz w:val="24"/>
      <w:szCs w:val="24"/>
    </w:rPr>
  </w:style>
  <w:style w:type="paragraph" w:styleId="24">
    <w:name w:val="footnote text"/>
    <w:basedOn w:val="1"/>
    <w:link w:val="181"/>
    <w:semiHidden/>
    <w:unhideWhenUsed/>
    <w:qFormat/>
    <w:uiPriority w:val="99"/>
    <w:pPr>
      <w:spacing w:after="40" w:line="240" w:lineRule="auto"/>
    </w:pPr>
    <w:rPr>
      <w:sz w:val="18"/>
    </w:rPr>
  </w:style>
  <w:style w:type="paragraph" w:styleId="25">
    <w:name w:val="toc 6"/>
    <w:basedOn w:val="1"/>
    <w:next w:val="1"/>
    <w:unhideWhenUsed/>
    <w:qFormat/>
    <w:uiPriority w:val="39"/>
    <w:pPr>
      <w:spacing w:after="57"/>
      <w:ind w:left="1417" w:right="0" w:firstLine="0"/>
    </w:pPr>
  </w:style>
  <w:style w:type="paragraph" w:styleId="26">
    <w:name w:val="table of figures"/>
    <w:basedOn w:val="1"/>
    <w:next w:val="1"/>
    <w:unhideWhenUsed/>
    <w:qFormat/>
    <w:uiPriority w:val="99"/>
    <w:pPr>
      <w:spacing w:after="0" w:afterAutospacing="0"/>
    </w:pPr>
  </w:style>
  <w:style w:type="paragraph" w:styleId="27">
    <w:name w:val="toc 2"/>
    <w:basedOn w:val="1"/>
    <w:next w:val="1"/>
    <w:unhideWhenUsed/>
    <w:qFormat/>
    <w:uiPriority w:val="39"/>
    <w:pPr>
      <w:spacing w:after="57"/>
      <w:ind w:left="283" w:right="0" w:firstLine="0"/>
    </w:pPr>
  </w:style>
  <w:style w:type="paragraph" w:styleId="28">
    <w:name w:val="toc 9"/>
    <w:basedOn w:val="1"/>
    <w:next w:val="1"/>
    <w:unhideWhenUsed/>
    <w:qFormat/>
    <w:uiPriority w:val="39"/>
    <w:pPr>
      <w:spacing w:after="57"/>
      <w:ind w:left="2268" w:right="0" w:firstLine="0"/>
    </w:pPr>
  </w:style>
  <w:style w:type="paragraph" w:styleId="29">
    <w:name w:val="Title"/>
    <w:basedOn w:val="1"/>
    <w:next w:val="1"/>
    <w:link w:val="47"/>
    <w:qFormat/>
    <w:uiPriority w:val="10"/>
    <w:pPr>
      <w:spacing w:before="300" w:after="200"/>
      <w:contextualSpacing/>
    </w:pPr>
    <w:rPr>
      <w:sz w:val="48"/>
      <w:szCs w:val="48"/>
    </w:rPr>
  </w:style>
  <w:style w:type="table" w:styleId="31">
    <w:name w:val="Table Grid"/>
    <w:basedOn w:val="30"/>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3">
    <w:name w:val="endnote reference"/>
    <w:basedOn w:val="32"/>
    <w:semiHidden/>
    <w:unhideWhenUsed/>
    <w:qFormat/>
    <w:uiPriority w:val="99"/>
    <w:rPr>
      <w:vertAlign w:val="superscript"/>
    </w:rPr>
  </w:style>
  <w:style w:type="character" w:styleId="34">
    <w:name w:val="Hyperlink"/>
    <w:unhideWhenUsed/>
    <w:qFormat/>
    <w:uiPriority w:val="99"/>
    <w:rPr>
      <w:color w:val="0563C1" w:themeColor="hyperlink"/>
      <w:u w:val="single"/>
      <w14:textFill>
        <w14:solidFill>
          <w14:schemeClr w14:val="hlink"/>
        </w14:solidFill>
      </w14:textFill>
    </w:rPr>
  </w:style>
  <w:style w:type="character" w:styleId="35">
    <w:name w:val="footnote reference"/>
    <w:basedOn w:val="32"/>
    <w:unhideWhenUsed/>
    <w:qFormat/>
    <w:uiPriority w:val="99"/>
    <w:rPr>
      <w:vertAlign w:val="superscript"/>
    </w:rPr>
  </w:style>
  <w:style w:type="character" w:customStyle="1" w:styleId="36">
    <w:name w:val="Heading 1 Char"/>
    <w:basedOn w:val="32"/>
    <w:link w:val="2"/>
    <w:qFormat/>
    <w:uiPriority w:val="9"/>
    <w:rPr>
      <w:rFonts w:ascii="Arial" w:hAnsi="Arial" w:eastAsia="Arial" w:cs="Arial"/>
      <w:sz w:val="40"/>
      <w:szCs w:val="40"/>
    </w:rPr>
  </w:style>
  <w:style w:type="character" w:customStyle="1" w:styleId="37">
    <w:name w:val="Heading 2 Char"/>
    <w:basedOn w:val="32"/>
    <w:link w:val="3"/>
    <w:qFormat/>
    <w:uiPriority w:val="9"/>
    <w:rPr>
      <w:rFonts w:ascii="Arial" w:hAnsi="Arial" w:eastAsia="Arial" w:cs="Arial"/>
      <w:sz w:val="34"/>
    </w:rPr>
  </w:style>
  <w:style w:type="character" w:customStyle="1" w:styleId="38">
    <w:name w:val="Heading 3 Char"/>
    <w:basedOn w:val="32"/>
    <w:link w:val="4"/>
    <w:qFormat/>
    <w:uiPriority w:val="9"/>
    <w:rPr>
      <w:rFonts w:ascii="Arial" w:hAnsi="Arial" w:eastAsia="Arial" w:cs="Arial"/>
      <w:sz w:val="30"/>
      <w:szCs w:val="30"/>
    </w:rPr>
  </w:style>
  <w:style w:type="character" w:customStyle="1" w:styleId="39">
    <w:name w:val="Heading 4 Char"/>
    <w:basedOn w:val="32"/>
    <w:link w:val="5"/>
    <w:qFormat/>
    <w:uiPriority w:val="9"/>
    <w:rPr>
      <w:rFonts w:ascii="Arial" w:hAnsi="Arial" w:eastAsia="Arial" w:cs="Arial"/>
      <w:b/>
      <w:bCs/>
      <w:sz w:val="26"/>
      <w:szCs w:val="26"/>
    </w:rPr>
  </w:style>
  <w:style w:type="character" w:customStyle="1" w:styleId="40">
    <w:name w:val="Heading 5 Char"/>
    <w:basedOn w:val="32"/>
    <w:link w:val="6"/>
    <w:qFormat/>
    <w:uiPriority w:val="9"/>
    <w:rPr>
      <w:rFonts w:ascii="Arial" w:hAnsi="Arial" w:eastAsia="Arial" w:cs="Arial"/>
      <w:b/>
      <w:bCs/>
      <w:sz w:val="24"/>
      <w:szCs w:val="24"/>
    </w:rPr>
  </w:style>
  <w:style w:type="character" w:customStyle="1" w:styleId="41">
    <w:name w:val="Heading 6 Char"/>
    <w:basedOn w:val="32"/>
    <w:link w:val="7"/>
    <w:qFormat/>
    <w:uiPriority w:val="9"/>
    <w:rPr>
      <w:rFonts w:ascii="Arial" w:hAnsi="Arial" w:eastAsia="Arial" w:cs="Arial"/>
      <w:b/>
      <w:bCs/>
      <w:sz w:val="22"/>
      <w:szCs w:val="22"/>
    </w:rPr>
  </w:style>
  <w:style w:type="character" w:customStyle="1" w:styleId="42">
    <w:name w:val="Heading 7 Char"/>
    <w:basedOn w:val="32"/>
    <w:link w:val="8"/>
    <w:qFormat/>
    <w:uiPriority w:val="9"/>
    <w:rPr>
      <w:rFonts w:ascii="Arial" w:hAnsi="Arial" w:eastAsia="Arial" w:cs="Arial"/>
      <w:b/>
      <w:bCs/>
      <w:i/>
      <w:iCs/>
      <w:sz w:val="22"/>
      <w:szCs w:val="22"/>
    </w:rPr>
  </w:style>
  <w:style w:type="character" w:customStyle="1" w:styleId="43">
    <w:name w:val="Heading 8 Char"/>
    <w:basedOn w:val="32"/>
    <w:link w:val="9"/>
    <w:qFormat/>
    <w:uiPriority w:val="9"/>
    <w:rPr>
      <w:rFonts w:ascii="Arial" w:hAnsi="Arial" w:eastAsia="Arial" w:cs="Arial"/>
      <w:i/>
      <w:iCs/>
      <w:sz w:val="22"/>
      <w:szCs w:val="22"/>
    </w:rPr>
  </w:style>
  <w:style w:type="character" w:customStyle="1" w:styleId="44">
    <w:name w:val="Heading 9 Char"/>
    <w:basedOn w:val="32"/>
    <w:link w:val="10"/>
    <w:qFormat/>
    <w:uiPriority w:val="9"/>
    <w:rPr>
      <w:rFonts w:ascii="Arial" w:hAnsi="Arial" w:eastAsia="Arial" w:cs="Arial"/>
      <w:i/>
      <w:iCs/>
      <w:sz w:val="21"/>
      <w:szCs w:val="21"/>
    </w:rPr>
  </w:style>
  <w:style w:type="paragraph" w:styleId="45">
    <w:name w:val="List Paragraph"/>
    <w:basedOn w:val="1"/>
    <w:qFormat/>
    <w:uiPriority w:val="34"/>
    <w:pPr>
      <w:ind w:left="720"/>
      <w:contextualSpacing/>
    </w:pPr>
  </w:style>
  <w:style w:type="paragraph" w:styleId="46">
    <w:name w:val="No Spacing"/>
    <w:qFormat/>
    <w:uiPriority w:val="1"/>
    <w:pPr>
      <w:spacing w:before="0" w:after="0" w:line="240" w:lineRule="auto"/>
    </w:pPr>
    <w:rPr>
      <w:rFonts w:hint="default" w:ascii="Times New Roman" w:hAnsi="Times New Roman" w:eastAsia="宋体" w:cs="Times New Roman"/>
    </w:rPr>
  </w:style>
  <w:style w:type="character" w:customStyle="1" w:styleId="47">
    <w:name w:val="Title Char"/>
    <w:basedOn w:val="32"/>
    <w:link w:val="29"/>
    <w:qFormat/>
    <w:uiPriority w:val="10"/>
    <w:rPr>
      <w:sz w:val="48"/>
      <w:szCs w:val="48"/>
    </w:rPr>
  </w:style>
  <w:style w:type="character" w:customStyle="1" w:styleId="48">
    <w:name w:val="Subtitle Char"/>
    <w:basedOn w:val="32"/>
    <w:link w:val="23"/>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Quote Char"/>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2">
    <w:name w:val="Intense Quote Char"/>
    <w:link w:val="51"/>
    <w:qFormat/>
    <w:uiPriority w:val="30"/>
    <w:rPr>
      <w:i/>
    </w:rPr>
  </w:style>
  <w:style w:type="character" w:customStyle="1" w:styleId="53">
    <w:name w:val="Header Char"/>
    <w:basedOn w:val="32"/>
    <w:qFormat/>
    <w:uiPriority w:val="99"/>
  </w:style>
  <w:style w:type="character" w:customStyle="1" w:styleId="54">
    <w:name w:val="Footer Char"/>
    <w:basedOn w:val="32"/>
    <w:qFormat/>
    <w:uiPriority w:val="99"/>
  </w:style>
  <w:style w:type="character" w:customStyle="1" w:styleId="55">
    <w:name w:val="Caption Char"/>
    <w:qFormat/>
    <w:uiPriority w:val="99"/>
  </w:style>
  <w:style w:type="table" w:customStyle="1" w:styleId="56">
    <w:name w:val="Table Grid Light"/>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57">
    <w:name w:val="Plain Table 1"/>
    <w:basedOn w:val="3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basedOn w:val="3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30"/>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basedOn w:val="30"/>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basedOn w:val="30"/>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basedOn w:val="3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30"/>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Layout w:type="fixed"/>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64">
    <w:name w:val="Grid Table 1 Light - Accent 2"/>
    <w:basedOn w:val="30"/>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5">
    <w:name w:val="Grid Table 1 Light - Accent 3"/>
    <w:basedOn w:val="30"/>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6">
    <w:name w:val="Grid Table 1 Light - Accent 4"/>
    <w:basedOn w:val="30"/>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7">
    <w:name w:val="Grid Table 1 Light - Accent 5"/>
    <w:basedOn w:val="30"/>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Layout w:type="fixed"/>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8">
    <w:name w:val="Grid Table 1 Light - Accent 6"/>
    <w:basedOn w:val="30"/>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9">
    <w:name w:val="Grid Table 2"/>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basedOn w:val="30"/>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Layout w:type="fixed"/>
    </w:tblPr>
    <w:tblStylePr w:type="firstRow">
      <w:rPr>
        <w:b/>
        <w:color w:val="404040"/>
      </w:rPr>
      <w:tcPr>
        <w:tcBorders>
          <w:top w:val="nil"/>
          <w:left w:val="nil"/>
          <w:bottom w:val="single" w:color="537DC8" w:themeColor="accent1" w:themeTint="EA" w:sz="12" w:space="0"/>
          <w:right w:val="nil"/>
        </w:tcBorders>
        <w:shd w:val="clear" w:color="FFFFFF" w:fill="auto"/>
      </w:tcPr>
    </w:tblStylePr>
    <w:tblStylePr w:type="lastRow">
      <w:rPr>
        <w:b/>
        <w:color w:val="404040"/>
      </w:rPr>
      <w:tcPr>
        <w:tcBorders>
          <w:top w:val="single" w:color="537DC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1">
    <w:name w:val="Grid Table 2 - Accent 2"/>
    <w:basedOn w:val="3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2">
    <w:name w:val="Grid Table 2 - Accent 3"/>
    <w:basedOn w:val="3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3">
    <w:name w:val="Grid Table 2 - Accent 4"/>
    <w:basedOn w:val="3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4">
    <w:name w:val="Grid Table 2 - Accent 5"/>
    <w:basedOn w:val="30"/>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Layout w:type="fixed"/>
    </w:tblPr>
    <w:tblStylePr w:type="firstRow">
      <w:rPr>
        <w:b/>
        <w:color w:val="404040"/>
      </w:rPr>
      <w:tcPr>
        <w:tcBorders>
          <w:top w:val="nil"/>
          <w:left w:val="nil"/>
          <w:bottom w:val="single" w:color="5B9BD5" w:themeColor="accent5" w:sz="12" w:space="0"/>
          <w:right w:val="nil"/>
        </w:tcBorders>
        <w:shd w:val="clear" w:color="FFFFFF" w:fill="auto"/>
      </w:tcPr>
    </w:tblStylePr>
    <w:tblStylePr w:type="lastRow">
      <w:rPr>
        <w:b/>
        <w:color w:val="404040"/>
      </w:rPr>
      <w:tcPr>
        <w:tcBorders>
          <w:top w:val="single" w:color="5B9BD5"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75">
    <w:name w:val="Grid Table 2 - Accent 6"/>
    <w:basedOn w:val="3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6">
    <w:name w:val="Grid Table 3"/>
    <w:basedOn w:val="3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basedOn w:val="30"/>
    <w:qFormat/>
    <w:uiPriority w:val="99"/>
    <w:pPr>
      <w:spacing w:after="0" w:line="240" w:lineRule="auto"/>
    </w:pPr>
    <w:tblPr>
      <w:tblBorders>
        <w:bottom w:val="single" w:color="537DC8" w:themeColor="accent1" w:themeTint="EA" w:sz="4" w:space="0"/>
        <w:insideH w:val="single" w:color="537DC8" w:themeColor="accent1" w:themeTint="EA" w:sz="4" w:space="0"/>
        <w:insideV w:val="single" w:color="537DC8"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1" w:themeTint="34" w:fill="D8E2F2" w:themeFill="accent1" w:themeFillTint="34"/>
      </w:tcPr>
    </w:tblStylePr>
    <w:tblStylePr w:type="band1Horz">
      <w:rPr>
        <w:rFonts w:ascii="Arial" w:hAnsi="Arial"/>
        <w:color w:val="404040"/>
        <w:sz w:val="22"/>
      </w:rPr>
      <w:tcPr>
        <w:shd w:val="clear" w:color="D8E2F2" w:themeColor="accent1" w:themeTint="34" w:fill="D8E2F2" w:themeFill="accent1" w:themeFillTint="34"/>
      </w:tcPr>
    </w:tblStylePr>
  </w:style>
  <w:style w:type="table" w:customStyle="1" w:styleId="78">
    <w:name w:val="Grid Table 3 - Accent 2"/>
    <w:basedOn w:val="3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9">
    <w:name w:val="Grid Table 3 - Accent 3"/>
    <w:basedOn w:val="3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0">
    <w:name w:val="Grid Table 3 - Accent 4"/>
    <w:basedOn w:val="3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1">
    <w:name w:val="Grid Table 3 - Accent 5"/>
    <w:basedOn w:val="30"/>
    <w:qFormat/>
    <w:uiPriority w:val="99"/>
    <w:pPr>
      <w:spacing w:after="0" w:line="240" w:lineRule="auto"/>
    </w:pPr>
    <w:tblPr>
      <w:tblBorders>
        <w:bottom w:val="single" w:color="5B9BD5" w:themeColor="accent5" w:sz="4" w:space="0"/>
        <w:insideH w:val="single" w:color="5B9BD5" w:themeColor="accent5" w:sz="4" w:space="0"/>
        <w:insideV w:val="single" w:color="5B9BD5"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2">
    <w:name w:val="Grid Table 3 - Accent 6"/>
    <w:basedOn w:val="3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3">
    <w:name w:val="Grid Table 4"/>
    <w:basedOn w:val="3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basedOn w:val="30"/>
    <w:qFormat/>
    <w:uiPriority w:val="5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Layout w:type="fixed"/>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537DC8" w:themeColor="accent1" w:themeTint="EA"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3F3" w:themeColor="accent1" w:themeTint="32" w:fill="DAE3F3" w:themeFill="accent1" w:themeFillTint="32"/>
      </w:tcPr>
    </w:tblStylePr>
    <w:tblStylePr w:type="band1Horz">
      <w:rPr>
        <w:rFonts w:ascii="Arial" w:hAnsi="Arial"/>
        <w:color w:val="404040"/>
        <w:sz w:val="22"/>
      </w:rPr>
      <w:tcPr>
        <w:shd w:val="clear" w:color="DAE3F3" w:themeColor="accent1" w:themeTint="32" w:fill="DAE3F3" w:themeFill="accent1" w:themeFillTint="32"/>
      </w:tcPr>
    </w:tblStylePr>
  </w:style>
  <w:style w:type="table" w:customStyle="1" w:styleId="85">
    <w:name w:val="Grid Table 4 - Accent 2"/>
    <w:basedOn w:val="30"/>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Layout w:type="fixed"/>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6">
    <w:name w:val="Grid Table 4 - Accent 3"/>
    <w:basedOn w:val="30"/>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Layout w:type="fixed"/>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7">
    <w:name w:val="Grid Table 4 - Accent 4"/>
    <w:basedOn w:val="30"/>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Layout w:type="fixed"/>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8">
    <w:name w:val="Grid Table 4 - Accent 5"/>
    <w:basedOn w:val="30"/>
    <w:qFormat/>
    <w:uiPriority w:val="5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Layout w:type="fixed"/>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5B9BD5" w:themeColor="accent5"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cPr>
        <w:shd w:val="clear" w:color="DDEAF6" w:themeColor="accent5" w:themeTint="34" w:fill="DDEAF6" w:themeFill="accent5" w:themeFillTint="34"/>
      </w:tcPr>
    </w:tblStylePr>
  </w:style>
  <w:style w:type="table" w:customStyle="1" w:styleId="89">
    <w:name w:val="Grid Table 4 - Accent 6"/>
    <w:basedOn w:val="30"/>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0">
    <w:name w:val="Grid Table 5 Dark"/>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472C4" w:themeColor="accent1" w:fill="4472C4" w:themeFill="accent1"/>
      </w:tcPr>
    </w:tblStylePr>
    <w:tblStylePr w:type="lastRow">
      <w:rPr>
        <w:rFonts w:ascii="Arial" w:hAnsi="Arial"/>
        <w:b/>
        <w:color w:val="FFFFFF"/>
        <w:sz w:val="22"/>
      </w:rPr>
      <w:tcPr>
        <w:tcBorders>
          <w:top w:val="single" w:color="FFFFFF" w:themeColor="light1" w:sz="4" w:space="0"/>
        </w:tcBorders>
        <w:shd w:val="clear" w:color="4472C4" w:themeColor="accent1" w:fill="4472C4" w:themeFill="accent1"/>
      </w:tcPr>
    </w:tblStylePr>
    <w:tblStylePr w:type="firstCol">
      <w:rPr>
        <w:rFonts w:ascii="Arial" w:hAnsi="Arial"/>
        <w:b/>
        <w:color w:val="FFFFFF"/>
        <w:sz w:val="22"/>
      </w:rPr>
      <w:tcPr>
        <w:shd w:val="clear" w:color="4472C4" w:themeColor="accent1" w:fill="4472C4" w:themeFill="accent1"/>
      </w:tcPr>
    </w:tblStylePr>
    <w:tblStylePr w:type="lastCol">
      <w:rPr>
        <w:rFonts w:ascii="Arial" w:hAnsi="Arial"/>
        <w:b/>
        <w:color w:val="FFFFFF"/>
        <w:sz w:val="22"/>
      </w:rPr>
      <w:tcPr>
        <w:shd w:val="clear" w:color="4472C4" w:themeColor="accent1" w:fill="4472C4" w:themeFill="accent1"/>
      </w:tcPr>
    </w:tblStylePr>
    <w:tblStylePr w:type="band1Vert">
      <w:tcPr>
        <w:shd w:val="clear" w:color="A9BEE3" w:themeColor="accent1" w:themeTint="75" w:fill="A9BEE3" w:themeFill="accent1" w:themeFillTint="75"/>
      </w:tcPr>
    </w:tblStylePr>
    <w:tblStylePr w:type="band1Horz">
      <w:tcPr>
        <w:shd w:val="clear" w:color="A9BEE3" w:themeColor="accent1" w:themeTint="75" w:fill="A9BEE3" w:themeFill="accent1" w:themeFillTint="75"/>
      </w:tcPr>
    </w:tblStylePr>
  </w:style>
  <w:style w:type="table" w:customStyle="1" w:styleId="92">
    <w:name w:val="Grid Table 5 Dark - Accent 2"/>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3">
    <w:name w:val="Grid Table 5 Dark - Accent 3"/>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4">
    <w:name w:val="Grid Table 5 Dark- Accent 4"/>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5">
    <w:name w:val="Grid Table 5 Dark - Accent 5"/>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5B9BD5" w:themeColor="accent5" w:fill="5B9BD5" w:themeFill="accent5"/>
      </w:tcPr>
    </w:tblStylePr>
    <w:tblStylePr w:type="lastRow">
      <w:rPr>
        <w:rFonts w:ascii="Arial" w:hAnsi="Arial"/>
        <w:b/>
        <w:color w:val="FFFFFF"/>
        <w:sz w:val="22"/>
      </w:rPr>
      <w:tcPr>
        <w:tcBorders>
          <w:top w:val="single" w:color="FFFFFF" w:themeColor="light1" w:sz="4" w:space="0"/>
        </w:tcBorders>
        <w:shd w:val="clear" w:color="5B9BD5" w:themeColor="accent5" w:fill="5B9BD5" w:themeFill="accent5"/>
      </w:tcPr>
    </w:tblStylePr>
    <w:tblStylePr w:type="firstCol">
      <w:rPr>
        <w:rFonts w:ascii="Arial" w:hAnsi="Arial"/>
        <w:b/>
        <w:color w:val="FFFFFF"/>
        <w:sz w:val="22"/>
      </w:rPr>
      <w:tcPr>
        <w:shd w:val="clear" w:color="5B9BD5" w:themeColor="accent5" w:fill="5B9BD5" w:themeFill="accent5"/>
      </w:tcPr>
    </w:tblStylePr>
    <w:tblStylePr w:type="lastCol">
      <w:rPr>
        <w:rFonts w:ascii="Arial" w:hAnsi="Arial"/>
        <w:b/>
        <w:color w:val="FFFFFF"/>
        <w:sz w:val="22"/>
      </w:rPr>
      <w:tcPr>
        <w:shd w:val="clear" w:color="5B9BD5" w:themeColor="accent5" w:fill="5B9BD5" w:themeFill="accent5"/>
      </w:tcPr>
    </w:tblStylePr>
    <w:tblStylePr w:type="band1Vert">
      <w:tcPr>
        <w:shd w:val="clear" w:color="B3D1EB" w:themeColor="accent5" w:themeTint="75" w:fill="B3D1EB" w:themeFill="accent5" w:themeFillTint="75"/>
      </w:tcPr>
    </w:tblStylePr>
    <w:tblStylePr w:type="band1Horz">
      <w:tcPr>
        <w:shd w:val="clear" w:color="B3D1EB" w:themeColor="accent5" w:themeTint="75" w:fill="B3D1EB" w:themeFill="accent5" w:themeFillTint="75"/>
      </w:tcPr>
    </w:tblStylePr>
  </w:style>
  <w:style w:type="table" w:customStyle="1" w:styleId="96">
    <w:name w:val="Grid Table 5 Dark - Accent 6"/>
    <w:basedOn w:val="3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97">
    <w:name w:val="Grid Table 6 Colorful"/>
    <w:basedOn w:val="3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basedOn w:val="30"/>
    <w:qFormat/>
    <w:uiPriority w:val="99"/>
    <w:pPr>
      <w:spacing w:after="0" w:line="240" w:lineRule="auto"/>
    </w:pPr>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Layout w:type="fixed"/>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basedOn w:val="3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basedOn w:val="30"/>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basedOn w:val="3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basedOn w:val="30"/>
    <w:qFormat/>
    <w:uiPriority w:val="99"/>
    <w:pPr>
      <w:spacing w:after="0" w:line="240" w:lineRule="auto"/>
    </w:pPr>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Layout w:type="fixed"/>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03">
    <w:name w:val="Grid Table 6 Colorful - Accent 6"/>
    <w:basedOn w:val="30"/>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Layout w:type="fixed"/>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45B8C" w:themeColor="accent5" w:themeShade="94"/>
        <w:sz w:val="22"/>
      </w:rPr>
      <w:tcPr>
        <w:shd w:val="clear" w:color="E1EFD8" w:themeColor="accent6" w:themeTint="34" w:fill="E1EFD8" w:themeFill="accent6" w:themeFillTint="34"/>
      </w:tcPr>
    </w:tblStylePr>
    <w:tblStylePr w:type="band2Horz">
      <w:rPr>
        <w:rFonts w:ascii="Arial" w:hAnsi="Arial"/>
        <w:color w:val="245B8C" w:themeColor="accent5" w:themeShade="94"/>
        <w:sz w:val="22"/>
      </w:rPr>
    </w:tblStylePr>
  </w:style>
  <w:style w:type="table" w:customStyle="1" w:styleId="104">
    <w:name w:val="Grid Table 7 Colorful"/>
    <w:basedOn w:val="3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30"/>
    <w:qFormat/>
    <w:uiPriority w:val="99"/>
    <w:pPr>
      <w:spacing w:after="0" w:line="240" w:lineRule="auto"/>
    </w:pPr>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Layout w:type="fixed"/>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FFFFFF" w:themeColor="light1"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FFFFFF" w:fill="auto"/>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FFFFFF" w:fill="auto"/>
      </w:tcPr>
    </w:tblStylePr>
    <w:tblStylePr w:type="band1Vert">
      <w:tcPr>
        <w:shd w:val="clear" w:color="D8E2F2" w:themeColor="accent1" w:themeTint="34"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D8E2F2" w:themeColor="accent1" w:themeTint="34"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30"/>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Layout w:type="fixed"/>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30"/>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Layout w:type="fixed"/>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30"/>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Layout w:type="fixed"/>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30"/>
    <w:qFormat/>
    <w:uiPriority w:val="99"/>
    <w:pPr>
      <w:spacing w:after="0" w:line="240" w:lineRule="auto"/>
    </w:pPr>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Layout w:type="fixed"/>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FFFFFF" w:themeColor="light1"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FFFFFF" w:fill="auto"/>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FFFFFF" w:fill="auto"/>
      </w:tcPr>
    </w:tblStylePr>
    <w:tblStylePr w:type="band1Vert">
      <w:tcPr>
        <w:shd w:val="clear" w:color="DDEAF6" w:themeColor="accent5" w:themeTint="34" w:fill="DDEAF6" w:themeFill="accent5" w:themeFillTint="34"/>
      </w:tcPr>
    </w:tblStylePr>
    <w:tblStylePr w:type="band1Horz">
      <w:rPr>
        <w:rFonts w:ascii="Arial" w:hAnsi="Arial"/>
        <w:color w:val="245B8C" w:themeColor="accent5" w:themeShade="94"/>
        <w:sz w:val="22"/>
      </w:rPr>
      <w:tcPr>
        <w:shd w:val="clear" w:color="DDEAF6" w:themeColor="accent5" w:themeTint="34" w:fill="DDEAF6" w:themeFill="accent5" w:themeFillTint="34"/>
      </w:tcPr>
    </w:tblStylePr>
    <w:tblStylePr w:type="band2Horz">
      <w:rPr>
        <w:rFonts w:ascii="Arial" w:hAnsi="Arial"/>
        <w:color w:val="245B8C" w:themeColor="accent5" w:themeShade="94"/>
        <w:sz w:val="22"/>
      </w:rPr>
    </w:tblStylePr>
  </w:style>
  <w:style w:type="table" w:customStyle="1" w:styleId="110">
    <w:name w:val="Grid Table 7 Colorful - Accent 6"/>
    <w:basedOn w:val="30"/>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Layout w:type="fixed"/>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1">
    <w:name w:val="List Table 1 Light"/>
    <w:basedOn w:val="30"/>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basedOn w:val="30"/>
    <w:qFormat/>
    <w:uiPriority w:val="99"/>
    <w:pPr>
      <w:spacing w:after="0" w:line="240" w:lineRule="auto"/>
    </w:pPr>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1" w:themeTint="40" w:fill="D0DBF0" w:themeFill="accent1" w:themeFillTint="40"/>
      </w:tcPr>
    </w:tblStylePr>
    <w:tblStylePr w:type="band1Horz">
      <w:tcPr>
        <w:shd w:val="clear" w:color="D0DBF0" w:themeColor="accent1" w:themeTint="40" w:fill="D0DBF0" w:themeFill="accent1" w:themeFillTint="40"/>
      </w:tcPr>
    </w:tblStylePr>
  </w:style>
  <w:style w:type="table" w:customStyle="1" w:styleId="113">
    <w:name w:val="List Table 1 Light - Accent 2"/>
    <w:basedOn w:val="30"/>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4">
    <w:name w:val="List Table 1 Light - Accent 3"/>
    <w:basedOn w:val="30"/>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5">
    <w:name w:val="List Table 1 Light - Accent 4"/>
    <w:basedOn w:val="30"/>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6">
    <w:name w:val="List Table 1 Light - Accent 5"/>
    <w:basedOn w:val="30"/>
    <w:qFormat/>
    <w:uiPriority w:val="99"/>
    <w:pPr>
      <w:spacing w:after="0" w:line="240" w:lineRule="auto"/>
    </w:pPr>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5" w:themeTint="40" w:fill="D5E5F4" w:themeFill="accent5" w:themeFillTint="40"/>
      </w:tcPr>
    </w:tblStylePr>
    <w:tblStylePr w:type="band1Horz">
      <w:tcPr>
        <w:shd w:val="clear" w:color="D5E5F4" w:themeColor="accent5" w:themeTint="40" w:fill="D5E5F4" w:themeFill="accent5" w:themeFillTint="40"/>
      </w:tcPr>
    </w:tblStylePr>
  </w:style>
  <w:style w:type="table" w:customStyle="1" w:styleId="117">
    <w:name w:val="List Table 1 Light - Accent 6"/>
    <w:basedOn w:val="30"/>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18">
    <w:name w:val="List Table 2"/>
    <w:basedOn w:val="3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basedOn w:val="30"/>
    <w:qFormat/>
    <w:uiPriority w:val="99"/>
    <w:pPr>
      <w:spacing w:after="0" w:line="240" w:lineRule="auto"/>
    </w:pPr>
    <w:tblPr>
      <w:tblBorders>
        <w:top w:val="single" w:color="95AFDD" w:themeColor="accent1" w:themeTint="90" w:sz="4" w:space="0"/>
        <w:bottom w:val="single" w:color="95AFDD" w:themeColor="accent1" w:themeTint="90" w:sz="4" w:space="0"/>
        <w:insideH w:val="single" w:color="95AFDD" w:themeColor="accent1" w:themeTint="90" w:sz="4" w:space="0"/>
      </w:tblBorders>
      <w:tblLayout w:type="fixed"/>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20">
    <w:name w:val="List Table 2 - Accent 2"/>
    <w:basedOn w:val="30"/>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Layout w:type="fixed"/>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1">
    <w:name w:val="List Table 2 - Accent 3"/>
    <w:basedOn w:val="30"/>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Layout w:type="fixed"/>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2">
    <w:name w:val="List Table 2 - Accent 4"/>
    <w:basedOn w:val="30"/>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Layout w:type="fixed"/>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3">
    <w:name w:val="List Table 2 - Accent 5"/>
    <w:basedOn w:val="30"/>
    <w:qFormat/>
    <w:uiPriority w:val="99"/>
    <w:pPr>
      <w:spacing w:after="0" w:line="240" w:lineRule="auto"/>
    </w:pPr>
    <w:tblPr>
      <w:tblBorders>
        <w:top w:val="single" w:color="A2C6E7" w:themeColor="accent5" w:themeTint="90" w:sz="4" w:space="0"/>
        <w:bottom w:val="single" w:color="A2C6E7" w:themeColor="accent5" w:themeTint="90" w:sz="4" w:space="0"/>
        <w:insideH w:val="single" w:color="A2C6E7" w:themeColor="accent5" w:themeTint="90" w:sz="4" w:space="0"/>
      </w:tblBorders>
      <w:tblLayout w:type="fixed"/>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24">
    <w:name w:val="List Table 2 - Accent 6"/>
    <w:basedOn w:val="30"/>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Layout w:type="fixed"/>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5">
    <w:name w:val="List Table 3"/>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30"/>
    <w:qFormat/>
    <w:uiPriority w:val="99"/>
    <w:pPr>
      <w:spacing w:after="0" w:line="240" w:lineRule="auto"/>
    </w:pPr>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Layout w:type="fixed"/>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7">
    <w:name w:val="List Table 3 - Accent 2"/>
    <w:basedOn w:val="3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Layout w:type="fixed"/>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8">
    <w:name w:val="List Table 3 - Accent 3"/>
    <w:basedOn w:val="30"/>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Layout w:type="fixed"/>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9">
    <w:name w:val="List Table 3 - Accent 4"/>
    <w:basedOn w:val="3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Layout w:type="fixed"/>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0">
    <w:name w:val="List Table 3 - Accent 5"/>
    <w:basedOn w:val="30"/>
    <w:qFormat/>
    <w:uiPriority w:val="99"/>
    <w:pPr>
      <w:spacing w:after="0" w:line="240" w:lineRule="auto"/>
    </w:pPr>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Layout w:type="fixed"/>
    </w:tblPr>
    <w:tblStylePr w:type="firstRow">
      <w:rPr>
        <w:rFonts w:ascii="Arial" w:hAnsi="Arial"/>
        <w:b/>
        <w:color w:val="FFFFFF"/>
        <w:sz w:val="22"/>
      </w:r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31">
    <w:name w:val="List Table 3 - Accent 6"/>
    <w:basedOn w:val="30"/>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Layout w:type="fixed"/>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2">
    <w:name w:val="List Table 4"/>
    <w:basedOn w:val="3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basedOn w:val="30"/>
    <w:qFormat/>
    <w:uiPriority w:val="99"/>
    <w:pPr>
      <w:spacing w:after="0" w:line="240" w:lineRule="auto"/>
    </w:pPr>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Layout w:type="fixed"/>
    </w:tblPr>
    <w:tblStylePr w:type="firstRow">
      <w:rPr>
        <w:rFonts w:ascii="Arial" w:hAnsi="Arial"/>
        <w:b/>
        <w:color w:val="FFFFFF"/>
        <w:sz w:val="22"/>
      </w:r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1" w:themeTint="40" w:fill="D0DBF0" w:themeFill="accent1" w:themeFillTint="40"/>
      </w:tcPr>
    </w:tblStylePr>
    <w:tblStylePr w:type="band1Horz">
      <w:rPr>
        <w:rFonts w:ascii="Arial" w:hAnsi="Arial"/>
        <w:color w:val="404040"/>
        <w:sz w:val="22"/>
      </w:rPr>
      <w:tcPr>
        <w:shd w:val="clear" w:color="D0DBF0" w:themeColor="accent1" w:themeTint="40" w:fill="D0DBF0" w:themeFill="accent1" w:themeFillTint="40"/>
      </w:tcPr>
    </w:tblStylePr>
  </w:style>
  <w:style w:type="table" w:customStyle="1" w:styleId="134">
    <w:name w:val="List Table 4 - Accent 2"/>
    <w:basedOn w:val="30"/>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Layout w:type="fixed"/>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5">
    <w:name w:val="List Table 4 - Accent 3"/>
    <w:basedOn w:val="30"/>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Layout w:type="fixed"/>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6">
    <w:name w:val="List Table 4 - Accent 4"/>
    <w:basedOn w:val="30"/>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Layout w:type="fixed"/>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37">
    <w:name w:val="List Table 4 - Accent 5"/>
    <w:basedOn w:val="30"/>
    <w:uiPriority w:val="99"/>
    <w:pPr>
      <w:spacing w:after="0" w:line="240" w:lineRule="auto"/>
    </w:pPr>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Layout w:type="fixed"/>
    </w:tblPr>
    <w:tblStylePr w:type="firstRow">
      <w:rPr>
        <w:rFonts w:ascii="Arial" w:hAnsi="Arial"/>
        <w:b/>
        <w:color w:val="FFFFFF"/>
        <w:sz w:val="22"/>
      </w:r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5" w:themeTint="40" w:fill="D5E5F4" w:themeFill="accent5" w:themeFillTint="40"/>
      </w:tcPr>
    </w:tblStylePr>
    <w:tblStylePr w:type="band1Horz">
      <w:rPr>
        <w:rFonts w:ascii="Arial" w:hAnsi="Arial"/>
        <w:color w:val="404040"/>
        <w:sz w:val="22"/>
      </w:rPr>
      <w:tcPr>
        <w:shd w:val="clear" w:color="D5E5F4" w:themeColor="accent5" w:themeTint="40" w:fill="D5E5F4" w:themeFill="accent5" w:themeFillTint="40"/>
      </w:tcPr>
    </w:tblStylePr>
  </w:style>
  <w:style w:type="table" w:customStyle="1" w:styleId="138">
    <w:name w:val="List Table 4 - Accent 6"/>
    <w:basedOn w:val="30"/>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Layout w:type="fixed"/>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39">
    <w:name w:val="List Table 5 Dark"/>
    <w:basedOn w:val="30"/>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basedOn w:val="30"/>
    <w:uiPriority w:val="99"/>
    <w:pPr>
      <w:spacing w:after="0" w:line="240" w:lineRule="auto"/>
    </w:pPr>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4472C4" w:themeColor="accent1"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4472C4" w:themeColor="accent1"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472C4" w:themeColor="accent1" w:fill="4472C4" w:themeFill="accent1"/>
      </w:tcPr>
    </w:tblStylePr>
    <w:tblStylePr w:type="band2Horz">
      <w:tcPr>
        <w:tcBorders>
          <w:top w:val="single" w:color="FFFFFF" w:themeColor="light1" w:sz="4" w:space="0"/>
          <w:bottom w:val="single" w:color="FFFFFF" w:themeColor="light1" w:sz="4" w:space="0"/>
        </w:tcBorders>
        <w:shd w:val="clear" w:color="4472C4" w:themeColor="accent1" w:fill="4472C4" w:themeFill="accent1"/>
      </w:tcPr>
    </w:tblStylePr>
  </w:style>
  <w:style w:type="table" w:customStyle="1" w:styleId="141">
    <w:name w:val="List Table 5 Dark - Accent 2"/>
    <w:basedOn w:val="30"/>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2">
    <w:name w:val="List Table 5 Dark - Accent 3"/>
    <w:basedOn w:val="30"/>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3">
    <w:name w:val="List Table 5 Dark - Accent 4"/>
    <w:basedOn w:val="30"/>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4">
    <w:name w:val="List Table 5 Dark - Accent 5"/>
    <w:basedOn w:val="30"/>
    <w:uiPriority w:val="99"/>
    <w:pPr>
      <w:spacing w:after="0" w:line="240" w:lineRule="auto"/>
    </w:pPr>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9BC2E5" w:themeColor="accent5" w:themeTint="9A"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9BC2E5" w:themeColor="accent5" w:themeTint="9A"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tblStylePr w:type="band2Horz">
      <w:tcPr>
        <w:tcBorders>
          <w:top w:val="single" w:color="FFFFFF" w:themeColor="light1" w:sz="4" w:space="0"/>
          <w:bottom w:val="single" w:color="FFFFFF" w:themeColor="light1" w:sz="4" w:space="0"/>
        </w:tcBorders>
        <w:shd w:val="clear" w:color="9BC2E5" w:themeColor="accent5" w:themeTint="9A" w:fill="9BC2E5" w:themeFill="accent5" w:themeFillTint="9A"/>
      </w:tcPr>
    </w:tblStylePr>
  </w:style>
  <w:style w:type="table" w:customStyle="1" w:styleId="145">
    <w:name w:val="List Table 5 Dark - Accent 6"/>
    <w:basedOn w:val="30"/>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Layout w:type="fixed"/>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6">
    <w:name w:val="List Table 6 Colorful"/>
    <w:basedOn w:val="30"/>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30"/>
    <w:qFormat/>
    <w:uiPriority w:val="99"/>
    <w:pPr>
      <w:spacing w:after="0" w:line="240" w:lineRule="auto"/>
    </w:pPr>
    <w:tblPr>
      <w:tblBorders>
        <w:top w:val="single" w:color="4472C4" w:themeColor="accent1" w:sz="4" w:space="0"/>
        <w:bottom w:val="single" w:color="4472C4" w:themeColor="accent1" w:sz="4" w:space="0"/>
      </w:tblBorders>
      <w:tblLayout w:type="fixed"/>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48">
    <w:name w:val="List Table 6 Colorful - Accent 2"/>
    <w:basedOn w:val="30"/>
    <w:qFormat/>
    <w:uiPriority w:val="99"/>
    <w:pPr>
      <w:spacing w:after="0" w:line="240" w:lineRule="auto"/>
    </w:pPr>
    <w:tblPr>
      <w:tblBorders>
        <w:top w:val="single" w:color="F4B285" w:themeColor="accent2" w:themeTint="97" w:sz="4" w:space="0"/>
        <w:bottom w:val="single" w:color="F4B285" w:themeColor="accent2" w:themeTint="97" w:sz="4" w:space="0"/>
      </w:tblBorders>
      <w:tblLayout w:type="fixed"/>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30"/>
    <w:qFormat/>
    <w:uiPriority w:val="99"/>
    <w:pPr>
      <w:spacing w:after="0" w:line="240" w:lineRule="auto"/>
    </w:pPr>
    <w:tblPr>
      <w:tblBorders>
        <w:top w:val="single" w:color="C9C9C9" w:themeColor="accent3" w:themeTint="98" w:sz="4" w:space="0"/>
        <w:bottom w:val="single" w:color="C9C9C9" w:themeColor="accent3" w:themeTint="98" w:sz="4" w:space="0"/>
      </w:tblBorders>
      <w:tblLayout w:type="fixed"/>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30"/>
    <w:uiPriority w:val="99"/>
    <w:pPr>
      <w:spacing w:after="0" w:line="240" w:lineRule="auto"/>
    </w:pPr>
    <w:tblPr>
      <w:tblBorders>
        <w:top w:val="single" w:color="FFD864" w:themeColor="accent4" w:themeTint="9A" w:sz="4" w:space="0"/>
        <w:bottom w:val="single" w:color="FFD864" w:themeColor="accent4" w:themeTint="9A" w:sz="4" w:space="0"/>
      </w:tblBorders>
      <w:tblLayout w:type="fixed"/>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30"/>
    <w:uiPriority w:val="99"/>
    <w:pPr>
      <w:spacing w:after="0" w:line="240" w:lineRule="auto"/>
    </w:pPr>
    <w:tblPr>
      <w:tblBorders>
        <w:top w:val="single" w:color="9BC2E5" w:themeColor="accent5" w:themeTint="9A" w:sz="4" w:space="0"/>
        <w:bottom w:val="single" w:color="9BC2E5" w:themeColor="accent5" w:themeTint="9A" w:sz="4" w:space="0"/>
      </w:tblBorders>
      <w:tblLayout w:type="fixed"/>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30"/>
    <w:uiPriority w:val="99"/>
    <w:pPr>
      <w:spacing w:after="0" w:line="240" w:lineRule="auto"/>
    </w:pPr>
    <w:tblPr>
      <w:tblBorders>
        <w:top w:val="single" w:color="A9D08E" w:themeColor="accent6" w:themeTint="98" w:sz="4" w:space="0"/>
        <w:bottom w:val="single" w:color="A9D08E" w:themeColor="accent6" w:themeTint="98" w:sz="4" w:space="0"/>
      </w:tblBorders>
      <w:tblLayout w:type="fixed"/>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30"/>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30"/>
    <w:qFormat/>
    <w:uiPriority w:val="99"/>
    <w:pPr>
      <w:spacing w:after="0" w:line="240" w:lineRule="auto"/>
    </w:pPr>
    <w:tblPr>
      <w:tblBorders>
        <w:right w:val="single" w:color="4472C4" w:themeColor="accent1" w:sz="4" w:space="0"/>
      </w:tblBorders>
      <w:tblLayout w:type="fixed"/>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FFFFFF" w:themeColor="light1"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FFFFFF" w:fill="auto"/>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FFFFFF" w:fill="auto"/>
      </w:tcPr>
    </w:tblStylePr>
    <w:tblStylePr w:type="band1Vert">
      <w:tcPr>
        <w:shd w:val="clear" w:color="D0DBF0" w:themeColor="accent1" w:themeTint="40" w:fill="D0DBF0" w:themeFill="accent1" w:themeFillTint="40"/>
      </w:tcPr>
    </w:tblStylePr>
    <w:tblStylePr w:type="band1Horz">
      <w:rPr>
        <w:rFonts w:ascii="Arial" w:hAnsi="Arial"/>
        <w:color w:val="254174" w:themeColor="accent1" w:themeShade="94"/>
        <w:sz w:val="22"/>
      </w:rPr>
      <w:tcPr>
        <w:shd w:val="clear" w:color="D0DBF0" w:themeColor="accent1" w:themeTint="40" w:fill="D0DBF0" w:themeFill="accent1" w:themeFillTint="40"/>
      </w:tcPr>
    </w:tblStylePr>
    <w:tblStylePr w:type="band2Horz">
      <w:rPr>
        <w:rFonts w:ascii="Arial" w:hAnsi="Arial"/>
        <w:color w:val="254174" w:themeColor="accent1" w:themeShade="94"/>
        <w:sz w:val="22"/>
      </w:rPr>
    </w:tblStylePr>
  </w:style>
  <w:style w:type="table" w:customStyle="1" w:styleId="155">
    <w:name w:val="List Table 7 Colorful - Accent 2"/>
    <w:basedOn w:val="30"/>
    <w:qFormat/>
    <w:uiPriority w:val="99"/>
    <w:pPr>
      <w:spacing w:after="0" w:line="240" w:lineRule="auto"/>
    </w:pPr>
    <w:tblPr>
      <w:tblBorders>
        <w:right w:val="single" w:color="F4B285" w:themeColor="accent2" w:themeTint="97" w:sz="4" w:space="0"/>
      </w:tblBorders>
      <w:tblLayout w:type="fixed"/>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30"/>
    <w:uiPriority w:val="99"/>
    <w:pPr>
      <w:spacing w:after="0" w:line="240" w:lineRule="auto"/>
    </w:pPr>
    <w:tblPr>
      <w:tblBorders>
        <w:right w:val="single" w:color="C9C9C9" w:themeColor="accent3" w:themeTint="98" w:sz="4" w:space="0"/>
      </w:tblBorders>
      <w:tblLayout w:type="fixed"/>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30"/>
    <w:qFormat/>
    <w:uiPriority w:val="99"/>
    <w:pPr>
      <w:spacing w:after="0" w:line="240" w:lineRule="auto"/>
    </w:pPr>
    <w:tblPr>
      <w:tblBorders>
        <w:right w:val="single" w:color="FFD864" w:themeColor="accent4" w:themeTint="9A" w:sz="4" w:space="0"/>
      </w:tblBorders>
      <w:tblLayout w:type="fixed"/>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30"/>
    <w:qFormat/>
    <w:uiPriority w:val="99"/>
    <w:pPr>
      <w:spacing w:after="0" w:line="240" w:lineRule="auto"/>
    </w:pPr>
    <w:tblPr>
      <w:tblBorders>
        <w:right w:val="single" w:color="9BC2E5" w:themeColor="accent5" w:themeTint="9A" w:sz="4" w:space="0"/>
      </w:tblBorders>
      <w:tblLayout w:type="fixed"/>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FFFFFF" w:themeColor="light1"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FFFFFF" w:fill="auto"/>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FFFFFF" w:fill="auto"/>
      </w:tcPr>
    </w:tblStylePr>
    <w:tblStylePr w:type="band1Vert">
      <w:tcPr>
        <w:shd w:val="clear" w:color="D5E5F4" w:themeColor="accent5" w:themeTint="40"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D5E5F4" w:themeColor="accent5" w:themeTint="40"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30"/>
    <w:uiPriority w:val="99"/>
    <w:pPr>
      <w:spacing w:after="0" w:line="240" w:lineRule="auto"/>
    </w:pPr>
    <w:tblPr>
      <w:tblBorders>
        <w:right w:val="single" w:color="A9D08E" w:themeColor="accent6" w:themeTint="98" w:sz="4" w:space="0"/>
      </w:tblBorders>
      <w:tblLayout w:type="fixed"/>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30"/>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basedOn w:val="30"/>
    <w:uiPriority w:val="99"/>
    <w:pPr>
      <w:spacing w:after="0" w:line="240" w:lineRule="auto"/>
    </w:pPr>
    <w:rPr>
      <w:color w:val="404040"/>
    </w:r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2">
    <w:name w:val="Lined - Accent 2"/>
    <w:basedOn w:val="30"/>
    <w:qFormat/>
    <w:uiPriority w:val="99"/>
    <w:pPr>
      <w:spacing w:after="0" w:line="240" w:lineRule="auto"/>
    </w:pPr>
    <w:rPr>
      <w:color w:val="404040"/>
    </w:r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3">
    <w:name w:val="Lined - Accent 3"/>
    <w:basedOn w:val="30"/>
    <w:qFormat/>
    <w:uiPriority w:val="99"/>
    <w:pPr>
      <w:spacing w:after="0" w:line="240" w:lineRule="auto"/>
    </w:pPr>
    <w:rPr>
      <w:color w:val="404040"/>
    </w:r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4">
    <w:name w:val="Lined - Accent 4"/>
    <w:basedOn w:val="30"/>
    <w:uiPriority w:val="99"/>
    <w:pPr>
      <w:spacing w:after="0" w:line="240" w:lineRule="auto"/>
    </w:pPr>
    <w:rPr>
      <w:color w:val="404040"/>
    </w:r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5">
    <w:name w:val="Lined - Accent 5"/>
    <w:basedOn w:val="30"/>
    <w:qFormat/>
    <w:uiPriority w:val="99"/>
    <w:pPr>
      <w:spacing w:after="0" w:line="240" w:lineRule="auto"/>
    </w:pPr>
    <w:rPr>
      <w:color w:val="404040"/>
    </w:r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66">
    <w:name w:val="Lined - Accent 6"/>
    <w:basedOn w:val="30"/>
    <w:uiPriority w:val="99"/>
    <w:pPr>
      <w:spacing w:after="0" w:line="240" w:lineRule="auto"/>
    </w:pPr>
    <w:rPr>
      <w:color w:val="404040"/>
    </w:r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67">
    <w:name w:val="Bordered &amp; Lined - Accent"/>
    <w:basedOn w:val="30"/>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basedOn w:val="30"/>
    <w:qFormat/>
    <w:uiPriority w:val="99"/>
    <w:pPr>
      <w:spacing w:after="0" w:line="240" w:lineRule="auto"/>
    </w:pPr>
    <w:rPr>
      <w:color w:val="40404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Layout w:type="fixed"/>
    </w:tblPr>
    <w:tblStylePr w:type="firstRow">
      <w:rPr>
        <w:rFonts w:ascii="Arial" w:hAnsi="Arial"/>
        <w:color w:val="F2F2F2"/>
        <w:sz w:val="22"/>
      </w:rPr>
      <w:tcPr>
        <w:shd w:val="clear" w:color="537DC8" w:themeColor="accent1" w:themeTint="EA" w:fill="537DC8" w:themeFill="accent1" w:themeFillTint="EA"/>
      </w:tcPr>
    </w:tblStylePr>
    <w:tblStylePr w:type="lastRow">
      <w:rPr>
        <w:rFonts w:ascii="Arial" w:hAnsi="Arial"/>
        <w:color w:val="F2F2F2"/>
        <w:sz w:val="22"/>
      </w:rPr>
      <w:tcPr>
        <w:shd w:val="clear" w:color="537DC8" w:themeColor="accent1" w:themeTint="EA" w:fill="537DC8" w:themeFill="accent1" w:themeFillTint="EA"/>
      </w:tcPr>
    </w:tblStylePr>
    <w:tblStylePr w:type="firstCol">
      <w:rPr>
        <w:rFonts w:ascii="Arial" w:hAnsi="Arial"/>
        <w:color w:val="F2F2F2"/>
        <w:sz w:val="22"/>
      </w:rPr>
      <w:tcPr>
        <w:shd w:val="clear" w:color="537DC8" w:themeColor="accent1" w:themeTint="EA" w:fill="537DC8" w:themeFill="accent1" w:themeFillTint="EA"/>
      </w:tcPr>
    </w:tblStylePr>
    <w:tblStylePr w:type="lastCol">
      <w:rPr>
        <w:rFonts w:ascii="Arial" w:hAnsi="Arial"/>
        <w:color w:val="F2F2F2"/>
        <w:sz w:val="22"/>
      </w:r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4D2EC" w:themeColor="accent1" w:themeTint="50" w:fill="C4D2EC" w:themeFill="accent1" w:themeFillTint="50"/>
      </w:tcPr>
    </w:tblStylePr>
  </w:style>
  <w:style w:type="table" w:customStyle="1" w:styleId="169">
    <w:name w:val="Bordered &amp; Lined - Accent 2"/>
    <w:basedOn w:val="30"/>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Layout w:type="fixed"/>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0">
    <w:name w:val="Bordered &amp; Lined - Accent 3"/>
    <w:basedOn w:val="30"/>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Layout w:type="fixed"/>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1">
    <w:name w:val="Bordered &amp; Lined - Accent 4"/>
    <w:basedOn w:val="30"/>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Layout w:type="fixed"/>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2">
    <w:name w:val="Bordered &amp; Lined - Accent 5"/>
    <w:basedOn w:val="30"/>
    <w:uiPriority w:val="99"/>
    <w:pPr>
      <w:spacing w:after="0" w:line="240" w:lineRule="auto"/>
    </w:pPr>
    <w:rPr>
      <w:color w:val="40404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Layout w:type="fixed"/>
    </w:tblPr>
    <w:tblStylePr w:type="firstRow">
      <w:rPr>
        <w:rFonts w:ascii="Arial" w:hAnsi="Arial"/>
        <w:color w:val="F2F2F2"/>
        <w:sz w:val="22"/>
      </w:rPr>
      <w:tcPr>
        <w:shd w:val="clear" w:color="5B9BD5" w:themeColor="accent5" w:fill="5B9BD5" w:themeFill="accent5"/>
      </w:tcPr>
    </w:tblStylePr>
    <w:tblStylePr w:type="lastRow">
      <w:rPr>
        <w:rFonts w:ascii="Arial" w:hAnsi="Arial"/>
        <w:color w:val="F2F2F2"/>
        <w:sz w:val="22"/>
      </w:rPr>
      <w:tcPr>
        <w:shd w:val="clear" w:color="5B9BD5" w:themeColor="accent5" w:fill="5B9BD5" w:themeFill="accent5"/>
      </w:tcPr>
    </w:tblStylePr>
    <w:tblStylePr w:type="firstCol">
      <w:rPr>
        <w:rFonts w:ascii="Arial" w:hAnsi="Arial"/>
        <w:color w:val="F2F2F2"/>
        <w:sz w:val="22"/>
      </w:rPr>
      <w:tcPr>
        <w:shd w:val="clear" w:color="5B9BD5" w:themeColor="accent5" w:fill="5B9BD5" w:themeFill="accent5"/>
      </w:tcPr>
    </w:tblStylePr>
    <w:tblStylePr w:type="lastCol">
      <w:rPr>
        <w:rFonts w:ascii="Arial" w:hAnsi="Arial"/>
        <w:color w:val="F2F2F2"/>
        <w:sz w:val="22"/>
      </w:r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DEAF6" w:themeColor="accent5" w:themeTint="34" w:fill="DDEAF6" w:themeFill="accent5" w:themeFillTint="34"/>
      </w:tcPr>
    </w:tblStylePr>
  </w:style>
  <w:style w:type="table" w:customStyle="1" w:styleId="173">
    <w:name w:val="Bordered &amp; Lined - Accent 6"/>
    <w:basedOn w:val="30"/>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Layout w:type="fixed"/>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4">
    <w:name w:val="Bordered"/>
    <w:basedOn w:val="30"/>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30"/>
    <w:qFormat/>
    <w:uiPriority w:val="99"/>
    <w:pPr>
      <w:spacing w:after="0" w:line="240" w:lineRule="auto"/>
    </w:pPr>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Layout w:type="fixed"/>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6">
    <w:name w:val="Bordered - Accent 2"/>
    <w:basedOn w:val="30"/>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Layout w:type="fixed"/>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7">
    <w:name w:val="Bordered - Accent 3"/>
    <w:basedOn w:val="30"/>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Layout w:type="fixed"/>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8">
    <w:name w:val="Bordered - Accent 4"/>
    <w:basedOn w:val="30"/>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Layout w:type="fixed"/>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9">
    <w:name w:val="Bordered - Accent 5"/>
    <w:basedOn w:val="30"/>
    <w:qFormat/>
    <w:uiPriority w:val="99"/>
    <w:pPr>
      <w:spacing w:after="0" w:line="240" w:lineRule="auto"/>
    </w:pPr>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Layout w:type="fixed"/>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80">
    <w:name w:val="Bordered - Accent 6"/>
    <w:basedOn w:val="30"/>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Layout w:type="fixed"/>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1">
    <w:name w:val="Footnote Text Char"/>
    <w:link w:val="24"/>
    <w:uiPriority w:val="99"/>
    <w:rPr>
      <w:sz w:val="18"/>
    </w:rPr>
  </w:style>
  <w:style w:type="character" w:customStyle="1" w:styleId="182">
    <w:name w:val="Endnote Text Char"/>
    <w:link w:val="18"/>
    <w:qFormat/>
    <w:uiPriority w:val="99"/>
    <w:rPr>
      <w:sz w:val="20"/>
    </w:rPr>
  </w:style>
  <w:style w:type="paragraph" w:customStyle="1" w:styleId="183">
    <w:name w:val="TOC Heading"/>
    <w:unhideWhenUsed/>
    <w:qFormat/>
    <w:uiPriority w:val="39"/>
    <w:rPr>
      <w:rFonts w:hint="default" w:ascii="Times New Roman" w:hAnsi="Times New Roman" w:eastAsia="宋体" w:cs="Times New Roman"/>
    </w:rPr>
  </w:style>
  <w:style w:type="character" w:customStyle="1" w:styleId="184">
    <w:name w:val="页眉 字符"/>
    <w:basedOn w:val="32"/>
    <w:link w:val="20"/>
    <w:qFormat/>
    <w:uiPriority w:val="99"/>
    <w:rPr>
      <w:sz w:val="18"/>
      <w:szCs w:val="18"/>
    </w:rPr>
  </w:style>
  <w:style w:type="character" w:customStyle="1" w:styleId="185">
    <w:name w:val="页脚 字符"/>
    <w:basedOn w:val="32"/>
    <w:link w:val="19"/>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Arial"/>
        <a:cs typeface="Arial"/>
      </a:majorFont>
      <a:minorFont>
        <a:latin typeface="等线"/>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3390</Words>
  <Characters>3554</Characters>
  <Lines>1</Lines>
  <Paragraphs>1</Paragraphs>
  <TotalTime>22</TotalTime>
  <ScaleCrop>false</ScaleCrop>
  <LinksUpToDate>false</LinksUpToDate>
  <CharactersWithSpaces>3556</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2023-01-03T12:33:00Z</dcterms:created>
  <dc:creator>156095318@qq.com</dc:creator>
  <cp:lastModifiedBy>zht</cp:lastModifiedBy>
  <dcterms:modified xsi:type="dcterms:W3CDTF">2023-04-12T11:09:02Z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B421D82E4CD6409884DC59EAA59F4469_13</vt:lpwstr>
  </property>
</Properties>
</file>