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auto"/>
          <w:spacing w:val="0"/>
          <w:sz w:val="24"/>
          <w:szCs w:val="24"/>
        </w:rPr>
      </w:pPr>
      <w:bookmarkStart w:id="0" w:name="_GoBack"/>
      <w:r>
        <w:rPr>
          <w:rFonts w:ascii="方正小标宋简体" w:hAnsi="方正小标宋简体" w:eastAsia="方正小标宋简体" w:cs="方正小标宋简体"/>
          <w:i w:val="0"/>
          <w:caps w:val="0"/>
          <w:color w:val="auto"/>
          <w:spacing w:val="0"/>
          <w:sz w:val="43"/>
          <w:szCs w:val="43"/>
          <w:bdr w:val="none" w:color="auto" w:sz="0" w:space="0"/>
          <w:shd w:val="clear" w:fill="FFFFFF"/>
        </w:rPr>
        <w:t>苍南县广交会一般性展位分配细则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caps w:val="0"/>
          <w:color w:val="auto"/>
          <w:spacing w:val="0"/>
          <w:sz w:val="24"/>
          <w:szCs w:val="24"/>
        </w:rPr>
      </w:pPr>
      <w:r>
        <w:rPr>
          <w:rFonts w:hint="default" w:ascii="方正小标宋简体" w:hAnsi="方正小标宋简体" w:eastAsia="方正小标宋简体" w:cs="方正小标宋简体"/>
          <w:i w:val="0"/>
          <w:caps w:val="0"/>
          <w:color w:val="auto"/>
          <w:spacing w:val="0"/>
          <w:sz w:val="43"/>
          <w:szCs w:val="43"/>
          <w:bdr w:val="none" w:color="auto" w:sz="0" w:space="0"/>
          <w:shd w:val="clear" w:fill="FFFFFF"/>
        </w:rPr>
        <w:t>（征求意见稿）</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rPr>
          <w:rFonts w:hint="eastAsia" w:ascii="微软雅黑" w:hAnsi="微软雅黑" w:eastAsia="微软雅黑" w:cs="微软雅黑"/>
          <w:i w:val="0"/>
          <w:caps w:val="0"/>
          <w:color w:val="auto"/>
          <w:spacing w:val="0"/>
          <w:sz w:val="24"/>
          <w:szCs w:val="24"/>
        </w:rPr>
      </w:pPr>
      <w:r>
        <w:rPr>
          <w:rFonts w:ascii="Calibri" w:hAnsi="Calibri" w:eastAsia="微软雅黑" w:cs="Calibri"/>
          <w:i w:val="0"/>
          <w:caps w:val="0"/>
          <w:color w:val="auto"/>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ascii="仿宋" w:hAnsi="仿宋" w:eastAsia="仿宋" w:cs="仿宋"/>
          <w:i w:val="0"/>
          <w:caps w:val="0"/>
          <w:color w:val="auto"/>
          <w:spacing w:val="0"/>
          <w:sz w:val="31"/>
          <w:szCs w:val="31"/>
          <w:bdr w:val="none" w:color="auto" w:sz="0" w:space="0"/>
          <w:shd w:val="clear" w:fill="FFFFFF"/>
        </w:rPr>
        <w:t>根据浙江省交易团和温州市分团有关文件精神，按照创新扶优、统筹协调的发展思路，在</w:t>
      </w:r>
      <w:r>
        <w:rPr>
          <w:rFonts w:hint="eastAsia" w:ascii="仿宋" w:hAnsi="仿宋" w:eastAsia="仿宋" w:cs="仿宋"/>
          <w:i w:val="0"/>
          <w:caps w:val="0"/>
          <w:color w:val="auto"/>
          <w:spacing w:val="0"/>
          <w:sz w:val="31"/>
          <w:szCs w:val="31"/>
          <w:bdr w:val="none" w:color="auto" w:sz="0" w:space="0"/>
          <w:shd w:val="clear" w:fill="FFFFFF"/>
        </w:rPr>
        <w:t>温州市商务局下放的一般性展位结构基数内，以省团华度系统内申请企业的出口相关数据为主要导向，结合工作配合、参展表现等情况，充分体现“公开、公平、公正”的原则，对我县广交会一般性展位按照分展区申请企业评分高低排名，实行“有出有进”的分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ascii="黑体" w:hAnsi="宋体" w:eastAsia="黑体" w:cs="黑体"/>
          <w:i w:val="0"/>
          <w:caps w:val="0"/>
          <w:color w:val="auto"/>
          <w:spacing w:val="0"/>
          <w:sz w:val="31"/>
          <w:szCs w:val="31"/>
          <w:bdr w:val="none" w:color="auto" w:sz="0" w:space="0"/>
          <w:shd w:val="clear" w:fill="FFFFFF"/>
        </w:rPr>
        <w:t>一、资格条件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ascii="楷体" w:hAnsi="楷体" w:eastAsia="楷体" w:cs="楷体"/>
          <w:i w:val="0"/>
          <w:caps w:val="0"/>
          <w:color w:val="auto"/>
          <w:spacing w:val="0"/>
          <w:sz w:val="31"/>
          <w:szCs w:val="31"/>
          <w:bdr w:val="none" w:color="auto" w:sz="0" w:space="0"/>
          <w:shd w:val="clear" w:fill="FFFFFF"/>
        </w:rPr>
        <w:t>（一）</w:t>
      </w:r>
      <w:r>
        <w:rPr>
          <w:rFonts w:hint="eastAsia" w:ascii="仿宋" w:hAnsi="仿宋" w:eastAsia="仿宋" w:cs="仿宋"/>
          <w:i w:val="0"/>
          <w:caps w:val="0"/>
          <w:color w:val="auto"/>
          <w:spacing w:val="0"/>
          <w:sz w:val="31"/>
          <w:szCs w:val="31"/>
          <w:bdr w:val="none" w:color="auto" w:sz="0" w:space="0"/>
          <w:shd w:val="clear" w:fill="FFFFFF"/>
        </w:rPr>
        <w:t>经依法登记成立且税收属地位于苍南县的生产型和贸易型两大类独立法人企业，每家企业展位安排仅适用一种类型。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（二）</w:t>
      </w:r>
      <w:r>
        <w:rPr>
          <w:rFonts w:hint="eastAsia" w:ascii="仿宋" w:hAnsi="仿宋" w:eastAsia="仿宋" w:cs="仿宋"/>
          <w:i w:val="0"/>
          <w:caps w:val="0"/>
          <w:color w:val="auto"/>
          <w:spacing w:val="0"/>
          <w:sz w:val="31"/>
          <w:szCs w:val="31"/>
          <w:bdr w:val="none" w:color="auto" w:sz="0" w:space="0"/>
          <w:shd w:val="clear" w:fill="FFFFFF"/>
        </w:rPr>
        <w:t>出口额符合有关要求，生产型企业货物贸易自营出口总额低于75万美元、流通型企业货物贸易自营出口总额低于150万美元的，不予安排广交会展位。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（三）</w:t>
      </w:r>
      <w:r>
        <w:rPr>
          <w:rFonts w:hint="eastAsia" w:ascii="仿宋" w:hAnsi="仿宋" w:eastAsia="仿宋" w:cs="仿宋"/>
          <w:i w:val="0"/>
          <w:caps w:val="0"/>
          <w:color w:val="auto"/>
          <w:spacing w:val="0"/>
          <w:sz w:val="31"/>
          <w:szCs w:val="31"/>
          <w:bdr w:val="none" w:color="auto" w:sz="0" w:space="0"/>
          <w:shd w:val="clear" w:fill="FFFFFF"/>
        </w:rPr>
        <w:t>企业未被列入严重失信名单。参展企业须承诺接受和遵守广交会出口展的有关条款和管理规定，包括《广交会出口展展位使用责任书》《中国进出口商品交易会出口展参展须知》《中国进出口商品交易会出口展参展商服务指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bdr w:val="none" w:color="auto" w:sz="0" w:space="0"/>
          <w:shd w:val="clear" w:fill="FFFFFF"/>
        </w:rPr>
        <w:t>二、分配原则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在市下达的各展区一般性展位结构基数内，根据评分标准，对申请企业按不同展区分别给予打分，按以下原则统筹分配。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（一）</w:t>
      </w:r>
      <w:r>
        <w:rPr>
          <w:rFonts w:hint="eastAsia" w:ascii="仿宋" w:hAnsi="仿宋" w:eastAsia="仿宋" w:cs="仿宋"/>
          <w:i w:val="0"/>
          <w:caps w:val="0"/>
          <w:color w:val="auto"/>
          <w:spacing w:val="0"/>
          <w:sz w:val="31"/>
          <w:szCs w:val="31"/>
          <w:bdr w:val="none" w:color="auto" w:sz="0" w:space="0"/>
          <w:shd w:val="clear" w:fill="FFFFFF"/>
        </w:rPr>
        <w:t>分展区按申请企业得分高低排序分配，结合企业申请数和原参展情况。如出现得分相同的情况，以工作配合得分高的企业优先分配。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（二）</w:t>
      </w:r>
      <w:r>
        <w:rPr>
          <w:rFonts w:hint="eastAsia" w:ascii="仿宋" w:hAnsi="仿宋" w:eastAsia="仿宋" w:cs="仿宋"/>
          <w:i w:val="0"/>
          <w:caps w:val="0"/>
          <w:color w:val="auto"/>
          <w:spacing w:val="0"/>
          <w:sz w:val="31"/>
          <w:szCs w:val="31"/>
          <w:bdr w:val="none" w:color="auto" w:sz="0" w:space="0"/>
          <w:shd w:val="clear" w:fill="FFFFFF"/>
        </w:rPr>
        <w:t>企业单个展区申请展位数限额原则上最高不超过4个，根据以下表格分档确定具体限额，特殊情况根据展位基数统筹分配。</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75"/>
        <w:gridCol w:w="1659"/>
        <w:gridCol w:w="1660"/>
        <w:gridCol w:w="1660"/>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5"/>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生产型企业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宋体" w:hAnsi="宋体" w:eastAsia="宋体" w:cs="宋体"/>
                <w:i w:val="0"/>
                <w:caps w:val="0"/>
                <w:color w:val="auto"/>
                <w:spacing w:val="0"/>
                <w:kern w:val="0"/>
                <w:sz w:val="19"/>
                <w:szCs w:val="19"/>
                <w:bdr w:val="none" w:color="auto" w:sz="0" w:space="0"/>
                <w:lang w:val="en-US" w:eastAsia="zh-CN" w:bidi="ar"/>
              </w:rPr>
              <w:t>展区出口额（万美元）</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default" w:ascii="Times New Roman" w:hAnsi="Times New Roman" w:eastAsia="微软雅黑" w:cs="Times New Roman"/>
                <w:i w:val="0"/>
                <w:caps w:val="0"/>
                <w:color w:val="auto"/>
                <w:spacing w:val="0"/>
                <w:sz w:val="19"/>
                <w:szCs w:val="19"/>
                <w:bdr w:val="none" w:color="auto" w:sz="0" w:space="0"/>
              </w:rPr>
              <w:t>≤75</w:t>
            </w:r>
            <w:r>
              <w:rPr>
                <w:rFonts w:hint="eastAsia" w:ascii="宋体" w:hAnsi="宋体" w:eastAsia="宋体" w:cs="宋体"/>
                <w:i w:val="0"/>
                <w:caps w:val="0"/>
                <w:color w:val="auto"/>
                <w:spacing w:val="0"/>
                <w:sz w:val="19"/>
                <w:szCs w:val="19"/>
                <w:bdr w:val="none" w:color="auto" w:sz="0" w:space="0"/>
              </w:rPr>
              <w:t>或不高于平均数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75</w:t>
            </w:r>
            <w:r>
              <w:rPr>
                <w:rFonts w:hint="eastAsia" w:ascii="宋体" w:hAnsi="宋体" w:eastAsia="宋体" w:cs="宋体"/>
                <w:i w:val="0"/>
                <w:caps w:val="0"/>
                <w:color w:val="auto"/>
                <w:spacing w:val="0"/>
                <w:sz w:val="19"/>
                <w:szCs w:val="19"/>
                <w:bdr w:val="none" w:color="auto" w:sz="0" w:space="0"/>
              </w:rPr>
              <w:t>且高于平均数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75</w:t>
            </w:r>
            <w:r>
              <w:rPr>
                <w:rFonts w:hint="eastAsia" w:ascii="宋体" w:hAnsi="宋体" w:eastAsia="宋体" w:cs="宋体"/>
                <w:i w:val="0"/>
                <w:caps w:val="0"/>
                <w:color w:val="auto"/>
                <w:spacing w:val="0"/>
                <w:sz w:val="19"/>
                <w:szCs w:val="19"/>
                <w:bdr w:val="none" w:color="auto" w:sz="0" w:space="0"/>
              </w:rPr>
              <w:t>且高于</w:t>
            </w:r>
            <w:r>
              <w:rPr>
                <w:rFonts w:hint="default" w:ascii="Times New Roman" w:hAnsi="Times New Roman" w:eastAsia="微软雅黑" w:cs="Times New Roman"/>
                <w:i w:val="0"/>
                <w:caps w:val="0"/>
                <w:color w:val="auto"/>
                <w:spacing w:val="0"/>
                <w:sz w:val="19"/>
                <w:szCs w:val="19"/>
                <w:bdr w:val="none" w:color="auto" w:sz="0" w:space="0"/>
              </w:rPr>
              <w:t>2</w:t>
            </w:r>
            <w:r>
              <w:rPr>
                <w:rFonts w:hint="eastAsia" w:ascii="宋体" w:hAnsi="宋体" w:eastAsia="宋体" w:cs="宋体"/>
                <w:i w:val="0"/>
                <w:caps w:val="0"/>
                <w:color w:val="auto"/>
                <w:spacing w:val="0"/>
                <w:sz w:val="19"/>
                <w:szCs w:val="19"/>
                <w:bdr w:val="none" w:color="auto" w:sz="0" w:space="0"/>
              </w:rPr>
              <w:t>倍平均数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75</w:t>
            </w:r>
            <w:r>
              <w:rPr>
                <w:rFonts w:hint="eastAsia" w:ascii="宋体" w:hAnsi="宋体" w:eastAsia="宋体" w:cs="宋体"/>
                <w:i w:val="0"/>
                <w:caps w:val="0"/>
                <w:color w:val="auto"/>
                <w:spacing w:val="0"/>
                <w:sz w:val="19"/>
                <w:szCs w:val="19"/>
                <w:bdr w:val="none" w:color="auto" w:sz="0" w:space="0"/>
              </w:rPr>
              <w:t>且高于</w:t>
            </w:r>
            <w:r>
              <w:rPr>
                <w:rFonts w:hint="default" w:ascii="Times New Roman" w:hAnsi="Times New Roman" w:eastAsia="微软雅黑" w:cs="Times New Roman"/>
                <w:i w:val="0"/>
                <w:caps w:val="0"/>
                <w:color w:val="auto"/>
                <w:spacing w:val="0"/>
                <w:sz w:val="19"/>
                <w:szCs w:val="19"/>
                <w:bdr w:val="none" w:color="auto" w:sz="0" w:space="0"/>
              </w:rPr>
              <w:t>3</w:t>
            </w:r>
            <w:r>
              <w:rPr>
                <w:rFonts w:hint="eastAsia" w:ascii="宋体" w:hAnsi="宋体" w:eastAsia="宋体" w:cs="宋体"/>
                <w:i w:val="0"/>
                <w:caps w:val="0"/>
                <w:color w:val="auto"/>
                <w:spacing w:val="0"/>
                <w:sz w:val="19"/>
                <w:szCs w:val="19"/>
                <w:bdr w:val="none" w:color="auto" w:sz="0" w:space="0"/>
              </w:rPr>
              <w:t>倍平均数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可分配限额（个）</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1</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2</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3</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gridSpan w:val="5"/>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流通型企业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展区出口额（万美元）</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default" w:ascii="Times New Roman" w:hAnsi="Times New Roman" w:eastAsia="微软雅黑" w:cs="Times New Roman"/>
                <w:i w:val="0"/>
                <w:caps w:val="0"/>
                <w:color w:val="auto"/>
                <w:spacing w:val="0"/>
                <w:sz w:val="19"/>
                <w:szCs w:val="19"/>
                <w:bdr w:val="none" w:color="auto" w:sz="0" w:space="0"/>
              </w:rPr>
              <w:t>≤150</w:t>
            </w:r>
            <w:r>
              <w:rPr>
                <w:rFonts w:hint="eastAsia" w:ascii="宋体" w:hAnsi="宋体" w:eastAsia="宋体" w:cs="宋体"/>
                <w:i w:val="0"/>
                <w:caps w:val="0"/>
                <w:color w:val="auto"/>
                <w:spacing w:val="0"/>
                <w:sz w:val="19"/>
                <w:szCs w:val="19"/>
                <w:bdr w:val="none" w:color="auto" w:sz="0" w:space="0"/>
              </w:rPr>
              <w:t>或不高于平均数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150</w:t>
            </w:r>
            <w:r>
              <w:rPr>
                <w:rFonts w:hint="eastAsia" w:ascii="宋体" w:hAnsi="宋体" w:eastAsia="宋体" w:cs="宋体"/>
                <w:i w:val="0"/>
                <w:caps w:val="0"/>
                <w:color w:val="auto"/>
                <w:spacing w:val="0"/>
                <w:sz w:val="19"/>
                <w:szCs w:val="19"/>
                <w:bdr w:val="none" w:color="auto" w:sz="0" w:space="0"/>
              </w:rPr>
              <w:t>且高于平均数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150</w:t>
            </w:r>
            <w:r>
              <w:rPr>
                <w:rFonts w:hint="eastAsia" w:ascii="宋体" w:hAnsi="宋体" w:eastAsia="宋体" w:cs="宋体"/>
                <w:i w:val="0"/>
                <w:caps w:val="0"/>
                <w:color w:val="auto"/>
                <w:spacing w:val="0"/>
                <w:sz w:val="19"/>
                <w:szCs w:val="19"/>
                <w:bdr w:val="none" w:color="auto" w:sz="0" w:space="0"/>
              </w:rPr>
              <w:t>且高于</w:t>
            </w:r>
            <w:r>
              <w:rPr>
                <w:rFonts w:hint="default" w:ascii="Times New Roman" w:hAnsi="Times New Roman" w:eastAsia="微软雅黑" w:cs="Times New Roman"/>
                <w:i w:val="0"/>
                <w:caps w:val="0"/>
                <w:color w:val="auto"/>
                <w:spacing w:val="0"/>
                <w:sz w:val="19"/>
                <w:szCs w:val="19"/>
                <w:bdr w:val="none" w:color="auto" w:sz="0" w:space="0"/>
              </w:rPr>
              <w:t>2</w:t>
            </w:r>
            <w:r>
              <w:rPr>
                <w:rFonts w:hint="eastAsia" w:ascii="宋体" w:hAnsi="宋体" w:eastAsia="宋体" w:cs="宋体"/>
                <w:i w:val="0"/>
                <w:caps w:val="0"/>
                <w:color w:val="auto"/>
                <w:spacing w:val="0"/>
                <w:sz w:val="19"/>
                <w:szCs w:val="19"/>
                <w:bdr w:val="none" w:color="auto" w:sz="0" w:space="0"/>
              </w:rPr>
              <w:t>倍平均数</w:t>
            </w:r>
          </w:p>
        </w:tc>
        <w:tc>
          <w:tcPr>
            <w:tcW w:w="1725" w:type="dxa"/>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w:t>
            </w:r>
            <w:r>
              <w:rPr>
                <w:rFonts w:hint="default" w:ascii="Times New Roman" w:hAnsi="Times New Roman" w:eastAsia="微软雅黑" w:cs="Times New Roman"/>
                <w:i w:val="0"/>
                <w:caps w:val="0"/>
                <w:color w:val="auto"/>
                <w:spacing w:val="0"/>
                <w:sz w:val="19"/>
                <w:szCs w:val="19"/>
                <w:bdr w:val="none" w:color="auto" w:sz="0" w:space="0"/>
              </w:rPr>
              <w:t>150</w:t>
            </w:r>
            <w:r>
              <w:rPr>
                <w:rFonts w:hint="eastAsia" w:ascii="宋体" w:hAnsi="宋体" w:eastAsia="宋体" w:cs="宋体"/>
                <w:i w:val="0"/>
                <w:caps w:val="0"/>
                <w:color w:val="auto"/>
                <w:spacing w:val="0"/>
                <w:sz w:val="19"/>
                <w:szCs w:val="19"/>
                <w:bdr w:val="none" w:color="auto" w:sz="0" w:space="0"/>
              </w:rPr>
              <w:t>且高于</w:t>
            </w:r>
            <w:r>
              <w:rPr>
                <w:rFonts w:hint="default" w:ascii="Times New Roman" w:hAnsi="Times New Roman" w:eastAsia="微软雅黑" w:cs="Times New Roman"/>
                <w:i w:val="0"/>
                <w:caps w:val="0"/>
                <w:color w:val="auto"/>
                <w:spacing w:val="0"/>
                <w:sz w:val="19"/>
                <w:szCs w:val="19"/>
                <w:bdr w:val="none" w:color="auto" w:sz="0" w:space="0"/>
              </w:rPr>
              <w:t>3</w:t>
            </w:r>
            <w:r>
              <w:rPr>
                <w:rFonts w:hint="eastAsia" w:ascii="宋体" w:hAnsi="宋体" w:eastAsia="宋体" w:cs="宋体"/>
                <w:i w:val="0"/>
                <w:caps w:val="0"/>
                <w:color w:val="auto"/>
                <w:spacing w:val="0"/>
                <w:sz w:val="19"/>
                <w:szCs w:val="19"/>
                <w:bdr w:val="none" w:color="auto" w:sz="0" w:space="0"/>
              </w:rPr>
              <w:t>倍平均数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color w:val="auto"/>
              </w:rPr>
            </w:pPr>
            <w:r>
              <w:rPr>
                <w:rFonts w:hint="eastAsia" w:ascii="宋体" w:hAnsi="宋体" w:eastAsia="宋体" w:cs="宋体"/>
                <w:i w:val="0"/>
                <w:caps w:val="0"/>
                <w:color w:val="auto"/>
                <w:spacing w:val="0"/>
                <w:sz w:val="19"/>
                <w:szCs w:val="19"/>
                <w:bdr w:val="none" w:color="auto" w:sz="0" w:space="0"/>
              </w:rPr>
              <w:t>可分配限额（个）</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1</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color="auto" w:fill="FFFFFF"/>
            <w:vAlign w:val="top"/>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rPr>
            </w:pPr>
            <w:r>
              <w:rPr>
                <w:rFonts w:hint="eastAsia" w:ascii="微软雅黑" w:hAnsi="微软雅黑" w:eastAsia="微软雅黑" w:cs="微软雅黑"/>
                <w:i w:val="0"/>
                <w:caps w:val="0"/>
                <w:color w:val="auto"/>
                <w:spacing w:val="0"/>
                <w:kern w:val="0"/>
                <w:sz w:val="21"/>
                <w:szCs w:val="21"/>
                <w:bdr w:val="none" w:color="auto" w:sz="0" w:space="0"/>
                <w:lang w:val="en-US" w:eastAsia="zh-CN" w:bidi="ar"/>
              </w:rPr>
              <w:t>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注：以上平均数指单个展区内有效申请企业货物贸易展区出口额平均数。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（三）</w:t>
      </w:r>
      <w:r>
        <w:rPr>
          <w:rFonts w:hint="eastAsia" w:ascii="仿宋" w:hAnsi="仿宋" w:eastAsia="仿宋" w:cs="仿宋"/>
          <w:i w:val="0"/>
          <w:caps w:val="0"/>
          <w:color w:val="auto"/>
          <w:spacing w:val="0"/>
          <w:sz w:val="31"/>
          <w:szCs w:val="31"/>
          <w:bdr w:val="none" w:color="auto" w:sz="0" w:space="0"/>
          <w:shd w:val="clear" w:fill="FFFFFF"/>
        </w:rPr>
        <w:t>以上展位限额针对市下达结构基数内的一般性展位，不包括品牌、两创以及其他追加展位。对取得品牌展位的企业，原则上不再安排同展区一般性展位。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（四）</w:t>
      </w:r>
      <w:r>
        <w:rPr>
          <w:rFonts w:hint="eastAsia" w:ascii="仿宋" w:hAnsi="仿宋" w:eastAsia="仿宋" w:cs="仿宋"/>
          <w:i w:val="0"/>
          <w:caps w:val="0"/>
          <w:color w:val="auto"/>
          <w:spacing w:val="0"/>
          <w:sz w:val="31"/>
          <w:szCs w:val="31"/>
          <w:bdr w:val="none" w:color="auto" w:sz="0" w:space="0"/>
          <w:shd w:val="clear" w:fill="FFFFFF"/>
        </w:rPr>
        <w:t>鼓励科技创新、产品创新和高附加值出口企业争取两创展位；鼓励领军型企业、外贸模式创新企业、自主品牌出口企业申报品牌展位。符合温州市商务局《广交会温州分团展位申请、分配和管理办法》有关优先扶持条件的，给予统筹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bdr w:val="none" w:color="auto" w:sz="0" w:space="0"/>
          <w:shd w:val="clear" w:fill="FFFFFF"/>
        </w:rPr>
        <w:t>三、评分标准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（一）</w:t>
      </w:r>
      <w:r>
        <w:rPr>
          <w:rFonts w:hint="eastAsia" w:ascii="仿宋" w:hAnsi="仿宋" w:eastAsia="仿宋" w:cs="仿宋"/>
          <w:i w:val="0"/>
          <w:caps w:val="0"/>
          <w:color w:val="auto"/>
          <w:spacing w:val="0"/>
          <w:sz w:val="31"/>
          <w:szCs w:val="31"/>
          <w:bdr w:val="none" w:color="auto" w:sz="0" w:space="0"/>
          <w:shd w:val="clear" w:fill="FFFFFF"/>
        </w:rPr>
        <w:t>展区出口额（单位：万美元，45分）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分展区以申请企业展区项货物贸易出口额赋分，企业展区出口额分生产型企业和流通性企业，分四个档次赋分。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生产型企业-第一档：75-500万美元，出口额100万美元以下得8分，没有出口不得分，每递增50万美元加2分，最高不超过24分；第二档：500-1000万美元档次，出口额500万美元得24分，每递增100万得2分，最高不超过34分；第三档：1000-2000万美元，出口额1000万美元得34分，每递增200万得1分，最高不超过39分；第四档：出口额2000万美元以上，出口额2000万美元得39分，每递增400万得1分，最高不超过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流通型企业-第一档：150-1000万美元，出口额200万美元以下得8分，没有出口不得分，每递增100万美元加2分，最高不超过24分；第二档：1000-2000万美元，出口额1000万美元得24分，每递增200万得2分，最高不超过34分；第三档：2000-4000万美元，出口额2000万美元得34分，每递增400万得1分；第四档：4000万美元以上，出口额4000万美元得39分，每递增400万得0.5分，最高不超过45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（三）</w:t>
      </w:r>
      <w:r>
        <w:rPr>
          <w:rFonts w:hint="eastAsia" w:ascii="仿宋" w:hAnsi="仿宋" w:eastAsia="仿宋" w:cs="仿宋"/>
          <w:i w:val="0"/>
          <w:caps w:val="0"/>
          <w:color w:val="auto"/>
          <w:spacing w:val="0"/>
          <w:sz w:val="31"/>
          <w:szCs w:val="31"/>
          <w:bdr w:val="none" w:color="auto" w:sz="0" w:space="0"/>
          <w:shd w:val="clear" w:fill="FFFFFF"/>
        </w:rPr>
        <w:t>出口增速（20分）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分展区以申请企业货物贸易出口额同比增速赋分，同时出口额须达到参展标准。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生产型企业出口总额同比正增长的得5分，增速达10%以上的，得10分；增速达30%以上的，得15分；增速达50%以上的，得20分。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流通型企业出口总额同比正增长的得5分；增速达20%以上的，得10分；增速达50%以上的，得15分；增速达100%以上的，得20分。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以上两项相关数据均以省团华度系统最新对应期限和数据为准。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（四）</w:t>
      </w:r>
      <w:r>
        <w:rPr>
          <w:rFonts w:hint="eastAsia" w:ascii="仿宋" w:hAnsi="仿宋" w:eastAsia="仿宋" w:cs="仿宋"/>
          <w:i w:val="0"/>
          <w:caps w:val="0"/>
          <w:color w:val="auto"/>
          <w:spacing w:val="0"/>
          <w:sz w:val="31"/>
          <w:szCs w:val="31"/>
          <w:bdr w:val="none" w:color="auto" w:sz="0" w:space="0"/>
          <w:shd w:val="clear" w:fill="FFFFFF"/>
        </w:rPr>
        <w:t>工作参与（25分）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1.专注参展（3分）。鼓励企业专注同一展区参展，对继续申请上届已参与展区展位的企业，得3分。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2.数据报送（6分）。根据上年度省商务厅外贸数据监测系统、订单+清单系统等企业的入库情况赋分，其中纳入省商务运行调查监测系统的企业得4分，纳入订单+清单系统的企业得2分。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3.活动参与（8分）。对积极参加中国国际进口博览会、中国国际消费品博览会等商务部门鼓励企业参与活动的企业，每次得2分。对积极响应商务部门各类调查、走访、会议、培训等工作的企业酌情赋分。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4.行业自律（8分）。对积极应对贸易壁垒和反倾销、反补贴，维护进出口秩序的企业，每次加2分。对积极加入并参与苍南县对外经济贸易企业协会组织及活动的企业酌情赋分，对我县外贸工作有突出贡献，如积极开展服务贸易等促进外贸行业发展的企业酌情赋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（五）</w:t>
      </w:r>
      <w:r>
        <w:rPr>
          <w:rFonts w:hint="eastAsia" w:ascii="仿宋" w:hAnsi="仿宋" w:eastAsia="仿宋" w:cs="仿宋"/>
          <w:i w:val="0"/>
          <w:caps w:val="0"/>
          <w:color w:val="auto"/>
          <w:spacing w:val="0"/>
          <w:sz w:val="31"/>
          <w:szCs w:val="31"/>
          <w:bdr w:val="none" w:color="auto" w:sz="0" w:space="0"/>
          <w:shd w:val="clear" w:fill="FFFFFF"/>
        </w:rPr>
        <w:t>加减分（10分）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1.根据企业参加广交会表现情况，被大会、省团通报表扬的，每次加5分，市分团通报表扬的，每次加3分。积极参与绩效评估等工作的，每次加2分；被大会、省团、市（区）交易团警告、通报批评的，每次扣5分。对影响费用收缴、证件办理、贸易纠纷、知识产权、上报数据、广交会相关会议等工作的企业每次扣3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2.获得省级出口名牌的加5分、市级出口名牌的加2分（以新获评颁发日起两年内有效）。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3.对积极配合、参与县政府工作以及商务部门临时性、紧急性重要工作的企业或为全县各项工作作出重要贡献的企业，经苍南县商务局核实认可的，给予酌情加分。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以上加分、减分项均不超过10分。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bdr w:val="none" w:color="auto" w:sz="0" w:space="0"/>
          <w:shd w:val="clear" w:fill="FFFFFF"/>
        </w:rPr>
        <w:t>四、分配程序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（一）</w:t>
      </w:r>
      <w:r>
        <w:rPr>
          <w:rFonts w:hint="eastAsia" w:ascii="仿宋" w:hAnsi="仿宋" w:eastAsia="仿宋" w:cs="仿宋"/>
          <w:i w:val="0"/>
          <w:caps w:val="0"/>
          <w:color w:val="auto"/>
          <w:spacing w:val="0"/>
          <w:sz w:val="31"/>
          <w:szCs w:val="31"/>
          <w:bdr w:val="none" w:color="auto" w:sz="0" w:space="0"/>
          <w:shd w:val="clear" w:fill="FFFFFF"/>
        </w:rPr>
        <w:t>申请企业完成“易捷通”网上申报，申请成功后下载打印参展申请表、企业法人营业执照、纳税证明加盖公章后送至苍南县商务局，特殊展区按要求提供其他相关纸质材料。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（二）</w:t>
      </w:r>
      <w:r>
        <w:rPr>
          <w:rFonts w:hint="eastAsia" w:ascii="仿宋" w:hAnsi="仿宋" w:eastAsia="仿宋" w:cs="仿宋"/>
          <w:i w:val="0"/>
          <w:caps w:val="0"/>
          <w:color w:val="auto"/>
          <w:spacing w:val="0"/>
          <w:sz w:val="31"/>
          <w:szCs w:val="31"/>
          <w:bdr w:val="none" w:color="auto" w:sz="0" w:space="0"/>
          <w:shd w:val="clear" w:fill="FFFFFF"/>
        </w:rPr>
        <w:t>根据企业申报情况，按照分配原则制定初步分配方案提交局党组会议讨论研究，并邀请派驻纪检组参与监督。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（三）</w:t>
      </w:r>
      <w:r>
        <w:rPr>
          <w:rFonts w:hint="eastAsia" w:ascii="仿宋" w:hAnsi="仿宋" w:eastAsia="仿宋" w:cs="仿宋"/>
          <w:i w:val="0"/>
          <w:caps w:val="0"/>
          <w:color w:val="auto"/>
          <w:spacing w:val="0"/>
          <w:sz w:val="31"/>
          <w:szCs w:val="31"/>
          <w:bdr w:val="none" w:color="auto" w:sz="0" w:space="0"/>
          <w:shd w:val="clear" w:fill="FFFFFF"/>
        </w:rPr>
        <w:t>局党组会议研究后报温州市商务局，经温州市商务局复核后，再按市商务局要求进行公示。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（四）</w:t>
      </w:r>
      <w:r>
        <w:rPr>
          <w:rFonts w:hint="eastAsia" w:ascii="仿宋" w:hAnsi="仿宋" w:eastAsia="仿宋" w:cs="仿宋"/>
          <w:i w:val="0"/>
          <w:caps w:val="0"/>
          <w:color w:val="auto"/>
          <w:spacing w:val="0"/>
          <w:sz w:val="31"/>
          <w:szCs w:val="31"/>
          <w:bdr w:val="none" w:color="auto" w:sz="0" w:space="0"/>
          <w:shd w:val="clear" w:fill="FFFFFF"/>
        </w:rPr>
        <w:t>公示期满后，由苍南县商务局统一收取参展企业展位费用并上交温州市商务局。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bdr w:val="none" w:color="auto" w:sz="0" w:space="0"/>
          <w:shd w:val="clear" w:fill="FFFFFF"/>
        </w:rPr>
        <w:t>五、禁止参展和违规处理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仿宋" w:hAnsi="仿宋" w:eastAsia="仿宋" w:cs="仿宋"/>
          <w:i w:val="0"/>
          <w:caps w:val="0"/>
          <w:color w:val="auto"/>
          <w:spacing w:val="0"/>
          <w:sz w:val="31"/>
          <w:szCs w:val="31"/>
          <w:bdr w:val="none" w:color="auto" w:sz="0" w:space="0"/>
          <w:shd w:val="clear" w:fill="FFFFFF"/>
        </w:rPr>
        <w:t>参展企业必须严格遵守涉及广交会的有关管理规定，在接受大会有关管理规定处理的基础上，按照温州市商务局《广交会温州分团展位申请、分配和管理办法》有关禁止参展企业、展品和违规处理及责任追究办法执行。</w:t>
      </w:r>
      <w:r>
        <w:rPr>
          <w:rFonts w:ascii="仿宋_GB2312" w:hAnsi="仿宋_GB2312" w:eastAsia="仿宋_GB2312" w:cs="仿宋_GB2312"/>
          <w:i w:val="0"/>
          <w:caps w:val="0"/>
          <w:color w:val="auto"/>
          <w:spacing w:val="0"/>
          <w:sz w:val="31"/>
          <w:szCs w:val="31"/>
          <w:bdr w:val="none" w:color="auto" w:sz="0" w:space="0"/>
          <w:shd w:val="clear" w:fill="FFFFFF"/>
        </w:rPr>
        <w:t>如出现下列情况，在接受广交会出口展有关条款和管理规定处理的基础上，并给予以下处理：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auto"/>
          <w:spacing w:val="0"/>
          <w:sz w:val="24"/>
          <w:szCs w:val="24"/>
        </w:rPr>
      </w:pPr>
      <w:r>
        <w:rPr>
          <w:rFonts w:ascii="仿宋_GB2312" w:hAnsi="仿宋_GB2312" w:eastAsia="仿宋_GB2312" w:cs="仿宋_GB2312"/>
          <w:i w:val="0"/>
          <w:caps w:val="0"/>
          <w:color w:val="auto"/>
          <w:spacing w:val="0"/>
          <w:sz w:val="31"/>
          <w:szCs w:val="31"/>
          <w:bdr w:val="none" w:color="auto" w:sz="0" w:space="0"/>
          <w:shd w:val="clear" w:fill="FFFFFF"/>
        </w:rPr>
        <w:t>    1.参展企业违规转让或转租（卖）展位。被县商务部门查实，取消该企业从下届在违规所属出口展区的参展资格，同时取消该企业当年度参加广交会展会补助资格；被市级及以上检查组查实，按上级处理结果执行，同时取消该企业当年度参加广交会展会补助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auto"/>
          <w:spacing w:val="0"/>
          <w:sz w:val="24"/>
          <w:szCs w:val="24"/>
        </w:rPr>
      </w:pPr>
      <w:r>
        <w:rPr>
          <w:rFonts w:ascii="仿宋_GB2312" w:hAnsi="仿宋_GB2312" w:eastAsia="仿宋_GB2312" w:cs="仿宋_GB2312"/>
          <w:i w:val="0"/>
          <w:caps w:val="0"/>
          <w:color w:val="auto"/>
          <w:spacing w:val="0"/>
          <w:sz w:val="31"/>
          <w:szCs w:val="31"/>
          <w:bdr w:val="none" w:color="auto" w:sz="0" w:space="0"/>
          <w:shd w:val="clear" w:fill="FFFFFF"/>
        </w:rPr>
        <w:t>    2.对被认定违规空置展位的参展企业。按上级处理结果执行，同时取消该企业当年度参加广交会展会补助资格。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ascii="仿宋_GB2312" w:hAnsi="仿宋_GB2312" w:eastAsia="仿宋_GB2312" w:cs="仿宋_GB2312"/>
          <w:i w:val="0"/>
          <w:caps w:val="0"/>
          <w:color w:val="auto"/>
          <w:spacing w:val="0"/>
          <w:sz w:val="31"/>
          <w:szCs w:val="31"/>
          <w:bdr w:val="none" w:color="auto" w:sz="0" w:space="0"/>
          <w:shd w:val="clear" w:fill="FFFFFF"/>
        </w:rPr>
        <w:t>3. 其他违规行为。参展企业被检查团认定为涉嫌侵犯知识产权、违规发放宣传品等其他违规行为，按上级处理结果执行，同时取消该企业当年度参加广交会展会补助资格。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黑体" w:hAnsi="宋体" w:eastAsia="黑体" w:cs="黑体"/>
          <w:i w:val="0"/>
          <w:caps w:val="0"/>
          <w:color w:val="auto"/>
          <w:spacing w:val="0"/>
          <w:sz w:val="31"/>
          <w:szCs w:val="31"/>
          <w:bdr w:val="none" w:color="auto" w:sz="0" w:space="0"/>
          <w:shd w:val="clear" w:fill="FFFFFF"/>
        </w:rPr>
        <w:t>六、附则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（一）</w:t>
      </w:r>
      <w:r>
        <w:rPr>
          <w:rFonts w:hint="eastAsia" w:ascii="仿宋" w:hAnsi="仿宋" w:eastAsia="仿宋" w:cs="仿宋"/>
          <w:i w:val="0"/>
          <w:caps w:val="0"/>
          <w:color w:val="auto"/>
          <w:spacing w:val="0"/>
          <w:sz w:val="31"/>
          <w:szCs w:val="31"/>
          <w:bdr w:val="none" w:color="auto" w:sz="0" w:space="0"/>
          <w:shd w:val="clear" w:fill="FFFFFF"/>
        </w:rPr>
        <w:t>本办法如遇到未列明、有争议的情况时，由苍南县商务局负责解释。苍南县商务局本着公平公正，有利于全县外贸工作的原则提出解决方案，并经局党组会议研究决定。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auto"/>
          <w:spacing w:val="0"/>
          <w:sz w:val="24"/>
          <w:szCs w:val="24"/>
        </w:rPr>
      </w:pPr>
      <w:r>
        <w:rPr>
          <w:rFonts w:hint="eastAsia" w:ascii="楷体" w:hAnsi="楷体" w:eastAsia="楷体" w:cs="楷体"/>
          <w:i w:val="0"/>
          <w:caps w:val="0"/>
          <w:color w:val="auto"/>
          <w:spacing w:val="0"/>
          <w:sz w:val="31"/>
          <w:szCs w:val="31"/>
          <w:bdr w:val="none" w:color="auto" w:sz="0" w:space="0"/>
          <w:shd w:val="clear" w:fill="FFFFFF"/>
        </w:rPr>
        <w:t>（二）</w:t>
      </w:r>
      <w:r>
        <w:rPr>
          <w:rFonts w:hint="eastAsia" w:ascii="仿宋" w:hAnsi="仿宋" w:eastAsia="仿宋" w:cs="仿宋"/>
          <w:i w:val="0"/>
          <w:caps w:val="0"/>
          <w:color w:val="auto"/>
          <w:spacing w:val="0"/>
          <w:sz w:val="31"/>
          <w:szCs w:val="31"/>
          <w:bdr w:val="none" w:color="auto" w:sz="0" w:space="0"/>
          <w:shd w:val="clear" w:fill="FFFFFF"/>
        </w:rPr>
        <w:t>本办法自2023年？月？日起施行。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6A4A"/>
    <w:rsid w:val="03790534"/>
    <w:rsid w:val="058C2E6F"/>
    <w:rsid w:val="066A2138"/>
    <w:rsid w:val="094C24DA"/>
    <w:rsid w:val="097E2207"/>
    <w:rsid w:val="0A0165C2"/>
    <w:rsid w:val="0A22188F"/>
    <w:rsid w:val="0D5C3815"/>
    <w:rsid w:val="0E3916C9"/>
    <w:rsid w:val="11A86411"/>
    <w:rsid w:val="13300FE3"/>
    <w:rsid w:val="13B63161"/>
    <w:rsid w:val="13F10F97"/>
    <w:rsid w:val="15782970"/>
    <w:rsid w:val="15F632EB"/>
    <w:rsid w:val="161A60F2"/>
    <w:rsid w:val="17524F56"/>
    <w:rsid w:val="17C84935"/>
    <w:rsid w:val="18706072"/>
    <w:rsid w:val="1C4B3DE9"/>
    <w:rsid w:val="1E5B56DB"/>
    <w:rsid w:val="1EB21144"/>
    <w:rsid w:val="1FD935AE"/>
    <w:rsid w:val="203238BE"/>
    <w:rsid w:val="20AC6752"/>
    <w:rsid w:val="21114D39"/>
    <w:rsid w:val="22B260C2"/>
    <w:rsid w:val="22DC4769"/>
    <w:rsid w:val="261228A9"/>
    <w:rsid w:val="27141A1B"/>
    <w:rsid w:val="27654BE6"/>
    <w:rsid w:val="27C057A6"/>
    <w:rsid w:val="294E42FA"/>
    <w:rsid w:val="2A092FAB"/>
    <w:rsid w:val="2BBC765B"/>
    <w:rsid w:val="2BC92FD7"/>
    <w:rsid w:val="2E282455"/>
    <w:rsid w:val="2ED53F1E"/>
    <w:rsid w:val="2F323583"/>
    <w:rsid w:val="32F6246C"/>
    <w:rsid w:val="336B36E6"/>
    <w:rsid w:val="33D73AF1"/>
    <w:rsid w:val="34735D92"/>
    <w:rsid w:val="35174FB9"/>
    <w:rsid w:val="35716FBB"/>
    <w:rsid w:val="36DA7500"/>
    <w:rsid w:val="380A111B"/>
    <w:rsid w:val="398C356C"/>
    <w:rsid w:val="3A5A24F0"/>
    <w:rsid w:val="3ABD3828"/>
    <w:rsid w:val="3B3D6696"/>
    <w:rsid w:val="3BDE76A6"/>
    <w:rsid w:val="3BE92D41"/>
    <w:rsid w:val="3EF96811"/>
    <w:rsid w:val="3F30222A"/>
    <w:rsid w:val="413F4CD8"/>
    <w:rsid w:val="426A1651"/>
    <w:rsid w:val="451D2A04"/>
    <w:rsid w:val="4899203F"/>
    <w:rsid w:val="48F7270B"/>
    <w:rsid w:val="4A0417A5"/>
    <w:rsid w:val="4BE82D8D"/>
    <w:rsid w:val="4D7763C0"/>
    <w:rsid w:val="4EE85031"/>
    <w:rsid w:val="50440FE7"/>
    <w:rsid w:val="5058172B"/>
    <w:rsid w:val="52DB6B86"/>
    <w:rsid w:val="5382375D"/>
    <w:rsid w:val="54B0505B"/>
    <w:rsid w:val="55E944B4"/>
    <w:rsid w:val="57317270"/>
    <w:rsid w:val="578F0354"/>
    <w:rsid w:val="58C20118"/>
    <w:rsid w:val="59D20F5A"/>
    <w:rsid w:val="5A0A3764"/>
    <w:rsid w:val="5B9D34DA"/>
    <w:rsid w:val="5CEF6236"/>
    <w:rsid w:val="60AF3C50"/>
    <w:rsid w:val="62CA010F"/>
    <w:rsid w:val="643B7A8E"/>
    <w:rsid w:val="64882B45"/>
    <w:rsid w:val="68400CF9"/>
    <w:rsid w:val="6B2D1B94"/>
    <w:rsid w:val="6CAF6D9B"/>
    <w:rsid w:val="6D443636"/>
    <w:rsid w:val="6DE303DC"/>
    <w:rsid w:val="6E5D352E"/>
    <w:rsid w:val="70C9537E"/>
    <w:rsid w:val="714B663D"/>
    <w:rsid w:val="73350C09"/>
    <w:rsid w:val="744422A2"/>
    <w:rsid w:val="78901EC2"/>
    <w:rsid w:val="78974DBE"/>
    <w:rsid w:val="791C7133"/>
    <w:rsid w:val="79B912CC"/>
    <w:rsid w:val="7A4F1110"/>
    <w:rsid w:val="7CAB1924"/>
    <w:rsid w:val="7D23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2022-01-30T00:35:00Z</dcterms:created>
  <dc:creator>Administrator</dc:creator>
  <cp:lastModifiedBy>金理翔</cp:lastModifiedBy>
  <dcterms:modified xsi:type="dcterms:W3CDTF">2024-01-05T02:36:57Z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