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520" w:firstLineChars="1100"/>
        <w:rPr>
          <w:rFonts w:hint="eastAsia" w:ascii="仿宋" w:hAnsi="仿宋" w:eastAsia="仿宋" w:cs="仿宋"/>
          <w:sz w:val="32"/>
          <w:szCs w:val="32"/>
        </w:rPr>
      </w:pPr>
    </w:p>
    <w:p>
      <w:pPr>
        <w:ind w:firstLine="3520" w:firstLineChars="800"/>
        <w:rPr>
          <w:rFonts w:hint="eastAsia" w:ascii="仿宋" w:hAnsi="仿宋" w:eastAsia="仿宋" w:cs="仿宋"/>
          <w:sz w:val="32"/>
          <w:szCs w:val="32"/>
        </w:rPr>
      </w:pPr>
      <w:r>
        <w:rPr>
          <w:rFonts w:hint="eastAsia" w:ascii="宋体" w:hAnsi="宋体" w:eastAsia="宋体" w:cs="宋体"/>
          <w:sz w:val="44"/>
          <w:szCs w:val="44"/>
        </w:rPr>
        <w:t>附 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u w:val="none"/>
        </w:rPr>
      </w:pPr>
      <w:r>
        <w:rPr>
          <w:rFonts w:hint="eastAsia" w:ascii="仿宋" w:hAnsi="仿宋" w:eastAsia="仿宋" w:cs="仿宋"/>
          <w:sz w:val="32"/>
          <w:szCs w:val="32"/>
          <w:u w:val="none"/>
        </w:rPr>
        <w:t>1.适用对象。本政策适用对象奖补时间从2023年1月1 日开始计，适用范围原则上为</w:t>
      </w:r>
      <w:r>
        <w:rPr>
          <w:rFonts w:hint="eastAsia" w:ascii="仿宋" w:hAnsi="仿宋" w:eastAsia="仿宋" w:cs="仿宋"/>
          <w:sz w:val="32"/>
          <w:szCs w:val="32"/>
          <w:u w:val="none"/>
          <w:lang w:eastAsia="zh-CN"/>
        </w:rPr>
        <w:t>文成县域</w:t>
      </w:r>
      <w:r>
        <w:rPr>
          <w:rFonts w:hint="eastAsia" w:ascii="仿宋" w:hAnsi="仿宋" w:eastAsia="仿宋" w:cs="仿宋"/>
          <w:sz w:val="32"/>
          <w:szCs w:val="32"/>
          <w:u w:val="none"/>
        </w:rPr>
        <w:t>范围，所指企业原则上为申报时依法登记在册、依法纳税的</w:t>
      </w:r>
      <w:r>
        <w:rPr>
          <w:rFonts w:hint="eastAsia" w:ascii="仿宋" w:hAnsi="仿宋" w:eastAsia="仿宋" w:cs="仿宋"/>
          <w:sz w:val="32"/>
          <w:szCs w:val="32"/>
          <w:u w:val="none"/>
          <w:lang w:eastAsia="zh-CN"/>
        </w:rPr>
        <w:t>本地</w:t>
      </w:r>
      <w:r>
        <w:rPr>
          <w:rFonts w:hint="eastAsia" w:ascii="仿宋" w:hAnsi="仿宋" w:eastAsia="仿宋" w:cs="仿宋"/>
          <w:sz w:val="32"/>
          <w:szCs w:val="32"/>
          <w:u w:val="none"/>
        </w:rPr>
        <w:t>企业</w:t>
      </w:r>
      <w:r>
        <w:rPr>
          <w:rFonts w:hint="eastAsia" w:ascii="仿宋" w:hAnsi="仿宋" w:eastAsia="仿宋" w:cs="仿宋"/>
          <w:sz w:val="32"/>
          <w:szCs w:val="32"/>
          <w:u w:val="none"/>
          <w:lang w:eastAsia="zh-CN"/>
        </w:rPr>
        <w:t>、</w:t>
      </w:r>
      <w:r>
        <w:rPr>
          <w:rFonts w:hint="eastAsia" w:ascii="仿宋" w:hAnsi="仿宋" w:eastAsia="仿宋" w:cs="仿宋"/>
          <w:sz w:val="32"/>
          <w:szCs w:val="32"/>
          <w:u w:val="none"/>
        </w:rPr>
        <w:t>合伙企业</w:t>
      </w:r>
      <w:r>
        <w:rPr>
          <w:rFonts w:hint="eastAsia" w:ascii="仿宋" w:hAnsi="仿宋" w:eastAsia="仿宋" w:cs="仿宋"/>
          <w:sz w:val="32"/>
          <w:szCs w:val="32"/>
          <w:u w:val="none"/>
          <w:lang w:eastAsia="zh-CN"/>
        </w:rPr>
        <w:t>或个体</w:t>
      </w:r>
      <w:r>
        <w:rPr>
          <w:rFonts w:hint="eastAsia" w:ascii="仿宋" w:hAnsi="仿宋" w:eastAsia="仿宋" w:cs="仿宋"/>
          <w:sz w:val="32"/>
          <w:szCs w:val="32"/>
          <w:u w:val="none"/>
        </w:rPr>
        <w:t>，</w:t>
      </w:r>
      <w:r>
        <w:rPr>
          <w:rFonts w:hint="eastAsia" w:ascii="仿宋_GB2312" w:hAnsi="宋体" w:eastAsia="仿宋_GB2312" w:cs="宋体"/>
          <w:sz w:val="32"/>
          <w:szCs w:val="32"/>
          <w:u w:val="none"/>
        </w:rPr>
        <w:t>房地产开发经营企业（项目）、总部经济企业不享受本政策全部条款</w:t>
      </w:r>
      <w:r>
        <w:rPr>
          <w:rFonts w:hint="eastAsia" w:ascii="仿宋_GB2312" w:hAnsi="宋体" w:eastAsia="仿宋_GB2312" w:cs="宋体"/>
          <w:sz w:val="32"/>
          <w:szCs w:val="32"/>
          <w:u w:val="none"/>
          <w:lang w:eastAsia="zh-CN"/>
        </w:rPr>
        <w:t>。</w:t>
      </w:r>
      <w:r>
        <w:rPr>
          <w:rFonts w:hint="eastAsia" w:ascii="仿宋" w:hAnsi="仿宋" w:eastAsia="仿宋" w:cs="仿宋"/>
          <w:sz w:val="32"/>
          <w:szCs w:val="32"/>
          <w:u w:val="none"/>
        </w:rPr>
        <w:t>行政单位原则</w:t>
      </w:r>
      <w:bookmarkStart w:id="0" w:name="_GoBack"/>
      <w:bookmarkEnd w:id="0"/>
      <w:r>
        <w:rPr>
          <w:rFonts w:hint="eastAsia" w:ascii="仿宋" w:hAnsi="仿宋" w:eastAsia="仿宋" w:cs="仿宋"/>
          <w:sz w:val="32"/>
          <w:szCs w:val="32"/>
          <w:u w:val="none"/>
        </w:rPr>
        <w:t>上不作为奖补对象，本政策正文另有规定除外。“支持人力资源业发展”政策条款涉及申报主体不受“亩均论英雄”综合评价 C、D类限制。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u w:val="none"/>
        </w:rPr>
      </w:pPr>
      <w:r>
        <w:rPr>
          <w:rFonts w:hint="eastAsia" w:ascii="仿宋" w:hAnsi="仿宋" w:eastAsia="仿宋" w:cs="仿宋"/>
          <w:sz w:val="32"/>
          <w:szCs w:val="32"/>
          <w:u w:val="none"/>
        </w:rPr>
        <w:t>2.资金安排。本政策奖补资金用于支持企业高质量发展，原则上适用统一的产业政策奖补资金兑现管理办法，纳入温州市产业政策奖励系统（惠企政策“直通车”）办理，除条款中已经明确资金承担方式外，其他均按现行财政体制分担。</w:t>
      </w:r>
      <w:r>
        <w:rPr>
          <w:rFonts w:hint="eastAsia" w:ascii="仿宋_GB2312" w:hAnsi="宋体" w:eastAsia="仿宋_GB2312" w:cs="宋体"/>
          <w:sz w:val="32"/>
          <w:szCs w:val="32"/>
          <w:u w:val="none"/>
        </w:rPr>
        <w:t>每年度申报期为</w:t>
      </w:r>
      <w:r>
        <w:rPr>
          <w:rFonts w:hint="eastAsia" w:ascii="仿宋_GB2312" w:hAnsi="??_GB2312" w:eastAsia="仿宋_GB2312" w:cs="??_GB2312"/>
          <w:sz w:val="32"/>
          <w:szCs w:val="32"/>
          <w:u w:val="none"/>
        </w:rPr>
        <w:t>1</w:t>
      </w:r>
      <w:r>
        <w:rPr>
          <w:rFonts w:hint="eastAsia" w:ascii="仿宋_GB2312" w:hAnsi="宋体" w:eastAsia="仿宋_GB2312" w:cs="宋体"/>
          <w:sz w:val="32"/>
          <w:szCs w:val="32"/>
          <w:u w:val="none"/>
        </w:rPr>
        <w:t>－</w:t>
      </w:r>
      <w:r>
        <w:rPr>
          <w:rFonts w:hint="eastAsia" w:ascii="仿宋_GB2312" w:hAnsi="??_GB2312" w:eastAsia="仿宋_GB2312" w:cs="??_GB2312"/>
          <w:sz w:val="32"/>
          <w:szCs w:val="32"/>
          <w:u w:val="none"/>
        </w:rPr>
        <w:t>10</w:t>
      </w:r>
      <w:r>
        <w:rPr>
          <w:rFonts w:hint="eastAsia" w:ascii="仿宋_GB2312" w:hAnsi="宋体" w:eastAsia="仿宋_GB2312" w:cs="宋体"/>
          <w:sz w:val="32"/>
          <w:szCs w:val="32"/>
          <w:u w:val="none"/>
        </w:rPr>
        <w:t>月份，每个项目具体申报时间以职能部门通知为准，</w:t>
      </w:r>
      <w:r>
        <w:rPr>
          <w:rFonts w:hint="eastAsia" w:ascii="仿宋_GB2312" w:hAnsi="??_GB2312" w:eastAsia="仿宋_GB2312" w:cs="??_GB2312"/>
          <w:sz w:val="32"/>
          <w:szCs w:val="32"/>
          <w:u w:val="none"/>
        </w:rPr>
        <w:t>10</w:t>
      </w:r>
      <w:r>
        <w:rPr>
          <w:rFonts w:hint="eastAsia" w:ascii="仿宋_GB2312" w:hAnsi="宋体" w:eastAsia="仿宋_GB2312" w:cs="宋体"/>
          <w:sz w:val="32"/>
          <w:szCs w:val="32"/>
          <w:u w:val="none"/>
        </w:rPr>
        <w:t>月以后申报的项目原则上安排在次年</w:t>
      </w:r>
      <w:r>
        <w:rPr>
          <w:rFonts w:hint="eastAsia" w:ascii="仿宋_GB2312" w:hAnsi="??_GB2312" w:eastAsia="仿宋_GB2312" w:cs="??_GB2312"/>
          <w:sz w:val="32"/>
          <w:szCs w:val="32"/>
          <w:u w:val="none"/>
        </w:rPr>
        <w:t>1</w:t>
      </w:r>
      <w:r>
        <w:rPr>
          <w:rFonts w:hint="eastAsia" w:ascii="仿宋_GB2312" w:hAnsi="宋体" w:eastAsia="仿宋_GB2312" w:cs="宋体"/>
          <w:sz w:val="32"/>
          <w:szCs w:val="32"/>
          <w:u w:val="none"/>
        </w:rPr>
        <w:t>－</w:t>
      </w:r>
      <w:r>
        <w:rPr>
          <w:rFonts w:hint="eastAsia" w:ascii="仿宋_GB2312" w:hAnsi="??_GB2312" w:eastAsia="仿宋_GB2312" w:cs="??_GB2312"/>
          <w:sz w:val="32"/>
          <w:szCs w:val="32"/>
          <w:u w:val="none"/>
        </w:rPr>
        <w:t>3</w:t>
      </w:r>
      <w:r>
        <w:rPr>
          <w:rFonts w:hint="eastAsia" w:ascii="仿宋_GB2312" w:hAnsi="宋体" w:eastAsia="仿宋_GB2312" w:cs="宋体"/>
          <w:sz w:val="32"/>
          <w:szCs w:val="32"/>
          <w:u w:val="none"/>
        </w:rPr>
        <w:t>月兑付。批零住餐业上限奖励申报期为次年</w:t>
      </w:r>
      <w:r>
        <w:rPr>
          <w:rFonts w:hint="eastAsia" w:ascii="仿宋_GB2312" w:hAnsi="??_GB2312" w:eastAsia="仿宋_GB2312" w:cs="??_GB2312"/>
          <w:sz w:val="32"/>
          <w:szCs w:val="32"/>
          <w:u w:val="none"/>
        </w:rPr>
        <w:t>1-10</w:t>
      </w:r>
      <w:r>
        <w:rPr>
          <w:rFonts w:hint="eastAsia" w:ascii="仿宋_GB2312" w:hAnsi="宋体" w:eastAsia="仿宋_GB2312" w:cs="宋体"/>
          <w:sz w:val="32"/>
          <w:szCs w:val="32"/>
          <w:u w:val="none"/>
        </w:rPr>
        <w:t>月，服务业（不含批零住餐）上规奖励申报期，为申报上规年始第三年</w:t>
      </w:r>
      <w:r>
        <w:rPr>
          <w:rFonts w:hint="eastAsia" w:ascii="仿宋_GB2312" w:hAnsi="??_GB2312" w:eastAsia="仿宋_GB2312" w:cs="??_GB2312"/>
          <w:sz w:val="32"/>
          <w:szCs w:val="32"/>
          <w:u w:val="none"/>
        </w:rPr>
        <w:t>1-10</w:t>
      </w:r>
      <w:r>
        <w:rPr>
          <w:rFonts w:hint="eastAsia" w:ascii="仿宋_GB2312" w:hAnsi="宋体" w:eastAsia="仿宋_GB2312" w:cs="宋体"/>
          <w:sz w:val="32"/>
          <w:szCs w:val="32"/>
          <w:u w:val="none"/>
        </w:rPr>
        <w:t>月、第五年</w:t>
      </w:r>
      <w:r>
        <w:rPr>
          <w:rFonts w:hint="eastAsia" w:ascii="仿宋_GB2312" w:hAnsi="??_GB2312" w:eastAsia="仿宋_GB2312" w:cs="??_GB2312"/>
          <w:sz w:val="32"/>
          <w:szCs w:val="32"/>
          <w:u w:val="none"/>
        </w:rPr>
        <w:t>1-10</w:t>
      </w:r>
      <w:r>
        <w:rPr>
          <w:rFonts w:hint="eastAsia" w:ascii="仿宋_GB2312" w:hAnsi="宋体" w:eastAsia="仿宋_GB2312" w:cs="宋体"/>
          <w:sz w:val="32"/>
          <w:szCs w:val="32"/>
          <w:u w:val="none"/>
        </w:rPr>
        <w:t>月。体育产业和养老服务业部分奖励由财政资金和体彩（福彩）资金组合安排。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u w:val="none"/>
        </w:rPr>
      </w:pPr>
      <w:r>
        <w:rPr>
          <w:rFonts w:hint="eastAsia" w:ascii="仿宋_GB2312" w:hAnsi="??_GB2312" w:eastAsia="仿宋_GB2312" w:cs="??_GB2312"/>
          <w:sz w:val="32"/>
          <w:szCs w:val="32"/>
          <w:u w:val="none"/>
        </w:rPr>
        <w:t>3.</w:t>
      </w:r>
      <w:r>
        <w:rPr>
          <w:rFonts w:hint="eastAsia" w:ascii="仿宋_GB2312" w:hAnsi="宋体" w:eastAsia="仿宋_GB2312" w:cs="宋体"/>
          <w:sz w:val="32"/>
          <w:szCs w:val="32"/>
          <w:u w:val="none"/>
        </w:rPr>
        <w:t>关于重复、叠加和进等奖励。</w:t>
      </w:r>
      <w:r>
        <w:rPr>
          <w:rFonts w:hint="eastAsia" w:ascii="仿宋_GB2312" w:hAnsi="宋体" w:eastAsia="仿宋_GB2312" w:cs="宋体"/>
          <w:color w:val="auto"/>
          <w:sz w:val="32"/>
          <w:szCs w:val="32"/>
          <w:highlight w:val="none"/>
          <w:u w:val="none"/>
        </w:rPr>
        <w:t>同一项目符合本政策两项或两项以上扶持条款的，可执行最高额，但不重复享受。</w:t>
      </w:r>
      <w:r>
        <w:rPr>
          <w:rFonts w:hint="eastAsia" w:ascii="仿宋_GB2312" w:hAnsi="宋体" w:eastAsia="仿宋_GB2312" w:cs="宋体"/>
          <w:sz w:val="32"/>
          <w:szCs w:val="32"/>
          <w:u w:val="none"/>
        </w:rPr>
        <w:t>同一企业（社会组织、机构）不同项目符合本政策两项或两项以上扶持条款的，可叠加执行。同一企业以同一名义（项目）在县级获得财政奖励后又获得更高等次奖励认定的，各级已奖励部分视作已配套，不足部分按照上级有关规定予以补足。同一奖项（认定）在低等次已作奖励的，晋升到高等次时，只奖励差额部分。同一奖项（认定）已享受上级政策扶持的，县级仅对不足部分予以补足。本政策与县级其他政策对同一个企业（项目）的同类型奖励出现重合时，执行最高额，不重复享受。</w:t>
      </w:r>
      <w:r>
        <w:rPr>
          <w:rFonts w:hint="eastAsia" w:ascii="仿宋_GB2312" w:hAnsi="宋体" w:eastAsia="仿宋_GB2312" w:cs="宋体"/>
          <w:strike w:val="0"/>
          <w:dstrike w:val="0"/>
          <w:sz w:val="32"/>
          <w:szCs w:val="32"/>
          <w:u w:val="none"/>
        </w:rPr>
        <w:t>享受营收贡献奖、</w:t>
      </w:r>
      <w:r>
        <w:rPr>
          <w:rFonts w:hint="eastAsia" w:ascii="仿宋_GB2312" w:hAnsi="宋体" w:eastAsia="仿宋_GB2312" w:cs="宋体"/>
          <w:strike w:val="0"/>
          <w:dstrike w:val="0"/>
          <w:kern w:val="0"/>
          <w:sz w:val="32"/>
          <w:szCs w:val="32"/>
          <w:u w:val="none"/>
        </w:rPr>
        <w:t>提档升级奖</w:t>
      </w:r>
      <w:r>
        <w:rPr>
          <w:rFonts w:hint="eastAsia" w:ascii="仿宋_GB2312" w:hAnsi="宋体" w:eastAsia="仿宋_GB2312" w:cs="宋体"/>
          <w:strike w:val="0"/>
          <w:dstrike w:val="0"/>
          <w:sz w:val="32"/>
          <w:szCs w:val="32"/>
          <w:u w:val="none"/>
        </w:rPr>
        <w:t>的企业或平台，享受影视企业销售额奖补的企业或平台，奖励额度最高不超过地方综合贡献度的</w:t>
      </w:r>
      <w:r>
        <w:rPr>
          <w:rFonts w:hint="eastAsia" w:ascii="仿宋_GB2312" w:hAnsi="??_GB2312" w:eastAsia="仿宋_GB2312" w:cs="??_GB2312"/>
          <w:strike w:val="0"/>
          <w:dstrike w:val="0"/>
          <w:sz w:val="32"/>
          <w:szCs w:val="32"/>
          <w:u w:val="none"/>
        </w:rPr>
        <w:t>80%</w:t>
      </w:r>
      <w:r>
        <w:rPr>
          <w:rFonts w:hint="eastAsia" w:ascii="仿宋_GB2312" w:hAnsi="宋体" w:eastAsia="仿宋_GB2312" w:cs="宋体"/>
          <w:strike w:val="0"/>
          <w:dstrike w:val="0"/>
          <w:sz w:val="32"/>
          <w:szCs w:val="32"/>
          <w:u w:val="none"/>
        </w:rPr>
        <w:t>。</w:t>
      </w:r>
      <w:r>
        <w:rPr>
          <w:rFonts w:hint="eastAsia" w:ascii="仿宋_GB2312" w:hAnsi="宋体" w:eastAsia="仿宋_GB2312" w:cs="宋体"/>
          <w:sz w:val="32"/>
          <w:szCs w:val="32"/>
          <w:u w:val="none"/>
        </w:rPr>
        <w:t>其他确需扶持的项目，经县政府同意，采取</w:t>
      </w:r>
      <w:r>
        <w:rPr>
          <w:rFonts w:hint="eastAsia" w:ascii="仿宋_GB2312" w:eastAsia="仿宋_GB2312"/>
          <w:sz w:val="32"/>
          <w:szCs w:val="32"/>
          <w:u w:val="none"/>
        </w:rPr>
        <w:t>“</w:t>
      </w:r>
      <w:r>
        <w:rPr>
          <w:rFonts w:hint="eastAsia" w:ascii="仿宋_GB2312" w:hAnsi="宋体" w:eastAsia="仿宋_GB2312" w:cs="宋体"/>
          <w:sz w:val="32"/>
          <w:szCs w:val="32"/>
          <w:u w:val="none"/>
        </w:rPr>
        <w:t>一事一议</w:t>
      </w:r>
      <w:r>
        <w:rPr>
          <w:rFonts w:hint="eastAsia" w:ascii="仿宋_GB2312" w:eastAsia="仿宋_GB2312"/>
          <w:sz w:val="32"/>
          <w:szCs w:val="32"/>
          <w:u w:val="none"/>
        </w:rPr>
        <w:t>”</w:t>
      </w:r>
      <w:r>
        <w:rPr>
          <w:rFonts w:hint="eastAsia" w:ascii="仿宋_GB2312" w:hAnsi="宋体" w:eastAsia="仿宋_GB2312" w:cs="宋体"/>
          <w:sz w:val="32"/>
          <w:szCs w:val="32"/>
          <w:u w:val="none"/>
        </w:rPr>
        <w:t>方式予以扶持。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u w:val="none"/>
        </w:rPr>
      </w:pPr>
      <w:r>
        <w:rPr>
          <w:rFonts w:hint="eastAsia" w:ascii="仿宋" w:hAnsi="仿宋" w:eastAsia="仿宋" w:cs="仿宋"/>
          <w:sz w:val="32"/>
          <w:szCs w:val="32"/>
          <w:u w:val="none"/>
          <w:lang w:val="en-US" w:eastAsia="zh-CN"/>
        </w:rPr>
        <w:t>4</w:t>
      </w:r>
      <w:r>
        <w:rPr>
          <w:rFonts w:hint="eastAsia" w:ascii="仿宋" w:hAnsi="仿宋" w:eastAsia="仿宋" w:cs="仿宋"/>
          <w:sz w:val="32"/>
          <w:szCs w:val="32"/>
          <w:u w:val="none"/>
        </w:rPr>
        <w:t>.名词解释。</w:t>
      </w:r>
      <w:r>
        <w:rPr>
          <w:rFonts w:hint="eastAsia" w:ascii="仿宋" w:hAnsi="仿宋" w:eastAsia="仿宋" w:cs="仿宋"/>
          <w:sz w:val="32"/>
          <w:szCs w:val="32"/>
          <w:highlight w:val="none"/>
          <w:u w:val="none"/>
        </w:rPr>
        <w:t>总量控制是指注册时间三年以上的企业同一年度所获奖补资金总额以其上一年度形成的地方综合贡献度为限。地方综合贡献度是指企业实现的增加值、营业收入、利润总额所形成的地方留成部分（规费除外）、人才贡献、科技创新投入、就业贡献等。“以上”均包含本数。</w:t>
      </w:r>
      <w:r>
        <w:rPr>
          <w:rFonts w:hint="eastAsia" w:ascii="仿宋_GB2312" w:hAnsi="宋体" w:eastAsia="仿宋_GB2312" w:cs="宋体"/>
          <w:sz w:val="32"/>
          <w:szCs w:val="32"/>
          <w:u w:val="none"/>
        </w:rPr>
        <w:t>规（限）上、行业类别、同企业、非同企业口径，以及季度、年度核算期口径，均参照统计部门口径。影视企业</w:t>
      </w:r>
      <w:r>
        <w:rPr>
          <w:rFonts w:hint="eastAsia" w:ascii="仿宋_GB2312" w:hAnsi="??_GB2312" w:eastAsia="仿宋_GB2312" w:cs="??_GB2312"/>
          <w:sz w:val="32"/>
          <w:szCs w:val="32"/>
          <w:u w:val="none"/>
        </w:rPr>
        <w:t>“</w:t>
      </w:r>
      <w:r>
        <w:rPr>
          <w:rFonts w:hint="eastAsia" w:ascii="仿宋_GB2312" w:hAnsi="宋体" w:eastAsia="仿宋_GB2312" w:cs="宋体"/>
          <w:sz w:val="32"/>
          <w:szCs w:val="32"/>
          <w:u w:val="none"/>
        </w:rPr>
        <w:t>固定资产投资</w:t>
      </w:r>
      <w:r>
        <w:rPr>
          <w:rFonts w:hint="eastAsia" w:ascii="仿宋_GB2312" w:hAnsi="??_GB2312" w:eastAsia="仿宋_GB2312" w:cs="??_GB2312"/>
          <w:sz w:val="32"/>
          <w:szCs w:val="32"/>
          <w:u w:val="none"/>
        </w:rPr>
        <w:t>”</w:t>
      </w:r>
      <w:r>
        <w:rPr>
          <w:rFonts w:hint="eastAsia" w:ascii="仿宋_GB2312" w:hAnsi="宋体" w:eastAsia="仿宋_GB2312" w:cs="宋体"/>
          <w:sz w:val="32"/>
          <w:szCs w:val="32"/>
          <w:u w:val="none"/>
        </w:rPr>
        <w:t>指影视企业的基础设施建设实际投资，包括基础设施及建筑工程费（含摄影棚）及影视特效、后期制作、动漫制作等设备，不包括土地、二次装修、相关税费等；</w:t>
      </w:r>
      <w:r>
        <w:rPr>
          <w:rFonts w:hint="eastAsia" w:ascii="仿宋_GB2312" w:hAnsi="??_GB2312" w:eastAsia="仿宋_GB2312" w:cs="??_GB2312"/>
          <w:sz w:val="32"/>
          <w:szCs w:val="32"/>
          <w:u w:val="none"/>
        </w:rPr>
        <w:t>“</w:t>
      </w:r>
      <w:r>
        <w:rPr>
          <w:rFonts w:hint="eastAsia" w:ascii="仿宋_GB2312" w:hAnsi="宋体" w:eastAsia="仿宋_GB2312" w:cs="宋体"/>
          <w:sz w:val="32"/>
          <w:szCs w:val="32"/>
          <w:u w:val="none"/>
        </w:rPr>
        <w:t>自持部分</w:t>
      </w:r>
      <w:r>
        <w:rPr>
          <w:rFonts w:hint="eastAsia" w:ascii="仿宋_GB2312" w:hAnsi="??_GB2312" w:eastAsia="仿宋_GB2312" w:cs="??_GB2312"/>
          <w:sz w:val="32"/>
          <w:szCs w:val="32"/>
          <w:u w:val="none"/>
        </w:rPr>
        <w:t>”</w:t>
      </w:r>
      <w:r>
        <w:rPr>
          <w:rFonts w:hint="eastAsia" w:ascii="仿宋_GB2312" w:hAnsi="宋体" w:eastAsia="仿宋_GB2312" w:cs="宋体"/>
          <w:sz w:val="32"/>
          <w:szCs w:val="32"/>
          <w:u w:val="none"/>
        </w:rPr>
        <w:t>是指企业取得房产权属证、设备购置取得合法凭证的部分。</w:t>
      </w:r>
      <w:r>
        <w:rPr>
          <w:rFonts w:hint="eastAsia" w:ascii="仿宋_GB2312" w:hAnsi="??_GB2312" w:eastAsia="仿宋_GB2312" w:cs="??_GB2312"/>
          <w:sz w:val="32"/>
          <w:szCs w:val="32"/>
          <w:u w:val="none"/>
        </w:rPr>
        <w:t>“</w:t>
      </w:r>
      <w:r>
        <w:rPr>
          <w:rFonts w:hint="eastAsia" w:ascii="仿宋_GB2312" w:hAnsi="宋体" w:eastAsia="仿宋_GB2312" w:cs="宋体"/>
          <w:sz w:val="32"/>
          <w:szCs w:val="32"/>
          <w:u w:val="none"/>
        </w:rPr>
        <w:t>省级知名卫视</w:t>
      </w:r>
      <w:r>
        <w:rPr>
          <w:rFonts w:hint="eastAsia" w:ascii="仿宋_GB2312" w:hAnsi="??_GB2312" w:eastAsia="仿宋_GB2312" w:cs="??_GB2312"/>
          <w:sz w:val="32"/>
          <w:szCs w:val="32"/>
          <w:u w:val="none"/>
        </w:rPr>
        <w:t>”</w:t>
      </w:r>
      <w:r>
        <w:rPr>
          <w:rFonts w:hint="eastAsia" w:ascii="仿宋_GB2312" w:hAnsi="宋体" w:eastAsia="仿宋_GB2312" w:cs="宋体"/>
          <w:sz w:val="32"/>
          <w:szCs w:val="32"/>
          <w:u w:val="none"/>
        </w:rPr>
        <w:t>、</w:t>
      </w:r>
      <w:r>
        <w:rPr>
          <w:rFonts w:hint="eastAsia" w:ascii="仿宋_GB2312" w:hAnsi="??_GB2312" w:eastAsia="仿宋_GB2312" w:cs="??_GB2312"/>
          <w:sz w:val="32"/>
          <w:szCs w:val="32"/>
          <w:u w:val="none"/>
        </w:rPr>
        <w:t>“</w:t>
      </w:r>
      <w:r>
        <w:rPr>
          <w:rFonts w:hint="eastAsia" w:ascii="仿宋_GB2312" w:hAnsi="宋体" w:eastAsia="仿宋_GB2312" w:cs="宋体"/>
          <w:sz w:val="32"/>
          <w:szCs w:val="32"/>
          <w:u w:val="none"/>
        </w:rPr>
        <w:t>全国知名视频平台</w:t>
      </w:r>
      <w:r>
        <w:rPr>
          <w:rFonts w:hint="eastAsia" w:ascii="仿宋_GB2312" w:eastAsia="仿宋_GB2312"/>
          <w:sz w:val="32"/>
          <w:szCs w:val="32"/>
          <w:u w:val="none"/>
        </w:rPr>
        <w:t>”</w:t>
      </w:r>
      <w:r>
        <w:rPr>
          <w:rFonts w:hint="eastAsia" w:ascii="仿宋_GB2312" w:hAnsi="宋体" w:eastAsia="仿宋_GB2312" w:cs="宋体"/>
          <w:sz w:val="32"/>
          <w:szCs w:val="32"/>
          <w:u w:val="none"/>
        </w:rPr>
        <w:t>界定参照温州市惠企相关文件规定。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.执行效力。本政策自印发之日起施行，有效期至2025 年12月31日，具体申报指南或实施细则另行制定。本政策由</w:t>
      </w:r>
      <w:r>
        <w:rPr>
          <w:rFonts w:hint="eastAsia" w:ascii="仿宋" w:hAnsi="仿宋" w:eastAsia="仿宋" w:cs="仿宋"/>
          <w:sz w:val="32"/>
          <w:szCs w:val="32"/>
          <w:lang w:eastAsia="zh-CN"/>
        </w:rPr>
        <w:t>文成县</w:t>
      </w:r>
      <w:r>
        <w:rPr>
          <w:rFonts w:hint="eastAsia" w:ascii="仿宋" w:hAnsi="仿宋" w:eastAsia="仿宋" w:cs="仿宋"/>
          <w:sz w:val="32"/>
          <w:szCs w:val="32"/>
        </w:rPr>
        <w:t>人民政府负责解释，具体工作由</w:t>
      </w:r>
      <w:r>
        <w:rPr>
          <w:rFonts w:hint="eastAsia" w:ascii="仿宋" w:hAnsi="仿宋" w:eastAsia="仿宋" w:cs="仿宋"/>
          <w:sz w:val="32"/>
          <w:szCs w:val="32"/>
          <w:lang w:eastAsia="zh-CN"/>
        </w:rPr>
        <w:t>县</w:t>
      </w:r>
      <w:r>
        <w:rPr>
          <w:rFonts w:hint="eastAsia" w:ascii="仿宋" w:hAnsi="仿宋" w:eastAsia="仿宋" w:cs="仿宋"/>
          <w:sz w:val="32"/>
          <w:szCs w:val="32"/>
        </w:rPr>
        <w:t>政府办公室</w:t>
      </w:r>
      <w:r>
        <w:rPr>
          <w:rFonts w:hint="eastAsia" w:ascii="仿宋" w:hAnsi="仿宋" w:eastAsia="仿宋" w:cs="仿宋"/>
          <w:sz w:val="32"/>
          <w:szCs w:val="32"/>
          <w:lang w:eastAsia="zh-CN"/>
        </w:rPr>
        <w:t>、县</w:t>
      </w:r>
      <w:r>
        <w:rPr>
          <w:rFonts w:hint="eastAsia" w:ascii="仿宋" w:hAnsi="仿宋" w:eastAsia="仿宋" w:cs="仿宋"/>
          <w:sz w:val="32"/>
          <w:szCs w:val="32"/>
        </w:rPr>
        <w:t>委宣传部、</w:t>
      </w:r>
      <w:r>
        <w:rPr>
          <w:rFonts w:hint="eastAsia" w:ascii="仿宋" w:hAnsi="仿宋" w:eastAsia="仿宋" w:cs="仿宋"/>
          <w:sz w:val="32"/>
          <w:szCs w:val="32"/>
          <w:lang w:eastAsia="zh-CN"/>
        </w:rPr>
        <w:t>县发改局</w:t>
      </w:r>
      <w:r>
        <w:rPr>
          <w:rFonts w:hint="eastAsia" w:ascii="仿宋" w:hAnsi="仿宋" w:eastAsia="仿宋" w:cs="仿宋"/>
          <w:sz w:val="32"/>
          <w:szCs w:val="32"/>
        </w:rPr>
        <w:t>、</w:t>
      </w:r>
      <w:r>
        <w:rPr>
          <w:rFonts w:hint="eastAsia" w:ascii="仿宋" w:hAnsi="仿宋" w:eastAsia="仿宋" w:cs="仿宋"/>
          <w:sz w:val="32"/>
          <w:szCs w:val="32"/>
          <w:lang w:eastAsia="zh-CN"/>
        </w:rPr>
        <w:t>县</w:t>
      </w:r>
      <w:r>
        <w:rPr>
          <w:rFonts w:hint="eastAsia" w:ascii="仿宋" w:hAnsi="仿宋" w:eastAsia="仿宋" w:cs="仿宋"/>
          <w:sz w:val="32"/>
          <w:szCs w:val="32"/>
        </w:rPr>
        <w:t>经信局、</w:t>
      </w:r>
      <w:r>
        <w:rPr>
          <w:rFonts w:hint="eastAsia" w:ascii="仿宋" w:hAnsi="仿宋" w:eastAsia="仿宋" w:cs="仿宋"/>
          <w:sz w:val="32"/>
          <w:szCs w:val="32"/>
          <w:lang w:eastAsia="zh-CN"/>
        </w:rPr>
        <w:t>县</w:t>
      </w:r>
      <w:r>
        <w:rPr>
          <w:rFonts w:hint="eastAsia" w:ascii="仿宋" w:hAnsi="仿宋" w:eastAsia="仿宋" w:cs="仿宋"/>
          <w:sz w:val="32"/>
          <w:szCs w:val="32"/>
        </w:rPr>
        <w:t>民政局、</w:t>
      </w:r>
      <w:r>
        <w:rPr>
          <w:rFonts w:hint="eastAsia" w:ascii="仿宋" w:hAnsi="仿宋" w:eastAsia="仿宋" w:cs="仿宋"/>
          <w:sz w:val="32"/>
          <w:szCs w:val="32"/>
          <w:lang w:eastAsia="zh-CN"/>
        </w:rPr>
        <w:t>县</w:t>
      </w:r>
      <w:r>
        <w:rPr>
          <w:rFonts w:hint="eastAsia" w:ascii="仿宋" w:hAnsi="仿宋" w:eastAsia="仿宋" w:cs="仿宋"/>
          <w:sz w:val="32"/>
          <w:szCs w:val="32"/>
        </w:rPr>
        <w:t>司法局、</w:t>
      </w:r>
      <w:r>
        <w:rPr>
          <w:rFonts w:hint="eastAsia" w:ascii="仿宋" w:hAnsi="仿宋" w:eastAsia="仿宋" w:cs="仿宋"/>
          <w:sz w:val="32"/>
          <w:szCs w:val="32"/>
          <w:lang w:eastAsia="zh-CN"/>
        </w:rPr>
        <w:t>县</w:t>
      </w:r>
      <w:r>
        <w:rPr>
          <w:rFonts w:hint="eastAsia" w:ascii="仿宋" w:hAnsi="仿宋" w:eastAsia="仿宋" w:cs="仿宋"/>
          <w:sz w:val="32"/>
          <w:szCs w:val="32"/>
        </w:rPr>
        <w:t>财政局、</w:t>
      </w:r>
      <w:r>
        <w:rPr>
          <w:rFonts w:hint="eastAsia" w:ascii="仿宋" w:hAnsi="仿宋" w:eastAsia="仿宋" w:cs="仿宋"/>
          <w:sz w:val="32"/>
          <w:szCs w:val="32"/>
          <w:lang w:eastAsia="zh-CN"/>
        </w:rPr>
        <w:t>县</w:t>
      </w:r>
      <w:r>
        <w:rPr>
          <w:rFonts w:hint="eastAsia" w:ascii="仿宋" w:hAnsi="仿宋" w:eastAsia="仿宋" w:cs="仿宋"/>
          <w:sz w:val="32"/>
          <w:szCs w:val="32"/>
        </w:rPr>
        <w:t>人社局、</w:t>
      </w:r>
      <w:r>
        <w:rPr>
          <w:rFonts w:hint="eastAsia" w:ascii="仿宋" w:hAnsi="仿宋" w:eastAsia="仿宋" w:cs="仿宋"/>
          <w:sz w:val="32"/>
          <w:szCs w:val="32"/>
          <w:lang w:eastAsia="zh-CN"/>
        </w:rPr>
        <w:t>县</w:t>
      </w:r>
      <w:r>
        <w:rPr>
          <w:rFonts w:hint="eastAsia" w:ascii="仿宋" w:hAnsi="仿宋" w:eastAsia="仿宋" w:cs="仿宋"/>
          <w:sz w:val="32"/>
          <w:szCs w:val="32"/>
        </w:rPr>
        <w:t>文广旅</w:t>
      </w:r>
      <w:r>
        <w:rPr>
          <w:rFonts w:hint="eastAsia" w:ascii="仿宋" w:hAnsi="仿宋" w:eastAsia="仿宋" w:cs="仿宋"/>
          <w:sz w:val="32"/>
          <w:szCs w:val="32"/>
          <w:lang w:eastAsia="zh-CN"/>
        </w:rPr>
        <w:t>体</w:t>
      </w:r>
      <w:r>
        <w:rPr>
          <w:rFonts w:hint="eastAsia" w:ascii="仿宋" w:hAnsi="仿宋" w:eastAsia="仿宋" w:cs="仿宋"/>
          <w:sz w:val="32"/>
          <w:szCs w:val="32"/>
        </w:rPr>
        <w:t>局、</w:t>
      </w:r>
      <w:r>
        <w:rPr>
          <w:rFonts w:hint="eastAsia" w:ascii="仿宋" w:hAnsi="仿宋" w:eastAsia="仿宋" w:cs="仿宋"/>
          <w:sz w:val="32"/>
          <w:szCs w:val="32"/>
          <w:lang w:eastAsia="zh-CN"/>
        </w:rPr>
        <w:t>县卫健局</w:t>
      </w:r>
      <w:r>
        <w:rPr>
          <w:rFonts w:hint="eastAsia" w:ascii="仿宋" w:hAnsi="仿宋" w:eastAsia="仿宋" w:cs="仿宋"/>
          <w:sz w:val="32"/>
          <w:szCs w:val="32"/>
        </w:rPr>
        <w:t>、</w:t>
      </w:r>
      <w:r>
        <w:rPr>
          <w:rFonts w:hint="eastAsia" w:ascii="仿宋" w:hAnsi="仿宋" w:eastAsia="仿宋" w:cs="仿宋"/>
          <w:sz w:val="32"/>
          <w:szCs w:val="32"/>
          <w:lang w:eastAsia="zh-CN"/>
        </w:rPr>
        <w:t>县</w:t>
      </w:r>
      <w:r>
        <w:rPr>
          <w:rFonts w:hint="eastAsia" w:ascii="仿宋" w:hAnsi="仿宋" w:eastAsia="仿宋" w:cs="仿宋"/>
          <w:sz w:val="32"/>
          <w:szCs w:val="32"/>
        </w:rPr>
        <w:t>市监局、</w:t>
      </w:r>
      <w:r>
        <w:rPr>
          <w:rFonts w:hint="eastAsia" w:ascii="仿宋" w:hAnsi="仿宋" w:eastAsia="仿宋" w:cs="仿宋"/>
          <w:sz w:val="32"/>
          <w:szCs w:val="32"/>
          <w:lang w:eastAsia="zh-CN"/>
        </w:rPr>
        <w:t>县</w:t>
      </w:r>
      <w:r>
        <w:rPr>
          <w:rFonts w:hint="eastAsia" w:ascii="仿宋" w:hAnsi="仿宋" w:eastAsia="仿宋" w:cs="仿宋"/>
          <w:sz w:val="32"/>
          <w:szCs w:val="32"/>
        </w:rPr>
        <w:t>金融办等部门承担。本政策施行前，已按相关程序确定支持（包括有连续年限、符合条件但未兑现完毕）的项目，按原政策兑现，除此之外新申请的奖补项目，按本政策执行。本政策发布后，其他我</w:t>
      </w:r>
      <w:r>
        <w:rPr>
          <w:rFonts w:hint="eastAsia" w:ascii="仿宋" w:hAnsi="仿宋" w:eastAsia="仿宋" w:cs="仿宋"/>
          <w:sz w:val="32"/>
          <w:szCs w:val="32"/>
          <w:lang w:eastAsia="zh-CN"/>
        </w:rPr>
        <w:t>县</w:t>
      </w:r>
      <w:r>
        <w:rPr>
          <w:rFonts w:hint="eastAsia" w:ascii="仿宋" w:hAnsi="仿宋" w:eastAsia="仿宋" w:cs="仿宋"/>
          <w:sz w:val="32"/>
          <w:szCs w:val="32"/>
        </w:rPr>
        <w:t>已发布的各相关</w:t>
      </w:r>
      <w:r>
        <w:rPr>
          <w:rFonts w:hint="eastAsia" w:ascii="仿宋" w:hAnsi="仿宋" w:eastAsia="仿宋" w:cs="仿宋"/>
          <w:sz w:val="32"/>
          <w:szCs w:val="32"/>
          <w:lang w:eastAsia="zh-CN"/>
        </w:rPr>
        <w:t>县</w:t>
      </w:r>
      <w:r>
        <w:rPr>
          <w:rFonts w:hint="eastAsia" w:ascii="仿宋" w:hAnsi="仿宋" w:eastAsia="仿宋" w:cs="仿宋"/>
          <w:sz w:val="32"/>
          <w:szCs w:val="32"/>
        </w:rPr>
        <w:t>级产业政策与本政策不一致的，以本政策为准。本政策施行过程中如遇上级法律法规和重大政策另有规定的，按上级有关规定和政策直接执行。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_GB2312">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NlZWRhZGIyMzVhMTk5Mzk2MTc4MzU4ZjRhYjQ3ZjcifQ=="/>
  </w:docVars>
  <w:rsids>
    <w:rsidRoot w:val="00000000"/>
    <w:rsid w:val="0A342878"/>
    <w:rsid w:val="73BC55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style>
  <w:style w:type="paragraph" w:styleId="3">
    <w:name w:val="Body Text First Indent 2"/>
    <w:basedOn w:val="2"/>
    <w:qFormat/>
    <w:uiPriority w:val="0"/>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1393</Words>
  <Characters>1419</Characters>
  <Lines>0</Lines>
  <Paragraphs>0</Paragraphs>
  <TotalTime>1</TotalTime>
  <ScaleCrop>false</ScaleCrop>
  <LinksUpToDate>false</LinksUpToDate>
  <CharactersWithSpaces>1428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2023-05-11T09:13:59Z</dcterms:created>
  <dc:creator>Administrator</dc:creator>
  <cp:lastModifiedBy>罗喉</cp:lastModifiedBy>
  <dcterms:modified xsi:type="dcterms:W3CDTF">2023-05-11T09:15:22Z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012C4D24F34847FB9936D3F0A4E93D63_12</vt:lpwstr>
  </property>
</Properties>
</file>