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  <w:t xml:space="preserve">鳌江实验室（平阳县科技创新研究院）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w w:val="90"/>
          <w:sz w:val="44"/>
          <w:szCs w:val="44"/>
          <w:lang w:eastAsia="zh-CN"/>
        </w:rPr>
        <w:t>“拨投联动”</w:t>
      </w:r>
      <w:r>
        <w:rPr>
          <w:rFonts w:hint="eastAsia" w:ascii="小标宋" w:hAnsi="小标宋" w:eastAsia="小标宋" w:cs="小标宋"/>
          <w:b w:val="0"/>
          <w:bCs/>
          <w:color w:val="auto"/>
          <w:w w:val="90"/>
          <w:sz w:val="44"/>
          <w:szCs w:val="44"/>
        </w:rPr>
        <w:t>引进项目遴选管理和资金使用办法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Toc1778124687_WPSOffice_Level2"/>
      <w:bookmarkStart w:id="1" w:name="_Toc1118573692_WPSOffice_Level2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（征求意见稿）</w:t>
      </w:r>
      <w:bookmarkEnd w:id="0"/>
      <w:bookmarkEnd w:id="1"/>
    </w:p>
    <w:p>
      <w:pPr>
        <w:pStyle w:val="2"/>
        <w:rPr>
          <w:rFonts w:hint="eastAsia"/>
          <w:color w:val="auto"/>
          <w:lang w:val="en-US" w:eastAsia="zh-CN"/>
        </w:rPr>
      </w:pPr>
      <w:bookmarkStart w:id="2" w:name="_GoBack"/>
      <w:bookmarkEnd w:id="2"/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总 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为进一步规范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拨投联动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（以下简称“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拨投联动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”）引进项目的遴选工作，加强对引进科研项目的服务与管理，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规范资金的使用，加强政府投资基金支持科技创新，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形成本办法。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第二条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本办法所指项目为经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平阳县委科技委员会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评审支持、符合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科研及产业孵化导向的项目，按项目投入和资助强度分为一般项目、重点项目、重大项目三个层次。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第三条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本办法所指引进项目包括科研项目团队和企业实体。科研项目团队是指来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创业的科研团队；企业实体是指符合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产业发展方向的科技型企业。以下对科研团队和企业实体简称项目。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第四条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鼓励第三方机构参与项目投资，第三方机构须</w:t>
      </w:r>
      <w:r>
        <w:rPr>
          <w:rFonts w:ascii="仿宋" w:hAnsi="仿宋" w:eastAsia="仿宋" w:cs="仿宋"/>
          <w:color w:val="auto"/>
          <w:sz w:val="32"/>
          <w:szCs w:val="32"/>
        </w:rPr>
        <w:t>在中国证券投资基金业协会登记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ascii="仿宋" w:hAnsi="仿宋" w:eastAsia="仿宋" w:cs="仿宋"/>
          <w:color w:val="auto"/>
          <w:sz w:val="32"/>
          <w:szCs w:val="32"/>
        </w:rPr>
        <w:t>备案的基金规模不低于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</w:t>
      </w:r>
      <w:r>
        <w:rPr>
          <w:rFonts w:ascii="仿宋" w:hAnsi="仿宋" w:eastAsia="仿宋" w:cs="仿宋"/>
          <w:color w:val="auto"/>
          <w:sz w:val="32"/>
          <w:szCs w:val="32"/>
        </w:rPr>
        <w:t>亿元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；鼓励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运营团队成立投资主体参与项目投资，投资主体由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全职的核心管理团队成员组成，有新增机构或人员的，需向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平阳县委科技委员会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项目申报条件和遴选评审程序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所有引进项目必须符合以下条件：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（一）项目已获得第三方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(含投资机构或上市公司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鳌江实验室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运营团队主导的投资主体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的投资承诺函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6" w:firstLineChars="202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（二）属于国家颁布的高新技术产业指导目录，符合我国高新技术产业鼓励发展方向；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（三）市场发展潜力明显，经济与社会效益可期；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（四）技术成熟，有明确的产业应用背景和较高的经济技术可行性，具备商品化、产业化的前置条件；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（五）发展规划清晰、实施方案可行，并有明确的时间节点目标及考核指标；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481"/>
        <w:textAlignment w:val="auto"/>
        <w:rPr>
          <w:rFonts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团队结构合理，职业操守高。项目负责人须具有实施转化本项目技术的能力、独立承担民事责任的能力，硕士研究生及以上学历，或曾在国内外著名高校、企业、研发机构、跨国公司担任过中高层职位，年龄一般不超过55周岁；项目负责人要求为企业第一大自然人股东（股权一般不低于30%），或核心技术团队合计股权大于50%且项目负责人在团队中占比最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（七）建设项目应符合国家环保相关准入规范，污染物排放达到环保标准要求；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（八）</w:t>
      </w:r>
      <w:r>
        <w:rPr>
          <w:rFonts w:ascii="仿宋" w:hAnsi="仿宋" w:eastAsia="仿宋" w:cs="仿宋"/>
          <w:color w:val="auto"/>
          <w:sz w:val="32"/>
          <w:szCs w:val="32"/>
        </w:rPr>
        <w:t>入驻项目相关知识产权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须满足以下条件：一是</w:t>
      </w:r>
      <w:r>
        <w:rPr>
          <w:rFonts w:ascii="仿宋" w:hAnsi="仿宋" w:eastAsia="仿宋" w:cs="仿宋"/>
          <w:color w:val="auto"/>
          <w:sz w:val="32"/>
          <w:szCs w:val="32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</w:t>
      </w:r>
      <w:r>
        <w:rPr>
          <w:rFonts w:ascii="仿宋" w:hAnsi="仿宋" w:eastAsia="仿宋" w:cs="仿宋"/>
          <w:color w:val="auto"/>
          <w:sz w:val="32"/>
          <w:szCs w:val="32"/>
        </w:rPr>
        <w:t>货币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评估作</w:t>
      </w:r>
      <w:r>
        <w:rPr>
          <w:rFonts w:ascii="仿宋" w:hAnsi="仿宋" w:eastAsia="仿宋" w:cs="仿宋"/>
          <w:color w:val="auto"/>
          <w:sz w:val="32"/>
          <w:szCs w:val="32"/>
        </w:rPr>
        <w:t>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，二是归属清晰，出资人具有处分权，并可办理权属变更手续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（九）约定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属地为项目后期的优先出口地。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项目提交的申请材料应包括以下主要内容：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（一）技术可行性分析应包括项目名称、用途、国内外该技术领域的发展情况及预测、主要技术创新点、技术成熟性及拟进一步开发的必要性；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（二）市场可行性分析应包括项目产品商品化程度、国内国际需求情况、开拓市场的具体措施；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（三）经济与社会效益分析应包括年产值、利税、盈亏平衡分析；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（四）项目实施方案，应明确入驻的具体要求与条件，阐明项目实施节点目标与考核指标。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项目遴选流程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（一）项目信息收集遴选：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鳌江实验室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收集项目信息，与意向单位或团队对接，初步遴选出符合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产业发展方向的项目。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（二）项目申请：项目团队向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提交《项目申请书》和《可行性研究报告》。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4" w:firstLineChars="192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（三）资料审核：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牵头对申报资料进行初审，并通过实地考察、尽职调查等多种方式进行考察调研，了解项目与技术负责人和团队的基本情况、背景资料以及项目需求等信息，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并报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平阳县委科技委员会办公室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筛选确认后，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确定是否进入专家评审程序。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4" w:firstLineChars="192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（四）专家评审：根据候选项目专业领域，由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会同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平阳县委科技委员会办公室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派和邀请专家评委进行会审，专家组由技术专家、金融与企业管理专家等构成，专家组构成不少于5人，并推举1名专家担任组长。评审论证工作可采用会议评审、通讯评审或两者结合等形式，候选人应通过现场答辩专家会审，每个专家独立打分，专家组评议后形成专家组意见，并由组长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（五）内部会审：由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根据专家组意见进行讨论汇总，形成《项目投资决策报告》，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经平阳县委科技委员会审议通过，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以会议纪要形式报送相关部门。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（六）项目签约：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与项目负责人、项目单位签署《项目立项协议》，明确各方的权利、职责与义务。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项目立项及资助标准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项目经评审分为一般项目、重点项目、重大项目三类，分别给予不同额度的经费支持。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一般项目是指符合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战略新兴产业发展方向的高科技项目，资助资金按项目计划总经费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的20%确定（创业类项目并符合领军型人才创业项目标准的比例可提高至25%），最高不超过300万元。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重点项目是指满足以下任一条件的项目：上一轮融资投后估值不低于5000万元；国家杰青、长江学者等高层次人才作为主要股东的创业类项目。重点项目资金资助按项目计划总经费的20%确定（上述创业类项目高层次人才股份占比不低于30%且为第一大股东的比例可提高至25%），最高不超过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7" w:firstLineChars="196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重大项目是指满足以下任一条件的项目。（1）上一轮融资投后估值不低于1亿元；（2）院士领衔的创业项目；（3）国家杰青、长江学者、其他国家级人才全职开展的创业项目；（4）</w:t>
      </w:r>
      <w:r>
        <w:rPr>
          <w:rFonts w:ascii="仿宋" w:hAnsi="仿宋" w:eastAsia="仿宋" w:cs="仿宋"/>
          <w:color w:val="auto"/>
          <w:sz w:val="32"/>
          <w:szCs w:val="32"/>
        </w:rPr>
        <w:t>对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ascii="仿宋" w:hAnsi="仿宋" w:eastAsia="仿宋" w:cs="仿宋"/>
          <w:color w:val="auto"/>
          <w:sz w:val="32"/>
          <w:szCs w:val="32"/>
        </w:rPr>
        <w:t>为主体或参与获批的国家级、省级等科研项目。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重大项目支持强度一事一议。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项目资金管理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获资助项目应如实填写《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“拨投联动”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项目建设资金拨付申请表》，并提交第三方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含投资机构或上市公司或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运营团队主导的投资主体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>投资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和项目团队出资到位验资报告。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对于一般项目和重点项目，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对获资助项目提交的资金拨付申请等相关材料进行审核，经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平阳县委科技委员会办公室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通过后拨付。重大项目经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审核评审、平阳县委科技委员会办公室和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平阳县委科技委员会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审议后拨付，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形成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相关会议纪要。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项目资金实施分期拨付制度，项目合同签署后按资金资助总额的40%拨付第一期经费，中期评估通过后按资金资助总额的40%拨付第二期经费，项目验收完成后拨付剩余20%的经费。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于一般项目，项目团队现金实缴出资不少于30万；对于重点项目，项目团队现金实缴出资不少于50万。同时项目单位需在银行设立监管账户，严格按照专款专用的原则使用项目经费，项目单位应按要求对项目资金建立专账进行使用并接受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的日常监管和审计。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 xml:space="preserve"> “拨投联动”程序管理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十三</w:t>
      </w:r>
      <w:r>
        <w:rPr>
          <w:rFonts w:ascii="黑体" w:hAnsi="黑体" w:eastAsia="黑体" w:cs="黑体"/>
          <w:bCs/>
          <w:color w:val="auto"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科研项目专项资金资助项目以</w:t>
      </w:r>
      <w:r>
        <w:rPr>
          <w:rFonts w:hint="default" w:ascii="仿宋" w:hAnsi="仿宋" w:eastAsia="仿宋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拨投联动</w:t>
      </w:r>
      <w:r>
        <w:rPr>
          <w:rFonts w:hint="default" w:ascii="仿宋" w:hAnsi="仿宋" w:eastAsia="仿宋" w:cs="仿宋"/>
          <w:color w:val="auto"/>
          <w:sz w:val="32"/>
          <w:szCs w:val="32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的方式执行，资助金额占股比例与投资该项目的第三方机构或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运营团队投入金额同股同价计算的方式确定。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条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项目管理周期分为科研实施和确权转股两个阶段。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项目科研实施期内，若项目承担企业接受专业投资机构投资总金额达到项目预算总经费60%以上的，视同完成项目验收和参股评审，直接进入确权转股阶段。项目执行期结束，若项目承担企业通过项目验收，进入确权转股阶段。若不通过验收，按照科研项目总结结题的方式完成项目实施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确权转股阶段的实际执行主体为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，原则上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占股比例不超过30%，并且出资比例不超过团队公司本轮融资额的30%，转股后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不成为第一大股东，确保公司运营主导权在创始团队手中。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项目科研实施期内，项目的管理参照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项目管理办法执行，管理方为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。项目确权转股后项目持股方为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，项目管理方为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在项目承担企业步入自我发展阶段后，专项资金投资形成的股份，按照“适当收益”原则逐步退出，形成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实验室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科研资金循环运行的长效机制。专项资金根据不同的项目推进阶段，采取不同的退出方式。具体的退出时机和方式，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县内国企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结合第三方机构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含投资机构或上市公司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运营团队主导的投资主体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对项目的综合评价意见，经</w:t>
      </w:r>
      <w:r>
        <w:rPr>
          <w:rFonts w:hint="default" w:ascii="仿宋" w:hAnsi="仿宋" w:eastAsia="仿宋" w:cs="仿宋"/>
          <w:bCs/>
          <w:color w:val="auto"/>
          <w:sz w:val="32"/>
          <w:szCs w:val="32"/>
        </w:rPr>
        <w:t>县内国企董事会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讨论通过并报送平阳县委科技委员会审定。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股权退出时所获得的收益在完成相应的分配后，返回科研项目专项资金专款账户。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保障机制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坚持保护改革、鼓励探索、宽容失误、纠正偏差的容错纠错机制。要遵循市场运作规律，容忍正常的投资风险，对已履行规定程序作出决策的投资，如因不可抗力、政策变动或发生市场（经营）风险等因素造成</w:t>
      </w:r>
      <w:r>
        <w:rPr>
          <w:rFonts w:hint="default" w:ascii="仿宋" w:hAnsi="仿宋" w:eastAsia="仿宋" w:cs="仿宋"/>
          <w:color w:val="auto"/>
          <w:sz w:val="32"/>
          <w:szCs w:val="32"/>
        </w:rPr>
        <w:t>国有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资金损失的，不作为追责依据，不追究决策机构、参与部门及相关人员责任，不作年度业绩考核负面评价。以下情况不适用容错免责：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（一）违反法律法规、党纪党规和国资监管制度的禁止性规定。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（二）不符合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“拨投联动”的投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资方向和要求，未按“拨投联动”和本办法精神，推动工作开展的。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（三）不符合规定决策程序，未经过充分论证和尽职调查，未严格遵循投资决策程序，存在违反相关制度和业务流程的情形。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（四）谋取个人私利，假公济私为自己、他人或者其他组织谋取不正当利益；明知故犯或者与其他组织或者个人恶意串通，损害国家利益、公共利益和他人正当利益。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（五）对探索创新、先行先试中出现的失误，未主动及时挽回损失、消除不良影响或者未有效阻止危害结果扩大。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0" w:firstLineChars="2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（六）正常情况下未履行民主决策程序的。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/>
        <w:textAlignment w:val="auto"/>
        <w:rPr>
          <w:rFonts w:ascii="仿宋_GB2312" w:hAnsi="华文中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 xml:space="preserve"> 附 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条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平阳县委科技委员会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会议通过后试行，试行期为一年。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第二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条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本办法由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鳌江实验室（平阳县科技创新研究院）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负责解释。</w:t>
      </w:r>
    </w:p>
    <w:sectPr>
      <w:footerReference r:id="rId3" w:type="default"/>
      <w:pgSz w:w="11906" w:h="16838"/>
      <w:pgMar w:top="2098" w:right="1474" w:bottom="1984" w:left="1587" w:header="851" w:footer="56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TVkODEzNzdhZmRiYWJkYWE4ZTRkNWM1YmEzYTkifQ=="/>
  </w:docVars>
  <w:rsids>
    <w:rsidRoot w:val="005236C4"/>
    <w:rsid w:val="00000BA6"/>
    <w:rsid w:val="00001FE2"/>
    <w:rsid w:val="00014067"/>
    <w:rsid w:val="000142D3"/>
    <w:rsid w:val="00026ACC"/>
    <w:rsid w:val="00037A5D"/>
    <w:rsid w:val="00042B28"/>
    <w:rsid w:val="0004438A"/>
    <w:rsid w:val="00050205"/>
    <w:rsid w:val="00050598"/>
    <w:rsid w:val="00051418"/>
    <w:rsid w:val="00053D7F"/>
    <w:rsid w:val="00066AE7"/>
    <w:rsid w:val="000725D9"/>
    <w:rsid w:val="00072959"/>
    <w:rsid w:val="00074906"/>
    <w:rsid w:val="00076756"/>
    <w:rsid w:val="00076A0F"/>
    <w:rsid w:val="00087A8B"/>
    <w:rsid w:val="00090B4A"/>
    <w:rsid w:val="00090D33"/>
    <w:rsid w:val="00091B6E"/>
    <w:rsid w:val="00092541"/>
    <w:rsid w:val="000A3001"/>
    <w:rsid w:val="000A61FB"/>
    <w:rsid w:val="000B04CC"/>
    <w:rsid w:val="000B228F"/>
    <w:rsid w:val="000B474F"/>
    <w:rsid w:val="000C48E7"/>
    <w:rsid w:val="000C60FD"/>
    <w:rsid w:val="000D1E39"/>
    <w:rsid w:val="000D7C64"/>
    <w:rsid w:val="000E1518"/>
    <w:rsid w:val="000E20CC"/>
    <w:rsid w:val="000E3DA4"/>
    <w:rsid w:val="000E5D40"/>
    <w:rsid w:val="000F1296"/>
    <w:rsid w:val="00105E4D"/>
    <w:rsid w:val="00106CCA"/>
    <w:rsid w:val="001135F3"/>
    <w:rsid w:val="00113E46"/>
    <w:rsid w:val="00115AA6"/>
    <w:rsid w:val="00132050"/>
    <w:rsid w:val="00145724"/>
    <w:rsid w:val="00154780"/>
    <w:rsid w:val="001709C9"/>
    <w:rsid w:val="00177C85"/>
    <w:rsid w:val="0018208C"/>
    <w:rsid w:val="001829F3"/>
    <w:rsid w:val="00182C30"/>
    <w:rsid w:val="001831FF"/>
    <w:rsid w:val="00190F0C"/>
    <w:rsid w:val="00195910"/>
    <w:rsid w:val="00195924"/>
    <w:rsid w:val="00196DAB"/>
    <w:rsid w:val="001A25AE"/>
    <w:rsid w:val="001A62B8"/>
    <w:rsid w:val="001D14E7"/>
    <w:rsid w:val="001D5E4B"/>
    <w:rsid w:val="001E0E5E"/>
    <w:rsid w:val="001E49A2"/>
    <w:rsid w:val="001F0F44"/>
    <w:rsid w:val="001F36B9"/>
    <w:rsid w:val="001F570A"/>
    <w:rsid w:val="00205143"/>
    <w:rsid w:val="002154A1"/>
    <w:rsid w:val="00221FCD"/>
    <w:rsid w:val="0022536F"/>
    <w:rsid w:val="002266CD"/>
    <w:rsid w:val="00227814"/>
    <w:rsid w:val="00231830"/>
    <w:rsid w:val="00232833"/>
    <w:rsid w:val="00236E5E"/>
    <w:rsid w:val="00250DA1"/>
    <w:rsid w:val="00263ED7"/>
    <w:rsid w:val="002649F8"/>
    <w:rsid w:val="00264BB3"/>
    <w:rsid w:val="002838D8"/>
    <w:rsid w:val="00284470"/>
    <w:rsid w:val="0028564D"/>
    <w:rsid w:val="00290BE0"/>
    <w:rsid w:val="00295713"/>
    <w:rsid w:val="002B35DD"/>
    <w:rsid w:val="002B7878"/>
    <w:rsid w:val="002C15A4"/>
    <w:rsid w:val="002C2673"/>
    <w:rsid w:val="002C5152"/>
    <w:rsid w:val="002C7103"/>
    <w:rsid w:val="002D5CF2"/>
    <w:rsid w:val="002D63EE"/>
    <w:rsid w:val="002D65C9"/>
    <w:rsid w:val="002E1092"/>
    <w:rsid w:val="002F5FA3"/>
    <w:rsid w:val="00301506"/>
    <w:rsid w:val="00316438"/>
    <w:rsid w:val="00332848"/>
    <w:rsid w:val="00335E36"/>
    <w:rsid w:val="00337B8A"/>
    <w:rsid w:val="00340BC8"/>
    <w:rsid w:val="003431C8"/>
    <w:rsid w:val="0036009F"/>
    <w:rsid w:val="00367323"/>
    <w:rsid w:val="00380548"/>
    <w:rsid w:val="00384036"/>
    <w:rsid w:val="003873CA"/>
    <w:rsid w:val="003B0D9B"/>
    <w:rsid w:val="003B15D5"/>
    <w:rsid w:val="003B46D6"/>
    <w:rsid w:val="003D1939"/>
    <w:rsid w:val="003E03AB"/>
    <w:rsid w:val="003E21EF"/>
    <w:rsid w:val="003E3624"/>
    <w:rsid w:val="003F0A00"/>
    <w:rsid w:val="003F147B"/>
    <w:rsid w:val="00405B79"/>
    <w:rsid w:val="00407ED5"/>
    <w:rsid w:val="004168FC"/>
    <w:rsid w:val="00420414"/>
    <w:rsid w:val="00425FA7"/>
    <w:rsid w:val="00426E1B"/>
    <w:rsid w:val="004373FC"/>
    <w:rsid w:val="00455E8B"/>
    <w:rsid w:val="00457D46"/>
    <w:rsid w:val="0046140C"/>
    <w:rsid w:val="0046689E"/>
    <w:rsid w:val="00472D18"/>
    <w:rsid w:val="00473B6B"/>
    <w:rsid w:val="00477DF1"/>
    <w:rsid w:val="0048077D"/>
    <w:rsid w:val="004839C7"/>
    <w:rsid w:val="004A2749"/>
    <w:rsid w:val="004B316B"/>
    <w:rsid w:val="004B3C3D"/>
    <w:rsid w:val="004C2242"/>
    <w:rsid w:val="004C6057"/>
    <w:rsid w:val="004C6334"/>
    <w:rsid w:val="004D5C0F"/>
    <w:rsid w:val="004E092A"/>
    <w:rsid w:val="004F4B5F"/>
    <w:rsid w:val="00511830"/>
    <w:rsid w:val="005121DB"/>
    <w:rsid w:val="005236C4"/>
    <w:rsid w:val="00525C79"/>
    <w:rsid w:val="005302E9"/>
    <w:rsid w:val="00530850"/>
    <w:rsid w:val="005462A8"/>
    <w:rsid w:val="00546A73"/>
    <w:rsid w:val="00550CD0"/>
    <w:rsid w:val="0056109F"/>
    <w:rsid w:val="00564B01"/>
    <w:rsid w:val="00566362"/>
    <w:rsid w:val="005663B1"/>
    <w:rsid w:val="005666A1"/>
    <w:rsid w:val="005678BE"/>
    <w:rsid w:val="005708E1"/>
    <w:rsid w:val="00570D46"/>
    <w:rsid w:val="0057123C"/>
    <w:rsid w:val="00571600"/>
    <w:rsid w:val="00572706"/>
    <w:rsid w:val="005746F3"/>
    <w:rsid w:val="005810A0"/>
    <w:rsid w:val="00584428"/>
    <w:rsid w:val="00592041"/>
    <w:rsid w:val="00593485"/>
    <w:rsid w:val="005A5DB2"/>
    <w:rsid w:val="005B2F5C"/>
    <w:rsid w:val="005B41B1"/>
    <w:rsid w:val="005B774D"/>
    <w:rsid w:val="005C2716"/>
    <w:rsid w:val="005C5E9C"/>
    <w:rsid w:val="005D1B83"/>
    <w:rsid w:val="005D1E30"/>
    <w:rsid w:val="005D6308"/>
    <w:rsid w:val="005D652B"/>
    <w:rsid w:val="005E206A"/>
    <w:rsid w:val="005E3217"/>
    <w:rsid w:val="005E47D2"/>
    <w:rsid w:val="005E710A"/>
    <w:rsid w:val="005E7F73"/>
    <w:rsid w:val="005F25B1"/>
    <w:rsid w:val="005F42CB"/>
    <w:rsid w:val="006135D2"/>
    <w:rsid w:val="006140A4"/>
    <w:rsid w:val="006148B1"/>
    <w:rsid w:val="006149A4"/>
    <w:rsid w:val="0062015D"/>
    <w:rsid w:val="00624412"/>
    <w:rsid w:val="00637C3A"/>
    <w:rsid w:val="006406E4"/>
    <w:rsid w:val="00643A9F"/>
    <w:rsid w:val="006460EA"/>
    <w:rsid w:val="00657BED"/>
    <w:rsid w:val="00660CD3"/>
    <w:rsid w:val="00661950"/>
    <w:rsid w:val="00677ADF"/>
    <w:rsid w:val="00685FB6"/>
    <w:rsid w:val="00686FE5"/>
    <w:rsid w:val="00690604"/>
    <w:rsid w:val="0069128F"/>
    <w:rsid w:val="00691BFA"/>
    <w:rsid w:val="0069622D"/>
    <w:rsid w:val="0069627B"/>
    <w:rsid w:val="006A6ABA"/>
    <w:rsid w:val="006A6B83"/>
    <w:rsid w:val="006B35F3"/>
    <w:rsid w:val="006B598E"/>
    <w:rsid w:val="006B7121"/>
    <w:rsid w:val="006D5172"/>
    <w:rsid w:val="006D6F71"/>
    <w:rsid w:val="006E27DF"/>
    <w:rsid w:val="00705EF3"/>
    <w:rsid w:val="00710FA4"/>
    <w:rsid w:val="00711940"/>
    <w:rsid w:val="00712CFE"/>
    <w:rsid w:val="00713E46"/>
    <w:rsid w:val="00716254"/>
    <w:rsid w:val="0071648B"/>
    <w:rsid w:val="007206F9"/>
    <w:rsid w:val="00720C04"/>
    <w:rsid w:val="00726E25"/>
    <w:rsid w:val="00727B76"/>
    <w:rsid w:val="00731E39"/>
    <w:rsid w:val="007329F2"/>
    <w:rsid w:val="00751B3B"/>
    <w:rsid w:val="007556A9"/>
    <w:rsid w:val="00770708"/>
    <w:rsid w:val="00776383"/>
    <w:rsid w:val="00796660"/>
    <w:rsid w:val="007A24B9"/>
    <w:rsid w:val="007A2A65"/>
    <w:rsid w:val="007C16BF"/>
    <w:rsid w:val="007C5A9E"/>
    <w:rsid w:val="007E071E"/>
    <w:rsid w:val="007E4950"/>
    <w:rsid w:val="007F0144"/>
    <w:rsid w:val="007F0B40"/>
    <w:rsid w:val="007F2F3E"/>
    <w:rsid w:val="007F482F"/>
    <w:rsid w:val="00804AE0"/>
    <w:rsid w:val="008063CA"/>
    <w:rsid w:val="00817D7E"/>
    <w:rsid w:val="0082518B"/>
    <w:rsid w:val="00825D35"/>
    <w:rsid w:val="00836610"/>
    <w:rsid w:val="00840F62"/>
    <w:rsid w:val="00844401"/>
    <w:rsid w:val="00850F0B"/>
    <w:rsid w:val="00851CA1"/>
    <w:rsid w:val="00860709"/>
    <w:rsid w:val="008668C1"/>
    <w:rsid w:val="00866A30"/>
    <w:rsid w:val="008A0FD8"/>
    <w:rsid w:val="008A267F"/>
    <w:rsid w:val="008A2797"/>
    <w:rsid w:val="008A2AA4"/>
    <w:rsid w:val="008A2BE0"/>
    <w:rsid w:val="008A35C0"/>
    <w:rsid w:val="008A3C14"/>
    <w:rsid w:val="008A74F6"/>
    <w:rsid w:val="008B2DED"/>
    <w:rsid w:val="008B3CEB"/>
    <w:rsid w:val="008B5C5C"/>
    <w:rsid w:val="008D5607"/>
    <w:rsid w:val="008E1643"/>
    <w:rsid w:val="008F0BBD"/>
    <w:rsid w:val="008F16A4"/>
    <w:rsid w:val="008F1A37"/>
    <w:rsid w:val="008F1E7E"/>
    <w:rsid w:val="009001C3"/>
    <w:rsid w:val="00902591"/>
    <w:rsid w:val="00912C67"/>
    <w:rsid w:val="00912D02"/>
    <w:rsid w:val="00912D31"/>
    <w:rsid w:val="00914893"/>
    <w:rsid w:val="00927F32"/>
    <w:rsid w:val="00931471"/>
    <w:rsid w:val="00932342"/>
    <w:rsid w:val="00947257"/>
    <w:rsid w:val="009501B3"/>
    <w:rsid w:val="009531AB"/>
    <w:rsid w:val="0096734E"/>
    <w:rsid w:val="00971F7B"/>
    <w:rsid w:val="00974CCA"/>
    <w:rsid w:val="00977D46"/>
    <w:rsid w:val="009811B8"/>
    <w:rsid w:val="00987105"/>
    <w:rsid w:val="00987EFB"/>
    <w:rsid w:val="0099522D"/>
    <w:rsid w:val="00997285"/>
    <w:rsid w:val="009A0B23"/>
    <w:rsid w:val="009A6035"/>
    <w:rsid w:val="009C2FC6"/>
    <w:rsid w:val="009D1F0D"/>
    <w:rsid w:val="009D2D15"/>
    <w:rsid w:val="009E06B2"/>
    <w:rsid w:val="009E716E"/>
    <w:rsid w:val="00A02376"/>
    <w:rsid w:val="00A045D1"/>
    <w:rsid w:val="00A16168"/>
    <w:rsid w:val="00A2544A"/>
    <w:rsid w:val="00A254FA"/>
    <w:rsid w:val="00A352A4"/>
    <w:rsid w:val="00A43359"/>
    <w:rsid w:val="00A50169"/>
    <w:rsid w:val="00A515FF"/>
    <w:rsid w:val="00A63A5E"/>
    <w:rsid w:val="00A7545F"/>
    <w:rsid w:val="00A81FD9"/>
    <w:rsid w:val="00A90B8B"/>
    <w:rsid w:val="00A9270C"/>
    <w:rsid w:val="00A95F45"/>
    <w:rsid w:val="00A967B7"/>
    <w:rsid w:val="00A96AD8"/>
    <w:rsid w:val="00AD064E"/>
    <w:rsid w:val="00AE1955"/>
    <w:rsid w:val="00AE2E51"/>
    <w:rsid w:val="00AE7E7E"/>
    <w:rsid w:val="00AF0A10"/>
    <w:rsid w:val="00AF4114"/>
    <w:rsid w:val="00B0075E"/>
    <w:rsid w:val="00B0152A"/>
    <w:rsid w:val="00B05B92"/>
    <w:rsid w:val="00B05E72"/>
    <w:rsid w:val="00B2103D"/>
    <w:rsid w:val="00B250A3"/>
    <w:rsid w:val="00B356FA"/>
    <w:rsid w:val="00B376A8"/>
    <w:rsid w:val="00B52870"/>
    <w:rsid w:val="00B7479B"/>
    <w:rsid w:val="00B75FC8"/>
    <w:rsid w:val="00B77626"/>
    <w:rsid w:val="00B8475B"/>
    <w:rsid w:val="00B94B7B"/>
    <w:rsid w:val="00BB09C8"/>
    <w:rsid w:val="00BB2EED"/>
    <w:rsid w:val="00BC2C84"/>
    <w:rsid w:val="00BD294E"/>
    <w:rsid w:val="00BD57CE"/>
    <w:rsid w:val="00BE2612"/>
    <w:rsid w:val="00BE6A5C"/>
    <w:rsid w:val="00BF2982"/>
    <w:rsid w:val="00BF2C72"/>
    <w:rsid w:val="00BF4015"/>
    <w:rsid w:val="00C03BB7"/>
    <w:rsid w:val="00C07400"/>
    <w:rsid w:val="00C173D4"/>
    <w:rsid w:val="00C224D2"/>
    <w:rsid w:val="00C225AE"/>
    <w:rsid w:val="00C239F3"/>
    <w:rsid w:val="00C26DFF"/>
    <w:rsid w:val="00C41DF0"/>
    <w:rsid w:val="00C47DCF"/>
    <w:rsid w:val="00C5201A"/>
    <w:rsid w:val="00C53E02"/>
    <w:rsid w:val="00C54E7F"/>
    <w:rsid w:val="00C57AF5"/>
    <w:rsid w:val="00C6084C"/>
    <w:rsid w:val="00C615F5"/>
    <w:rsid w:val="00C61A3A"/>
    <w:rsid w:val="00C8168E"/>
    <w:rsid w:val="00C83E28"/>
    <w:rsid w:val="00C84B43"/>
    <w:rsid w:val="00C938ED"/>
    <w:rsid w:val="00CA2E98"/>
    <w:rsid w:val="00CA3897"/>
    <w:rsid w:val="00CA46C4"/>
    <w:rsid w:val="00CA7370"/>
    <w:rsid w:val="00CB5B39"/>
    <w:rsid w:val="00CB5F98"/>
    <w:rsid w:val="00CC602B"/>
    <w:rsid w:val="00CC6F08"/>
    <w:rsid w:val="00CD2B1A"/>
    <w:rsid w:val="00CE404E"/>
    <w:rsid w:val="00D13672"/>
    <w:rsid w:val="00D17148"/>
    <w:rsid w:val="00D21812"/>
    <w:rsid w:val="00D24D59"/>
    <w:rsid w:val="00D256FB"/>
    <w:rsid w:val="00D338C3"/>
    <w:rsid w:val="00D43BCE"/>
    <w:rsid w:val="00D4530D"/>
    <w:rsid w:val="00D52D07"/>
    <w:rsid w:val="00D5535B"/>
    <w:rsid w:val="00D56F54"/>
    <w:rsid w:val="00D64992"/>
    <w:rsid w:val="00D65760"/>
    <w:rsid w:val="00D71F1F"/>
    <w:rsid w:val="00D74329"/>
    <w:rsid w:val="00D85168"/>
    <w:rsid w:val="00D8793F"/>
    <w:rsid w:val="00D91AEE"/>
    <w:rsid w:val="00D9620A"/>
    <w:rsid w:val="00D97214"/>
    <w:rsid w:val="00DA2426"/>
    <w:rsid w:val="00DA2930"/>
    <w:rsid w:val="00DA3357"/>
    <w:rsid w:val="00DA5042"/>
    <w:rsid w:val="00DB33EE"/>
    <w:rsid w:val="00DC6C43"/>
    <w:rsid w:val="00DD0933"/>
    <w:rsid w:val="00DF59F0"/>
    <w:rsid w:val="00DF6EA6"/>
    <w:rsid w:val="00E03235"/>
    <w:rsid w:val="00E03884"/>
    <w:rsid w:val="00E244FA"/>
    <w:rsid w:val="00E26AF4"/>
    <w:rsid w:val="00E3370E"/>
    <w:rsid w:val="00E44359"/>
    <w:rsid w:val="00E4734D"/>
    <w:rsid w:val="00E70D6C"/>
    <w:rsid w:val="00E80D39"/>
    <w:rsid w:val="00E833F1"/>
    <w:rsid w:val="00E86BE1"/>
    <w:rsid w:val="00E90D18"/>
    <w:rsid w:val="00E944CC"/>
    <w:rsid w:val="00EA4BC1"/>
    <w:rsid w:val="00EC1679"/>
    <w:rsid w:val="00EC4505"/>
    <w:rsid w:val="00ED0A8A"/>
    <w:rsid w:val="00ED1C81"/>
    <w:rsid w:val="00ED44BA"/>
    <w:rsid w:val="00EF0445"/>
    <w:rsid w:val="00EF4241"/>
    <w:rsid w:val="00EF4297"/>
    <w:rsid w:val="00F0260F"/>
    <w:rsid w:val="00F113EC"/>
    <w:rsid w:val="00F1347B"/>
    <w:rsid w:val="00F15AFC"/>
    <w:rsid w:val="00F22417"/>
    <w:rsid w:val="00F22467"/>
    <w:rsid w:val="00F2663B"/>
    <w:rsid w:val="00F42858"/>
    <w:rsid w:val="00F45AD6"/>
    <w:rsid w:val="00F61B4C"/>
    <w:rsid w:val="00F717F3"/>
    <w:rsid w:val="00F73211"/>
    <w:rsid w:val="00F75418"/>
    <w:rsid w:val="00F7749D"/>
    <w:rsid w:val="00F82829"/>
    <w:rsid w:val="00FA37BF"/>
    <w:rsid w:val="00FB273E"/>
    <w:rsid w:val="00FB63D6"/>
    <w:rsid w:val="00FB6A5A"/>
    <w:rsid w:val="00FC01B0"/>
    <w:rsid w:val="00FC2C8C"/>
    <w:rsid w:val="00FD4D63"/>
    <w:rsid w:val="00FD745D"/>
    <w:rsid w:val="00FE6D7A"/>
    <w:rsid w:val="00FE7860"/>
    <w:rsid w:val="00FF2627"/>
    <w:rsid w:val="00FF5566"/>
    <w:rsid w:val="03A72BCD"/>
    <w:rsid w:val="040F5CB2"/>
    <w:rsid w:val="063351E1"/>
    <w:rsid w:val="122B6C26"/>
    <w:rsid w:val="138A6DF0"/>
    <w:rsid w:val="144A3980"/>
    <w:rsid w:val="172408A6"/>
    <w:rsid w:val="18277A44"/>
    <w:rsid w:val="190A07D7"/>
    <w:rsid w:val="1BFD0D1C"/>
    <w:rsid w:val="2EDA6CAC"/>
    <w:rsid w:val="2F0B510F"/>
    <w:rsid w:val="2FA80F74"/>
    <w:rsid w:val="2FDDBE30"/>
    <w:rsid w:val="300F6DC9"/>
    <w:rsid w:val="307E5EF1"/>
    <w:rsid w:val="330B7D6A"/>
    <w:rsid w:val="35831601"/>
    <w:rsid w:val="36D86600"/>
    <w:rsid w:val="3B2A549A"/>
    <w:rsid w:val="3BE4247D"/>
    <w:rsid w:val="3D377AD2"/>
    <w:rsid w:val="3DC938BD"/>
    <w:rsid w:val="3EB7CE07"/>
    <w:rsid w:val="3ED156D1"/>
    <w:rsid w:val="3F7257A0"/>
    <w:rsid w:val="4EFEA188"/>
    <w:rsid w:val="4F2B305D"/>
    <w:rsid w:val="50DB3E1F"/>
    <w:rsid w:val="52657216"/>
    <w:rsid w:val="552D7604"/>
    <w:rsid w:val="57CB3288"/>
    <w:rsid w:val="5D48503F"/>
    <w:rsid w:val="5E3D1B02"/>
    <w:rsid w:val="5F391C84"/>
    <w:rsid w:val="60955FE2"/>
    <w:rsid w:val="611256A8"/>
    <w:rsid w:val="62AA0ADA"/>
    <w:rsid w:val="634A21F6"/>
    <w:rsid w:val="6532451F"/>
    <w:rsid w:val="65400EEB"/>
    <w:rsid w:val="67503E72"/>
    <w:rsid w:val="6792087E"/>
    <w:rsid w:val="691427CE"/>
    <w:rsid w:val="6B7031F9"/>
    <w:rsid w:val="6D8D1A66"/>
    <w:rsid w:val="702678BD"/>
    <w:rsid w:val="7165658F"/>
    <w:rsid w:val="72DBB8E0"/>
    <w:rsid w:val="74477419"/>
    <w:rsid w:val="760B78F5"/>
    <w:rsid w:val="77C4031A"/>
    <w:rsid w:val="7CC3B007"/>
    <w:rsid w:val="7CFE5979"/>
    <w:rsid w:val="7DA00B5D"/>
    <w:rsid w:val="7FEDA082"/>
    <w:rsid w:val="9A737D8E"/>
    <w:rsid w:val="CA3C3FAE"/>
    <w:rsid w:val="DBBEE070"/>
    <w:rsid w:val="DFFF0E4B"/>
    <w:rsid w:val="FCF3F727"/>
    <w:rsid w:val="FD79FE51"/>
    <w:rsid w:val="FDECCE25"/>
    <w:rsid w:val="FECBE5E3"/>
    <w:rsid w:val="FF7F0C79"/>
    <w:rsid w:val="FFBCFB43"/>
    <w:rsid w:val="FFE93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18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1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Char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3">
    <w:name w:val="style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3"/>
      <w:szCs w:val="13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2095</Words>
  <Characters>2124</Characters>
  <Lines>26</Lines>
  <Paragraphs>7</Paragraphs>
  <TotalTime>0</TotalTime>
  <ScaleCrop>false</ScaleCrop>
  <LinksUpToDate>false</LinksUpToDate>
  <CharactersWithSpaces>2141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2022-08-27T07:47:00Z</dcterms:created>
  <dc:creator>陈建才</dc:creator>
  <cp:lastModifiedBy>greatwall</cp:lastModifiedBy>
  <cp:lastPrinted>2025-06-25T01:38:00Z</cp:lastPrinted>
  <dcterms:modified xsi:type="dcterms:W3CDTF">2025-06-24T10:41:23Z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4A0C29080331460B9027602E22E1F76B_13</vt:lpwstr>
  </property>
  <property fmtid="{D5CDD505-2E9C-101B-9397-08002B2CF9AE}" pid="4" name="KSOTemplateDocerSaveRecord">
    <vt:lpwstr>eyJoZGlkIjoiZmQ4YTVkODEzNzdhZmRiYWJkYWE4ZTRkNWM1YmEzYTkiLCJ1c2VySWQiOiIyODY1MDU5NzcifQ==</vt:lpwstr>
  </property>
</Properties>
</file>