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嵊州市小型工程建设项目简易发包管理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办法</w:t>
      </w: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为规范小型工程建设项目发包竞包活动，维护市场交易秩序，保护国家利益、社会公共利益和发包竞包活动各方当事人的合法权益，提高经济效益，保证工程质量，结合本市实际，制定本办法。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行政区域范围内使用国有资金或者集体资金的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小型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工程建设项目的发包活动，适用本办法。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u w:val="none"/>
        </w:rPr>
        <w:t>第三条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本办法中的小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型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项目指单项合同估算价在400万元（人民币，下同）以下的工程施工项目；单项合同估算价在200万元以下的工程建设有关的重要设备、材料等采购项目；单项合同估算价在100万元以下的工程勘察、设计、监理、检测等服务项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小型工程建设项目发包活动应当遵循公开、公平、公正和诚实信用的原则。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发包人原则上可按本办法的规定产生中包候选人，也可选择采用招标的方式产生中标候选人。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各乡镇（街道）、</w:t>
      </w:r>
      <w:r>
        <w:rPr>
          <w:rFonts w:hint="eastAsia" w:ascii="仿宋_GB2312" w:eastAsia="仿宋_GB2312"/>
          <w:sz w:val="32"/>
          <w:szCs w:val="32"/>
          <w:lang w:eastAsia="zh-CN"/>
        </w:rPr>
        <w:t>部门、国企</w:t>
      </w:r>
      <w:r>
        <w:rPr>
          <w:rFonts w:hint="eastAsia" w:ascii="仿宋_GB2312" w:eastAsia="仿宋_GB2312"/>
          <w:sz w:val="32"/>
          <w:szCs w:val="32"/>
        </w:rPr>
        <w:t>等招标平台，对下列标准范围内的项目可自行招标：单项合同估算价在10万元以上400万元以下的施工项目；单项合同估算价在10万元以上200万元以下的重要设备、材料采购项目；单项合同估算价（按国家收费标准）在5万元以上100万元以下的工程建设勘察、设计、监理等服务项目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村级集体小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型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工程建设项目，单项合同估算价在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万元以上的工程施工项目均应进入乡镇（街道）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,具体按《嵊州市村级工程管理办法》执行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本条款规定额度以下的项目，可通过各单位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相应的决策程序选择承包人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小型工程建设项目分为公开发包和邀请发包，原则上采用公开发包，因项目特殊确有必要邀请发包的，需经市政府或有关部门批复同意方可实施。</w:t>
      </w:r>
    </w:p>
    <w:p>
      <w:pPr>
        <w:shd w:val="clear" w:color="auto" w:fill="FFFFFF"/>
        <w:spacing w:line="560" w:lineRule="exact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市属国有企业投资项目，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可以直接选择具备相应资质的下属国有企业承包。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企业应当建立内部控制和管理制度。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抢险救灾、应急工程，按照国家有关规定可以不进行招标。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抢险救灾、应急工程按以下方式确定：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（一）单项合同估算价50万元以下的项目，由建设、交通、水利等行业主管部门审核确定；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（二）单项合同估算价50万元（含）以上400万元以下的项目，由行业主管部门审核后报项目分管市领导批准确定;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（三）单项合同估算价400万元（含）以上的项目，由市应急抢险救灾工程联席会议审议确定，特别重大或者特殊项目须经市政府常务会议批准。具体细则另行制定。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如不采取措施将发生严重危害或后果，需要立即开工的抢险救灾、应急工程项目，可在开工后完善相关手续。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采用简易发包办法的项目，发包人可自行办理交易事宜或委托相关招标代理机构组织交易。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采用简易发包办法，一般按以下程序进行：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（一）编制工程预算；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（二）发包人组织审核预算价，确定发包价；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（三）编制发包文件，公开发布发包公告；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（四）组织发包会议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（五）公示中包候选人；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（六）确定中包人；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（七）签定合同。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发包人应按照有关规定编制工程量清单预算，并对预算价组织审核，确定发包价。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发包人应根据项目特点编制发包文件，在发包文件中载明竞包人的企业资质和项目负责人执业资格条件等。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发包文件中应载明竞包有效期。竞包有效期一般为60天。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在发包文件报备后，发包人在市公共资源交易网站发布发包公告、已标价工程量清单等。公告时间为2个工作日。公告应载明经审核的发包价、报名时间、资质条件、发包会议时间等。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 发包人按照不超过预算价2%的额度向竞包人收取竞包保证金，竞包人应当在发包文件规定时间内以支票、汇票、网银、电汇等形式从其基本</w:t>
      </w:r>
      <w:r>
        <w:rPr>
          <w:rFonts w:hint="eastAsia" w:ascii="仿宋_GB2312" w:eastAsia="仿宋_GB2312"/>
          <w:sz w:val="32"/>
          <w:szCs w:val="32"/>
          <w:lang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户转出竞包保证金，由相关的招投标平台统一代收代退。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 报名的竞包人对发包文件有疑问的，应在发包会议召开之日至少前1个工作日以书面形式提出。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公告发布之日起至竞包人提交竞包文件截止之日止最短不少于5天。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发包人应按照发包文件的规定组织召开发包会议。发包会议由发包人或其委托的招标代理机构组织。发包会议一般不组建评审委员会，但应组建发包小组。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第十七条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竞包办法一般采用经评审的最低竞包价法、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区间评定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法。对技术复杂，确需对技术方面进行打分评审的项目，可采用技术打分评审的综合评估法。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（一）经评审的最低</w:t>
      </w:r>
      <w:r>
        <w:rPr>
          <w:rFonts w:hint="eastAsia" w:ascii="仿宋_GB2312" w:hAnsi="仿宋_GB2312" w:eastAsia="仿宋_GB2312" w:cs="仿宋_GB2312"/>
          <w:sz w:val="32"/>
          <w:szCs w:val="32"/>
        </w:rPr>
        <w:t>竞包价法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即以价格为主要因素确定中包候选人的一种评审方式（投标价格低于其企业成本的除外）。发包文件必须标明发包控制价，高于发包控制价的投标为无效，取投标报价最低者为中包候选人，如最低投标报价相同时，采用随机抽签方式确定中包候选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（二）区间评定法。在发标文件约定的下浮率区间内，由发包人代表随机抽取三个下浮率（保留到小数点后两位），选取最大的下浮率计算出基准价，</w:t>
      </w:r>
      <w:r>
        <w:rPr>
          <w:rFonts w:hint="eastAsia" w:ascii="仿宋_GB2312" w:hAnsi="仿宋_GB2312" w:eastAsia="仿宋_GB2312" w:cs="仿宋_GB2312"/>
          <w:sz w:val="32"/>
          <w:szCs w:val="32"/>
        </w:rPr>
        <w:t>竞包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人的报价等于基准价的得100分，投标人的报价与基准价相比，以此求得各</w:t>
      </w:r>
      <w:r>
        <w:rPr>
          <w:rFonts w:hint="eastAsia" w:ascii="仿宋_GB2312" w:hAnsi="仿宋_GB2312" w:eastAsia="仿宋_GB2312" w:cs="仿宋_GB2312"/>
          <w:sz w:val="32"/>
          <w:szCs w:val="32"/>
        </w:rPr>
        <w:t>竞包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人商务标得分，得分精确到小数点后2位，第3位四舍五入，按得分最高者确定中包候选人。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（三）综合评估法。采用综合评标法的，按照省、市规定的招标文件示范文本执行。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竞包人应在发包会议召开前提交发包文件要求提供的相关资料。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竞包人有下列情形之一的，其竞包行为无效：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（一）未按规定时间向发包人递交竞包文件的；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（二）竞包文件未按要求密封的；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（三）竞包人不符合发包文件载明的资格条件要求的；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（四）竞包文件不符合发包文件载明的要求的；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（五）未按规定递交竞包保证金的；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（六）不符合发包文件明确的实质性响应条件的。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二十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发包会议确定1名中包候选人，中包候选人确定后，应进行公示，公示时间为2日，公示期限的最后一日是国家法定节假日的，顺延到节假日后的次日为期限的最后一日。竞包人或者其他利害关系人对资格预审文件、发包文件、发包过程、评包结果等事项有异议的，应在公示期内书面向发包人提出异议。发包人应当自收到异议之日起3日内作出答复；作出答复前，应当暂停发包竞包活动。公示期满，无实质性异议的，发出中包通知书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发包人和承包人应当自中包通知书发出之日起15日内，按照发包文件和竞包文件订立书面合同。中包人提交的履约保证金不得超过中包合同金额的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5%。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采用简易发包的项目，中包人的竞包保证金在合同签订后退还，其他竞包人的竞包保证金在中包候选人公示结束后退还。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有下列情形之一的，经发包人确定，重新发包：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（一）第一次报名竞包人不足3名的；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（二）发包会议确认无有效竞包人或不足3名的；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（三）中包候选人放弃中包、因不可抗力不能履行合同、不按照发包文件要求提交履约保证金，或者被查实存在影响中包结果的违法行为等情形，不符合中包条件的。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重新发包后仍无有效竞包人的，发包人可以不再发包，按照相关决策程序研究选择承包人。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第二十五条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我市服务类项目收费标准可参照以下规定执行：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设计类项目参照《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关于规范政府及国有资金投资项目设计费招标控制价的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执行；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监理类项目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计费分别执行各自上级行业主管部门发布的文件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计取；</w:t>
      </w:r>
    </w:p>
    <w:p>
      <w:pPr>
        <w:pStyle w:val="4"/>
        <w:ind w:left="0" w:leftChars="0" w:firstLine="0" w:firstLineChars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招标代理类项目参照《嵊州市招标（采购）代理服务收费指导意见》执行。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招投标监管部门和行业主管部门要加大检查力度，发现不按规定发包或者发包人、竞包人和相关工程建设领域中介机构有不良行为的，按相关规定严肃处理。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本办法未尽事宜参照有关招投标法律法规和政策文件规定执行。本办法额度所称“以上”的包括本数，“以下”的不包括本数。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第二十</w:t>
      </w: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本办法由市政务服务中心负责解释。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本办法自公布之日起30日后施行，</w:t>
      </w:r>
      <w:r>
        <w:rPr>
          <w:rFonts w:hint="eastAsia" w:ascii="仿宋_GB2312" w:eastAsia="仿宋_GB2312"/>
          <w:sz w:val="32"/>
          <w:szCs w:val="32"/>
          <w:lang w:eastAsia="zh-CN"/>
        </w:rPr>
        <w:t>上级有关规定有调整的，按上级规定执行；本市以前有关规定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与本办法规定不一致的，以本办法为准。</w:t>
      </w:r>
    </w:p>
    <w:p>
      <w:pPr>
        <w:spacing w:line="560" w:lineRule="exact"/>
        <w:ind w:firstLine="420" w:firstLineChars="200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C439B"/>
    <w:rsid w:val="05CC439B"/>
    <w:rsid w:val="2DF79673"/>
    <w:rsid w:val="48C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customStyle="1" w:styleId="3">
    <w:name w:val="BodyText"/>
    <w:basedOn w:val="1"/>
    <w:qFormat/>
    <w:uiPriority w:val="0"/>
    <w:pPr>
      <w:jc w:val="center"/>
      <w:textAlignment w:val="baseline"/>
    </w:pPr>
    <w:rPr>
      <w:rFonts w:ascii="宋体" w:hAnsi="宋体"/>
      <w:sz w:val="24"/>
      <w:szCs w:val="24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2024-11-05T17:04:00Z</dcterms:created>
  <dc:creator>Administrator</dc:creator>
  <cp:lastModifiedBy>admin</cp:lastModifiedBy>
  <dcterms:modified xsi:type="dcterms:W3CDTF">2024-11-08T16:26:26Z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A2FA7625A76D41529E6D2969CDFBCB76</vt:lpwstr>
  </property>
</Properties>
</file>