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pacing w:val="0"/>
          <w:kern w:val="21"/>
          <w:sz w:val="44"/>
          <w:szCs w:val="44"/>
        </w:rPr>
      </w:pPr>
      <w:r>
        <w:rPr>
          <w:rFonts w:hint="default" w:ascii="Times New Roman" w:hAnsi="Times New Roman" w:eastAsia="方正小标宋简体" w:cs="Times New Roman"/>
          <w:color w:val="000000"/>
          <w:spacing w:val="-11"/>
          <w:kern w:val="21"/>
          <w:sz w:val="44"/>
          <w:szCs w:val="44"/>
        </w:rPr>
        <w:t>《</w:t>
      </w:r>
      <w:r>
        <w:rPr>
          <w:rFonts w:hint="default" w:ascii="Times New Roman" w:hAnsi="Times New Roman" w:eastAsia="方正小标宋简体" w:cs="Times New Roman"/>
          <w:color w:val="auto"/>
          <w:spacing w:val="-11"/>
          <w:kern w:val="21"/>
          <w:sz w:val="44"/>
          <w:szCs w:val="44"/>
          <w:highlight w:val="none"/>
          <w:lang w:bidi="ar"/>
        </w:rPr>
        <w:t>关于推进</w:t>
      </w:r>
      <w:r>
        <w:rPr>
          <w:rFonts w:hint="default" w:ascii="Times New Roman" w:hAnsi="Times New Roman" w:eastAsia="方正小标宋简体" w:cs="Times New Roman"/>
          <w:color w:val="auto"/>
          <w:spacing w:val="-11"/>
          <w:kern w:val="21"/>
          <w:sz w:val="44"/>
          <w:szCs w:val="44"/>
          <w:highlight w:val="none"/>
          <w:lang w:eastAsia="zh-CN" w:bidi="ar"/>
        </w:rPr>
        <w:t>小微企业园</w:t>
      </w:r>
      <w:r>
        <w:rPr>
          <w:rFonts w:hint="default" w:ascii="Times New Roman" w:hAnsi="Times New Roman" w:eastAsia="方正小标宋简体" w:cs="Times New Roman"/>
          <w:color w:val="auto"/>
          <w:spacing w:val="-11"/>
          <w:kern w:val="21"/>
          <w:sz w:val="44"/>
          <w:szCs w:val="44"/>
          <w:highlight w:val="none"/>
          <w:lang w:bidi="ar"/>
        </w:rPr>
        <w:t>高质量发展的实施意见</w:t>
      </w:r>
      <w:r>
        <w:rPr>
          <w:rFonts w:hint="default" w:ascii="Times New Roman" w:hAnsi="Times New Roman" w:eastAsia="方正小标宋简体" w:cs="Times New Roman"/>
          <w:color w:val="000000"/>
          <w:spacing w:val="-11"/>
          <w:kern w:val="21"/>
          <w:sz w:val="44"/>
          <w:szCs w:val="44"/>
          <w:lang w:eastAsia="zh-CN"/>
        </w:rPr>
        <w:t>（</w:t>
      </w:r>
      <w:r>
        <w:rPr>
          <w:rFonts w:hint="eastAsia" w:ascii="Times New Roman" w:hAnsi="Times New Roman" w:eastAsia="方正小标宋简体" w:cs="Times New Roman"/>
          <w:color w:val="000000"/>
          <w:spacing w:val="-11"/>
          <w:kern w:val="21"/>
          <w:sz w:val="44"/>
          <w:szCs w:val="44"/>
          <w:lang w:eastAsia="zh-CN"/>
        </w:rPr>
        <w:t>征求意见</w:t>
      </w:r>
      <w:r>
        <w:rPr>
          <w:rFonts w:hint="default" w:ascii="Times New Roman" w:hAnsi="Times New Roman" w:eastAsia="方正小标宋简体" w:cs="Times New Roman"/>
          <w:color w:val="000000"/>
          <w:spacing w:val="-11"/>
          <w:kern w:val="21"/>
          <w:sz w:val="44"/>
          <w:szCs w:val="44"/>
          <w:lang w:eastAsia="zh-CN"/>
        </w:rPr>
        <w:t>稿）</w:t>
      </w:r>
      <w:r>
        <w:rPr>
          <w:rFonts w:hint="default" w:ascii="Times New Roman" w:hAnsi="Times New Roman" w:eastAsia="方正小标宋简体" w:cs="Times New Roman"/>
          <w:color w:val="000000"/>
          <w:spacing w:val="-11"/>
          <w:kern w:val="21"/>
          <w:sz w:val="44"/>
          <w:szCs w:val="44"/>
        </w:rPr>
        <w:t>》</w:t>
      </w:r>
      <w:r>
        <w:rPr>
          <w:rFonts w:hint="default" w:ascii="Times New Roman" w:hAnsi="Times New Roman" w:eastAsia="方正小标宋简体" w:cs="Times New Roman"/>
          <w:color w:val="000000"/>
          <w:spacing w:val="0"/>
          <w:kern w:val="21"/>
          <w:sz w:val="44"/>
          <w:szCs w:val="44"/>
          <w:lang w:eastAsia="zh-CN"/>
        </w:rPr>
        <w:t>起草</w:t>
      </w:r>
      <w:r>
        <w:rPr>
          <w:rFonts w:hint="default" w:ascii="Times New Roman" w:hAnsi="Times New Roman" w:eastAsia="方正小标宋简体" w:cs="Times New Roman"/>
          <w:color w:val="000000"/>
          <w:spacing w:val="0"/>
          <w:kern w:val="21"/>
          <w:sz w:val="44"/>
          <w:szCs w:val="44"/>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spacing w:val="0"/>
          <w:kern w:val="21"/>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default" w:ascii="Times New Roman" w:hAnsi="Times New Roman" w:eastAsia="黑体" w:cs="Times New Roman"/>
          <w:spacing w:val="0"/>
          <w:kern w:val="21"/>
        </w:rPr>
      </w:pPr>
      <w:r>
        <w:rPr>
          <w:rFonts w:hint="default" w:ascii="Times New Roman" w:hAnsi="Times New Roman" w:eastAsia="黑体" w:cs="Times New Roman"/>
          <w:spacing w:val="0"/>
          <w:kern w:val="21"/>
        </w:rPr>
        <w:t>一、制</w:t>
      </w:r>
      <w:r>
        <w:rPr>
          <w:rFonts w:hint="default" w:ascii="Times New Roman" w:hAnsi="Times New Roman" w:eastAsia="黑体" w:cs="Times New Roman"/>
          <w:spacing w:val="0"/>
          <w:kern w:val="21"/>
          <w:lang w:eastAsia="zh-CN"/>
        </w:rPr>
        <w:t>订</w:t>
      </w:r>
      <w:r>
        <w:rPr>
          <w:rFonts w:hint="default" w:ascii="Times New Roman" w:hAnsi="Times New Roman" w:eastAsia="黑体" w:cs="Times New Roman"/>
          <w:spacing w:val="0"/>
          <w:kern w:val="21"/>
        </w:rPr>
        <w:t>背景</w:t>
      </w:r>
      <w:r>
        <w:rPr>
          <w:rFonts w:hint="default" w:ascii="Times New Roman" w:hAnsi="Times New Roman" w:eastAsia="黑体" w:cs="Times New Roman"/>
          <w:spacing w:val="0"/>
          <w:kern w:val="21"/>
          <w:lang w:eastAsia="zh-CN"/>
        </w:rPr>
        <w:t>和政策依据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cs="Times New Roman"/>
          <w:b w:val="0"/>
          <w:bCs w:val="0"/>
          <w:color w:val="000000"/>
          <w:spacing w:val="0"/>
          <w:kern w:val="21"/>
          <w:szCs w:val="32"/>
        </w:rPr>
      </w:pPr>
      <w:r>
        <w:rPr>
          <w:rFonts w:hint="default" w:ascii="Times New Roman" w:hAnsi="Times New Roman" w:eastAsia="仿宋_GB2312" w:cs="Times New Roman"/>
          <w:color w:val="auto"/>
          <w:kern w:val="21"/>
          <w:sz w:val="32"/>
          <w:highlight w:val="none"/>
          <w:lang w:eastAsia="zh-CN" w:bidi="ar"/>
        </w:rPr>
        <w:t>为</w:t>
      </w:r>
      <w:r>
        <w:rPr>
          <w:rFonts w:hint="default" w:ascii="Times New Roman" w:hAnsi="Times New Roman" w:eastAsia="仿宋_GB2312" w:cs="Times New Roman"/>
          <w:color w:val="auto"/>
          <w:kern w:val="21"/>
          <w:sz w:val="32"/>
          <w:highlight w:val="none"/>
          <w:lang w:bidi="ar"/>
        </w:rPr>
        <w:t>全面</w:t>
      </w:r>
      <w:r>
        <w:rPr>
          <w:rFonts w:hint="default" w:ascii="Times New Roman" w:hAnsi="Times New Roman" w:eastAsia="仿宋_GB2312" w:cs="Times New Roman"/>
          <w:color w:val="auto"/>
          <w:kern w:val="21"/>
          <w:sz w:val="32"/>
          <w:highlight w:val="none"/>
          <w:lang w:eastAsia="zh-CN" w:bidi="ar"/>
        </w:rPr>
        <w:t>推进小微企业园高质量发展</w:t>
      </w:r>
      <w:r>
        <w:rPr>
          <w:rFonts w:hint="default" w:ascii="Times New Roman" w:hAnsi="Times New Roman" w:eastAsia="仿宋_GB2312" w:cs="Times New Roman"/>
          <w:color w:val="auto"/>
          <w:kern w:val="21"/>
          <w:sz w:val="32"/>
          <w:highlight w:val="none"/>
          <w:lang w:bidi="ar"/>
        </w:rPr>
        <w:t>，着力打造小微企业创业创新和成长发展的特色化平台载体，根据《中共浙江省委办公厅 浙江省人民政府办公厅关于加快小微企业园高质量发展的实施意见》（浙委办发〔2018〕59号）、《浙江省小微企业园工作联席会议办公室关于印发浙江省推进小微企业园提质升级行动计划的通知》</w:t>
      </w:r>
      <w:r>
        <w:rPr>
          <w:rFonts w:hint="default" w:ascii="Times New Roman" w:hAnsi="Times New Roman" w:eastAsia="仿宋_GB2312" w:cs="Times New Roman"/>
          <w:color w:val="auto"/>
          <w:kern w:val="21"/>
          <w:sz w:val="32"/>
          <w:highlight w:val="none"/>
          <w:lang w:eastAsia="zh-CN" w:bidi="ar"/>
        </w:rPr>
        <w:t>（浙小微园办〔2024〕2号）</w:t>
      </w:r>
      <w:r>
        <w:rPr>
          <w:rFonts w:hint="default" w:ascii="Times New Roman" w:hAnsi="Times New Roman" w:eastAsia="仿宋_GB2312" w:cs="Times New Roman"/>
          <w:color w:val="auto"/>
          <w:kern w:val="21"/>
          <w:sz w:val="32"/>
          <w:highlight w:val="none"/>
          <w:lang w:bidi="ar"/>
        </w:rPr>
        <w:t>等文件精神，</w:t>
      </w:r>
      <w:r>
        <w:rPr>
          <w:rFonts w:hint="default" w:ascii="Times New Roman" w:hAnsi="Times New Roman" w:cs="Times New Roman"/>
          <w:b w:val="0"/>
          <w:bCs w:val="0"/>
          <w:color w:val="000000"/>
          <w:spacing w:val="0"/>
          <w:kern w:val="21"/>
          <w:szCs w:val="32"/>
          <w:lang w:eastAsia="zh-CN"/>
        </w:rPr>
        <w:t>市经信局牵头起草了《关于</w:t>
      </w:r>
      <w:r>
        <w:rPr>
          <w:rFonts w:hint="eastAsia" w:ascii="Times New Roman" w:hAnsi="Times New Roman" w:cs="Times New Roman"/>
          <w:b w:val="0"/>
          <w:bCs w:val="0"/>
          <w:color w:val="000000"/>
          <w:spacing w:val="0"/>
          <w:kern w:val="21"/>
          <w:szCs w:val="32"/>
          <w:lang w:eastAsia="zh-CN"/>
        </w:rPr>
        <w:t>推进小微企业园高质量发展</w:t>
      </w:r>
      <w:r>
        <w:rPr>
          <w:rFonts w:hint="default" w:ascii="Times New Roman" w:hAnsi="Times New Roman" w:cs="Times New Roman"/>
          <w:b w:val="0"/>
          <w:bCs w:val="0"/>
          <w:color w:val="000000"/>
          <w:spacing w:val="0"/>
          <w:kern w:val="21"/>
          <w:szCs w:val="32"/>
          <w:lang w:eastAsia="zh-CN"/>
        </w:rPr>
        <w:t>的实施意见（</w:t>
      </w:r>
      <w:r>
        <w:rPr>
          <w:rFonts w:hint="eastAsia" w:ascii="Times New Roman" w:hAnsi="Times New Roman" w:cs="Times New Roman"/>
          <w:b w:val="0"/>
          <w:bCs w:val="0"/>
          <w:color w:val="000000"/>
          <w:spacing w:val="0"/>
          <w:kern w:val="21"/>
          <w:szCs w:val="32"/>
          <w:lang w:eastAsia="zh-CN"/>
        </w:rPr>
        <w:t>征求意见</w:t>
      </w:r>
      <w:r>
        <w:rPr>
          <w:rFonts w:hint="default" w:ascii="Times New Roman" w:hAnsi="Times New Roman" w:cs="Times New Roman"/>
          <w:b w:val="0"/>
          <w:bCs w:val="0"/>
          <w:color w:val="000000"/>
          <w:spacing w:val="0"/>
          <w:kern w:val="21"/>
          <w:szCs w:val="32"/>
          <w:lang w:eastAsia="zh-CN"/>
        </w:rPr>
        <w:t>稿）》（以下简称《意见》），强化政策引导，</w:t>
      </w:r>
      <w:r>
        <w:rPr>
          <w:rFonts w:hint="eastAsia" w:ascii="Times New Roman" w:hAnsi="Times New Roman" w:cs="Times New Roman"/>
          <w:b w:val="0"/>
          <w:bCs w:val="0"/>
          <w:color w:val="000000"/>
          <w:spacing w:val="0"/>
          <w:kern w:val="21"/>
          <w:szCs w:val="32"/>
          <w:lang w:eastAsia="zh-CN"/>
        </w:rPr>
        <w:t>全力推进小微企业园高质量发展</w:t>
      </w:r>
      <w:r>
        <w:rPr>
          <w:rFonts w:hint="default" w:ascii="Times New Roman" w:hAnsi="Times New Roman" w:cs="Times New Roman"/>
          <w:b w:val="0"/>
          <w:bCs w:val="0"/>
          <w:color w:val="000000"/>
          <w:spacing w:val="0"/>
          <w:kern w:val="21"/>
          <w:szCs w:val="32"/>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outlineLvl w:val="9"/>
        <w:rPr>
          <w:rFonts w:hint="default" w:ascii="Times New Roman" w:hAnsi="Times New Roman" w:eastAsia="黑体" w:cs="Times New Roman"/>
          <w:spacing w:val="0"/>
          <w:kern w:val="21"/>
        </w:rPr>
      </w:pPr>
      <w:r>
        <w:rPr>
          <w:rFonts w:hint="default" w:ascii="Times New Roman" w:hAnsi="Times New Roman" w:eastAsia="黑体" w:cs="Times New Roman"/>
          <w:spacing w:val="0"/>
          <w:kern w:val="21"/>
          <w:lang w:eastAsia="zh-CN"/>
        </w:rPr>
        <w:t>二</w:t>
      </w:r>
      <w:r>
        <w:rPr>
          <w:rFonts w:hint="default" w:ascii="Times New Roman" w:hAnsi="Times New Roman" w:eastAsia="黑体" w:cs="Times New Roman"/>
          <w:spacing w:val="0"/>
          <w:kern w:val="21"/>
        </w:rPr>
        <w:t>、主要内容</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Ansi="Times New Roman" w:cs="Times New Roman"/>
          <w:color w:val="000000"/>
          <w:spacing w:val="0"/>
          <w:kern w:val="21"/>
          <w:sz w:val="32"/>
          <w:szCs w:val="32"/>
          <w:lang w:eastAsia="zh-CN"/>
        </w:rPr>
      </w:pPr>
      <w:r>
        <w:rPr>
          <w:rFonts w:hint="default" w:ascii="Times New Roman" w:hAnsi="Times New Roman" w:eastAsia="仿宋_GB2312" w:cs="Times New Roman"/>
          <w:color w:val="000000"/>
          <w:spacing w:val="0"/>
          <w:kern w:val="21"/>
          <w:sz w:val="32"/>
          <w:szCs w:val="32"/>
        </w:rPr>
        <w:t>《意见》</w:t>
      </w:r>
      <w:r>
        <w:rPr>
          <w:rFonts w:hint="default" w:ascii="Times New Roman" w:hAnsi="Times New Roman" w:eastAsia="仿宋_GB2312" w:cs="Times New Roman"/>
          <w:color w:val="000000"/>
          <w:spacing w:val="0"/>
          <w:kern w:val="21"/>
          <w:sz w:val="32"/>
          <w:szCs w:val="32"/>
          <w:lang w:eastAsia="zh-CN"/>
        </w:rPr>
        <w:t>主要内容由</w:t>
      </w:r>
      <w:r>
        <w:rPr>
          <w:rFonts w:hint="eastAsia" w:hAnsi="Times New Roman" w:cs="Times New Roman"/>
          <w:color w:val="000000"/>
          <w:spacing w:val="0"/>
          <w:kern w:val="21"/>
          <w:sz w:val="32"/>
          <w:szCs w:val="32"/>
          <w:lang w:eastAsia="zh-CN"/>
        </w:rPr>
        <w:t>总体要求、主要任务、保障措施、附则四个方面组成。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hAnsi="Times New Roman" w:cs="Times New Roman"/>
          <w:color w:val="000000"/>
          <w:spacing w:val="0"/>
          <w:kern w:val="21"/>
          <w:sz w:val="32"/>
          <w:szCs w:val="32"/>
          <w:lang w:eastAsia="zh-CN"/>
        </w:rPr>
      </w:pPr>
      <w:r>
        <w:rPr>
          <w:rFonts w:hint="eastAsia" w:ascii="楷体_GB2312" w:hAnsi="楷体_GB2312" w:eastAsia="楷体_GB2312" w:cs="楷体_GB2312"/>
          <w:color w:val="000000"/>
          <w:spacing w:val="0"/>
          <w:kern w:val="21"/>
          <w:sz w:val="32"/>
          <w:szCs w:val="32"/>
          <w:lang w:val="en-US" w:eastAsia="zh-CN"/>
        </w:rPr>
        <w:t>（一）总体要求：</w:t>
      </w:r>
      <w:r>
        <w:rPr>
          <w:rFonts w:hint="eastAsia" w:hAnsi="Times New Roman" w:cs="Times New Roman"/>
          <w:color w:val="000000"/>
          <w:spacing w:val="0"/>
          <w:kern w:val="21"/>
          <w:sz w:val="32"/>
          <w:szCs w:val="32"/>
          <w:lang w:eastAsia="zh-CN"/>
        </w:rPr>
        <w:t>明确了小微企业园建设的指导思想，提出了小微企业园的建设目标。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pacing w:val="0"/>
          <w:kern w:val="21"/>
          <w:sz w:val="32"/>
          <w:szCs w:val="32"/>
          <w:lang w:val="en-US" w:eastAsia="zh-CN"/>
        </w:rPr>
      </w:pPr>
      <w:r>
        <w:rPr>
          <w:rFonts w:hint="eastAsia" w:ascii="楷体_GB2312" w:hAnsi="楷体_GB2312" w:eastAsia="楷体_GB2312" w:cs="楷体_GB2312"/>
          <w:color w:val="000000"/>
          <w:spacing w:val="0"/>
          <w:kern w:val="21"/>
          <w:sz w:val="32"/>
          <w:szCs w:val="32"/>
          <w:lang w:val="en-US" w:eastAsia="zh-CN"/>
        </w:rPr>
        <w:t>（二）主要任务：</w:t>
      </w:r>
      <w:r>
        <w:rPr>
          <w:rFonts w:hint="eastAsia" w:ascii="仿宋_GB2312" w:hAnsi="仿宋_GB2312" w:eastAsia="仿宋_GB2312" w:cs="仿宋_GB2312"/>
          <w:color w:val="000000"/>
          <w:spacing w:val="0"/>
          <w:kern w:val="21"/>
          <w:sz w:val="32"/>
          <w:szCs w:val="32"/>
          <w:lang w:val="en-US" w:eastAsia="zh-CN"/>
        </w:rPr>
        <w:t>包含高起点发展定位、高站位规划设计、高标准开发建设、高质量集聚发展、高水平运营管理、</w:t>
      </w:r>
      <w:r>
        <w:rPr>
          <w:rFonts w:hint="eastAsia" w:ascii="仿宋_GB2312" w:hAnsi="仿宋_GB2312" w:eastAsia="仿宋_GB2312" w:cs="仿宋_GB2312"/>
          <w:color w:val="auto"/>
          <w:kern w:val="21"/>
          <w:sz w:val="32"/>
          <w:highlight w:val="none"/>
          <w:lang w:bidi="ar"/>
        </w:rPr>
        <w:t>高强度产权监管</w:t>
      </w:r>
      <w:r>
        <w:rPr>
          <w:rFonts w:hint="eastAsia" w:ascii="仿宋_GB2312" w:hAnsi="仿宋_GB2312" w:eastAsia="仿宋_GB2312" w:cs="仿宋_GB2312"/>
          <w:color w:val="auto"/>
          <w:kern w:val="21"/>
          <w:sz w:val="32"/>
          <w:highlight w:val="none"/>
          <w:lang w:eastAsia="zh-CN" w:bidi="ar"/>
        </w:rPr>
        <w:t>六个方面</w:t>
      </w:r>
      <w:r>
        <w:rPr>
          <w:rFonts w:hint="eastAsia" w:ascii="仿宋_GB2312" w:hAnsi="仿宋_GB2312" w:eastAsia="仿宋_GB2312" w:cs="仿宋_GB2312"/>
          <w:color w:val="auto"/>
          <w:kern w:val="21"/>
          <w:sz w:val="32"/>
          <w:highlight w:val="none"/>
          <w:lang w:val="en-US" w:eastAsia="zh-CN" w:bidi="ar"/>
        </w:rPr>
        <w:t>2</w:t>
      </w:r>
      <w:r>
        <w:rPr>
          <w:rFonts w:hint="eastAsia" w:ascii="仿宋_GB2312" w:hAnsi="仿宋_GB2312" w:cs="仿宋_GB2312"/>
          <w:color w:val="auto"/>
          <w:kern w:val="21"/>
          <w:sz w:val="32"/>
          <w:highlight w:val="none"/>
          <w:lang w:val="en-US" w:eastAsia="zh-CN" w:bidi="ar"/>
        </w:rPr>
        <w:t>1</w:t>
      </w:r>
      <w:r>
        <w:rPr>
          <w:rFonts w:hint="eastAsia" w:ascii="仿宋_GB2312" w:hAnsi="仿宋_GB2312" w:eastAsia="仿宋_GB2312" w:cs="仿宋_GB2312"/>
          <w:color w:val="auto"/>
          <w:kern w:val="21"/>
          <w:sz w:val="32"/>
          <w:highlight w:val="none"/>
          <w:lang w:val="en-US" w:eastAsia="zh-CN" w:bidi="ar"/>
        </w:rPr>
        <w:t>条具体</w:t>
      </w:r>
      <w:r>
        <w:rPr>
          <w:rFonts w:hint="eastAsia" w:ascii="仿宋_GB2312" w:hAnsi="仿宋_GB2312" w:cs="仿宋_GB2312"/>
          <w:color w:val="auto"/>
          <w:kern w:val="21"/>
          <w:sz w:val="32"/>
          <w:highlight w:val="none"/>
          <w:lang w:val="en-US" w:eastAsia="zh-CN" w:bidi="ar"/>
        </w:rPr>
        <w:t>任务</w:t>
      </w:r>
      <w:r>
        <w:rPr>
          <w:rFonts w:hint="eastAsia" w:ascii="仿宋_GB2312" w:hAnsi="仿宋_GB2312" w:eastAsia="仿宋_GB2312" w:cs="仿宋_GB2312"/>
          <w:color w:val="auto"/>
          <w:kern w:val="21"/>
          <w:sz w:val="32"/>
          <w:highlight w:val="none"/>
          <w:lang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1.</w:t>
      </w:r>
      <w:r>
        <w:rPr>
          <w:rFonts w:hint="eastAsia" w:ascii="仿宋_GB2312" w:hAnsi="仿宋_GB2312" w:eastAsia="仿宋_GB2312" w:cs="仿宋_GB2312"/>
          <w:color w:val="auto"/>
          <w:kern w:val="21"/>
          <w:sz w:val="32"/>
          <w:highlight w:val="none"/>
          <w:lang w:bidi="ar"/>
        </w:rPr>
        <w:t>高起点</w:t>
      </w:r>
      <w:r>
        <w:rPr>
          <w:rFonts w:hint="eastAsia" w:ascii="仿宋_GB2312" w:hAnsi="仿宋_GB2312" w:eastAsia="仿宋_GB2312" w:cs="仿宋_GB2312"/>
          <w:color w:val="auto"/>
          <w:kern w:val="21"/>
          <w:sz w:val="32"/>
          <w:highlight w:val="none"/>
          <w:lang w:eastAsia="zh-CN" w:bidi="ar"/>
        </w:rPr>
        <w:t>发展定位提出了打造特色化、高端化、智能化、绿色化园区的建设目标。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2.</w:t>
      </w:r>
      <w:r>
        <w:rPr>
          <w:rFonts w:hint="eastAsia" w:ascii="仿宋_GB2312" w:hAnsi="仿宋_GB2312" w:eastAsia="仿宋_GB2312" w:cs="仿宋_GB2312"/>
          <w:color w:val="auto"/>
          <w:kern w:val="21"/>
          <w:sz w:val="32"/>
          <w:highlight w:val="none"/>
          <w:lang w:bidi="ar"/>
        </w:rPr>
        <w:t>高站位规划设计</w:t>
      </w:r>
      <w:r>
        <w:rPr>
          <w:rFonts w:hint="eastAsia" w:ascii="仿宋_GB2312" w:hAnsi="仿宋_GB2312" w:eastAsia="仿宋_GB2312" w:cs="仿宋_GB2312"/>
          <w:color w:val="auto"/>
          <w:kern w:val="21"/>
          <w:sz w:val="32"/>
          <w:highlight w:val="none"/>
          <w:lang w:eastAsia="zh-CN" w:bidi="ar"/>
        </w:rPr>
        <w:t>主要包括加强统筹规划、明确园区要求、优化园区设计三</w:t>
      </w:r>
      <w:r>
        <w:rPr>
          <w:rFonts w:hint="eastAsia" w:ascii="仿宋_GB2312" w:hAnsi="仿宋_GB2312" w:cs="仿宋_GB2312"/>
          <w:color w:val="auto"/>
          <w:kern w:val="21"/>
          <w:sz w:val="32"/>
          <w:highlight w:val="none"/>
          <w:lang w:eastAsia="zh-CN" w:bidi="ar"/>
        </w:rPr>
        <w:t>个</w:t>
      </w:r>
      <w:r>
        <w:rPr>
          <w:rFonts w:hint="eastAsia" w:ascii="仿宋_GB2312" w:hAnsi="仿宋_GB2312" w:eastAsia="仿宋_GB2312" w:cs="仿宋_GB2312"/>
          <w:color w:val="auto"/>
          <w:kern w:val="21"/>
          <w:sz w:val="32"/>
          <w:highlight w:val="none"/>
          <w:lang w:eastAsia="zh-CN" w:bidi="ar"/>
        </w:rPr>
        <w:t>方面内容。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3.</w:t>
      </w:r>
      <w:r>
        <w:rPr>
          <w:rFonts w:hint="eastAsia" w:ascii="仿宋_GB2312" w:hAnsi="仿宋_GB2312" w:eastAsia="仿宋_GB2312" w:cs="仿宋_GB2312"/>
          <w:color w:val="auto"/>
          <w:kern w:val="21"/>
          <w:sz w:val="32"/>
          <w:highlight w:val="none"/>
          <w:lang w:bidi="ar"/>
        </w:rPr>
        <w:t>高标准开发建设</w:t>
      </w:r>
      <w:r>
        <w:rPr>
          <w:rFonts w:hint="eastAsia" w:ascii="仿宋_GB2312" w:hAnsi="仿宋_GB2312" w:eastAsia="仿宋_GB2312" w:cs="仿宋_GB2312"/>
          <w:color w:val="auto"/>
          <w:kern w:val="21"/>
          <w:sz w:val="32"/>
          <w:highlight w:val="none"/>
          <w:lang w:eastAsia="zh-CN" w:bidi="ar"/>
        </w:rPr>
        <w:t>主要对小微企业园区多元开发、建设管理、存量提升提出了要求。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4.</w:t>
      </w:r>
      <w:r>
        <w:rPr>
          <w:rFonts w:hint="eastAsia" w:ascii="仿宋_GB2312" w:hAnsi="仿宋_GB2312" w:eastAsia="仿宋_GB2312" w:cs="仿宋_GB2312"/>
          <w:color w:val="auto"/>
          <w:kern w:val="21"/>
          <w:sz w:val="32"/>
          <w:highlight w:val="none"/>
          <w:lang w:bidi="ar"/>
        </w:rPr>
        <w:t>高质量集聚</w:t>
      </w:r>
      <w:r>
        <w:rPr>
          <w:rFonts w:hint="eastAsia" w:ascii="仿宋_GB2312" w:hAnsi="仿宋_GB2312" w:eastAsia="仿宋_GB2312" w:cs="仿宋_GB2312"/>
          <w:color w:val="auto"/>
          <w:kern w:val="21"/>
          <w:sz w:val="32"/>
          <w:highlight w:val="none"/>
          <w:lang w:eastAsia="zh-CN" w:bidi="ar"/>
        </w:rPr>
        <w:t>发展主要对小微企业园</w:t>
      </w:r>
      <w:r>
        <w:rPr>
          <w:rFonts w:hint="eastAsia" w:ascii="仿宋_GB2312" w:hAnsi="仿宋_GB2312" w:cs="仿宋_GB2312"/>
          <w:color w:val="auto"/>
          <w:kern w:val="21"/>
          <w:sz w:val="32"/>
          <w:highlight w:val="none"/>
          <w:lang w:eastAsia="zh-CN" w:bidi="ar"/>
        </w:rPr>
        <w:t>优选</w:t>
      </w:r>
      <w:r>
        <w:rPr>
          <w:rFonts w:hint="eastAsia" w:ascii="仿宋_GB2312" w:hAnsi="仿宋_GB2312" w:eastAsia="仿宋_GB2312" w:cs="仿宋_GB2312"/>
          <w:color w:val="auto"/>
          <w:kern w:val="21"/>
          <w:sz w:val="32"/>
          <w:highlight w:val="none"/>
          <w:lang w:eastAsia="zh-CN" w:bidi="ar"/>
        </w:rPr>
        <w:t>入园企业、</w:t>
      </w:r>
      <w:r>
        <w:rPr>
          <w:rFonts w:hint="eastAsia" w:ascii="仿宋_GB2312" w:hAnsi="仿宋_GB2312" w:cs="仿宋_GB2312"/>
          <w:color w:val="auto"/>
          <w:kern w:val="21"/>
          <w:sz w:val="32"/>
          <w:highlight w:val="none"/>
          <w:lang w:eastAsia="zh-CN" w:bidi="ar"/>
        </w:rPr>
        <w:t>入园企业</w:t>
      </w:r>
      <w:r>
        <w:rPr>
          <w:rFonts w:hint="eastAsia" w:ascii="仿宋_GB2312" w:hAnsi="仿宋_GB2312" w:eastAsia="仿宋_GB2312" w:cs="仿宋_GB2312"/>
          <w:color w:val="auto"/>
          <w:kern w:val="21"/>
          <w:sz w:val="32"/>
          <w:highlight w:val="none"/>
          <w:lang w:eastAsia="zh-CN" w:bidi="ar"/>
        </w:rPr>
        <w:t>梯度培育、推进</w:t>
      </w:r>
      <w:r>
        <w:rPr>
          <w:rFonts w:hint="eastAsia" w:ascii="仿宋_GB2312" w:hAnsi="仿宋_GB2312" w:cs="仿宋_GB2312"/>
          <w:color w:val="auto"/>
          <w:kern w:val="21"/>
          <w:sz w:val="32"/>
          <w:highlight w:val="none"/>
          <w:lang w:eastAsia="zh-CN" w:bidi="ar"/>
        </w:rPr>
        <w:t>入园企业</w:t>
      </w:r>
      <w:r>
        <w:rPr>
          <w:rFonts w:hint="eastAsia" w:ascii="仿宋_GB2312" w:hAnsi="仿宋_GB2312" w:eastAsia="仿宋_GB2312" w:cs="仿宋_GB2312"/>
          <w:color w:val="auto"/>
          <w:kern w:val="21"/>
          <w:sz w:val="32"/>
          <w:highlight w:val="none"/>
          <w:lang w:eastAsia="zh-CN" w:bidi="ar"/>
        </w:rPr>
        <w:t>腾笼换鸟进行了明确。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5.</w:t>
      </w:r>
      <w:r>
        <w:rPr>
          <w:rFonts w:hint="eastAsia" w:ascii="仿宋_GB2312" w:hAnsi="仿宋_GB2312" w:eastAsia="仿宋_GB2312" w:cs="仿宋_GB2312"/>
          <w:color w:val="auto"/>
          <w:kern w:val="21"/>
          <w:sz w:val="32"/>
          <w:highlight w:val="none"/>
          <w:lang w:bidi="ar"/>
        </w:rPr>
        <w:t>高水平运营管理</w:t>
      </w:r>
      <w:r>
        <w:rPr>
          <w:rFonts w:hint="eastAsia" w:ascii="仿宋_GB2312" w:hAnsi="仿宋_GB2312" w:eastAsia="仿宋_GB2312" w:cs="仿宋_GB2312"/>
          <w:color w:val="auto"/>
          <w:kern w:val="21"/>
          <w:sz w:val="32"/>
          <w:highlight w:val="none"/>
          <w:lang w:eastAsia="zh-CN" w:bidi="ar"/>
        </w:rPr>
        <w:t>主要包括提升园区党建质量、提升园区运营水平、加强园区安全管理、严格实施考核评价四</w:t>
      </w:r>
      <w:r>
        <w:rPr>
          <w:rFonts w:hint="eastAsia" w:ascii="仿宋_GB2312" w:hAnsi="仿宋_GB2312" w:cs="仿宋_GB2312"/>
          <w:color w:val="auto"/>
          <w:kern w:val="21"/>
          <w:sz w:val="32"/>
          <w:highlight w:val="none"/>
          <w:lang w:eastAsia="zh-CN" w:bidi="ar"/>
        </w:rPr>
        <w:t>个</w:t>
      </w:r>
      <w:r>
        <w:rPr>
          <w:rFonts w:hint="eastAsia" w:ascii="仿宋_GB2312" w:hAnsi="仿宋_GB2312" w:eastAsia="仿宋_GB2312" w:cs="仿宋_GB2312"/>
          <w:color w:val="auto"/>
          <w:kern w:val="21"/>
          <w:sz w:val="32"/>
          <w:highlight w:val="none"/>
          <w:lang w:eastAsia="zh-CN" w:bidi="ar"/>
        </w:rPr>
        <w:t>方面内容，</w:t>
      </w:r>
      <w:r>
        <w:rPr>
          <w:rFonts w:hint="eastAsia" w:ascii="仿宋_GB2312" w:hAnsi="仿宋_GB2312" w:cs="仿宋_GB2312"/>
          <w:color w:val="auto"/>
          <w:kern w:val="21"/>
          <w:sz w:val="32"/>
          <w:highlight w:val="none"/>
          <w:lang w:eastAsia="zh-CN" w:bidi="ar"/>
        </w:rPr>
        <w:t>明确</w:t>
      </w:r>
      <w:r>
        <w:rPr>
          <w:rFonts w:hint="eastAsia" w:ascii="仿宋_GB2312" w:hAnsi="仿宋_GB2312" w:eastAsia="仿宋_GB2312" w:cs="仿宋_GB2312"/>
          <w:color w:val="auto"/>
          <w:kern w:val="21"/>
          <w:sz w:val="32"/>
          <w:highlight w:val="none"/>
          <w:lang w:eastAsia="zh-CN" w:bidi="ar"/>
        </w:rPr>
        <w:t>了</w:t>
      </w:r>
      <w:r>
        <w:rPr>
          <w:rFonts w:hint="eastAsia" w:ascii="仿宋_GB2312" w:hAnsi="仿宋_GB2312" w:cs="仿宋_GB2312"/>
          <w:color w:val="auto"/>
          <w:kern w:val="21"/>
          <w:sz w:val="32"/>
          <w:highlight w:val="none"/>
          <w:lang w:eastAsia="zh-CN" w:bidi="ar"/>
        </w:rPr>
        <w:t>相关</w:t>
      </w:r>
      <w:r>
        <w:rPr>
          <w:rFonts w:hint="eastAsia" w:ascii="仿宋_GB2312" w:hAnsi="仿宋_GB2312" w:eastAsia="仿宋_GB2312" w:cs="仿宋_GB2312"/>
          <w:color w:val="auto"/>
          <w:kern w:val="21"/>
          <w:sz w:val="32"/>
          <w:highlight w:val="none"/>
          <w:lang w:eastAsia="zh-CN" w:bidi="ar"/>
        </w:rPr>
        <w:t>激励措施，</w:t>
      </w:r>
      <w:r>
        <w:rPr>
          <w:rFonts w:hint="eastAsia" w:ascii="仿宋_GB2312" w:hAnsi="仿宋_GB2312" w:cs="仿宋_GB2312"/>
          <w:color w:val="auto"/>
          <w:kern w:val="21"/>
          <w:sz w:val="32"/>
          <w:highlight w:val="none"/>
          <w:lang w:eastAsia="zh-CN" w:bidi="ar"/>
        </w:rPr>
        <w:t>推动</w:t>
      </w:r>
      <w:r>
        <w:rPr>
          <w:rFonts w:hint="eastAsia" w:ascii="仿宋_GB2312" w:hAnsi="仿宋_GB2312" w:eastAsia="仿宋_GB2312" w:cs="仿宋_GB2312"/>
          <w:color w:val="auto"/>
          <w:kern w:val="21"/>
          <w:sz w:val="32"/>
          <w:highlight w:val="none"/>
          <w:lang w:eastAsia="zh-CN" w:bidi="ar"/>
        </w:rPr>
        <w:t>园区</w:t>
      </w:r>
      <w:r>
        <w:rPr>
          <w:rFonts w:hint="eastAsia" w:ascii="仿宋_GB2312" w:hAnsi="仿宋_GB2312" w:cs="仿宋_GB2312"/>
          <w:color w:val="auto"/>
          <w:kern w:val="21"/>
          <w:sz w:val="32"/>
          <w:highlight w:val="none"/>
          <w:lang w:eastAsia="zh-CN" w:bidi="ar"/>
        </w:rPr>
        <w:t>运营管理</w:t>
      </w:r>
      <w:r>
        <w:rPr>
          <w:rFonts w:hint="eastAsia" w:ascii="仿宋_GB2312" w:hAnsi="仿宋_GB2312" w:eastAsia="仿宋_GB2312" w:cs="仿宋_GB2312"/>
          <w:color w:val="auto"/>
          <w:kern w:val="21"/>
          <w:sz w:val="32"/>
          <w:highlight w:val="none"/>
          <w:lang w:eastAsia="zh-CN" w:bidi="ar"/>
        </w:rPr>
        <w:t>质量</w:t>
      </w:r>
      <w:r>
        <w:rPr>
          <w:rFonts w:hint="eastAsia" w:ascii="仿宋_GB2312" w:hAnsi="仿宋_GB2312" w:cs="仿宋_GB2312"/>
          <w:color w:val="auto"/>
          <w:kern w:val="21"/>
          <w:sz w:val="32"/>
          <w:highlight w:val="none"/>
          <w:lang w:eastAsia="zh-CN" w:bidi="ar"/>
        </w:rPr>
        <w:t>提升</w:t>
      </w:r>
      <w:r>
        <w:rPr>
          <w:rFonts w:hint="eastAsia" w:ascii="仿宋_GB2312" w:hAnsi="仿宋_GB2312" w:eastAsia="仿宋_GB2312" w:cs="仿宋_GB2312"/>
          <w:color w:val="auto"/>
          <w:kern w:val="21"/>
          <w:sz w:val="32"/>
          <w:highlight w:val="none"/>
          <w:lang w:eastAsia="zh-CN" w:bidi="ar"/>
        </w:rPr>
        <w:t>，为入园企业提供更优</w:t>
      </w:r>
      <w:r>
        <w:rPr>
          <w:rFonts w:hint="eastAsia" w:ascii="仿宋_GB2312" w:hAnsi="仿宋_GB2312" w:cs="仿宋_GB2312"/>
          <w:color w:val="auto"/>
          <w:kern w:val="21"/>
          <w:sz w:val="32"/>
          <w:highlight w:val="none"/>
          <w:lang w:eastAsia="zh-CN" w:bidi="ar"/>
        </w:rPr>
        <w:t>质</w:t>
      </w:r>
      <w:r>
        <w:rPr>
          <w:rFonts w:hint="eastAsia" w:ascii="仿宋_GB2312" w:hAnsi="仿宋_GB2312" w:eastAsia="仿宋_GB2312" w:cs="仿宋_GB2312"/>
          <w:color w:val="auto"/>
          <w:kern w:val="21"/>
          <w:sz w:val="32"/>
          <w:highlight w:val="none"/>
          <w:lang w:eastAsia="zh-CN" w:bidi="ar"/>
        </w:rPr>
        <w:t>的服务。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6.</w:t>
      </w:r>
      <w:r>
        <w:rPr>
          <w:rFonts w:hint="eastAsia" w:ascii="仿宋_GB2312" w:hAnsi="仿宋_GB2312" w:eastAsia="仿宋_GB2312" w:cs="仿宋_GB2312"/>
          <w:color w:val="auto"/>
          <w:kern w:val="21"/>
          <w:sz w:val="32"/>
          <w:highlight w:val="none"/>
          <w:lang w:bidi="ar"/>
        </w:rPr>
        <w:t>高强度产权监管</w:t>
      </w:r>
      <w:r>
        <w:rPr>
          <w:rFonts w:hint="eastAsia" w:ascii="仿宋_GB2312" w:hAnsi="仿宋_GB2312" w:eastAsia="仿宋_GB2312" w:cs="仿宋_GB2312"/>
          <w:color w:val="auto"/>
          <w:kern w:val="21"/>
          <w:sz w:val="32"/>
          <w:highlight w:val="none"/>
          <w:lang w:eastAsia="zh-CN" w:bidi="ar"/>
        </w:rPr>
        <w:t>对小微企业园</w:t>
      </w:r>
      <w:r>
        <w:rPr>
          <w:rFonts w:hint="eastAsia" w:ascii="仿宋_GB2312" w:hAnsi="仿宋_GB2312" w:cs="仿宋_GB2312"/>
          <w:color w:val="auto"/>
          <w:kern w:val="21"/>
          <w:sz w:val="32"/>
          <w:highlight w:val="none"/>
          <w:lang w:eastAsia="zh-CN" w:bidi="ar"/>
        </w:rPr>
        <w:t>开发</w:t>
      </w:r>
      <w:r>
        <w:rPr>
          <w:rFonts w:hint="eastAsia" w:ascii="仿宋_GB2312" w:hAnsi="仿宋_GB2312" w:eastAsia="仿宋_GB2312" w:cs="仿宋_GB2312"/>
          <w:color w:val="auto"/>
          <w:kern w:val="21"/>
          <w:sz w:val="32"/>
          <w:highlight w:val="none"/>
          <w:lang w:eastAsia="zh-CN" w:bidi="ar"/>
        </w:rPr>
        <w:t>资格审核、土地出让管理、厂房销售管理、分割自持标准进行了明确和规范。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hAnsi="Times New Roman" w:eastAsia="楷体_GB2312" w:cs="Times New Roman"/>
          <w:color w:val="auto"/>
          <w:kern w:val="21"/>
          <w:sz w:val="32"/>
          <w:highlight w:val="none"/>
          <w:lang w:eastAsia="zh-CN" w:bidi="ar"/>
        </w:rPr>
      </w:pPr>
      <w:r>
        <w:rPr>
          <w:rFonts w:hint="eastAsia" w:ascii="楷体_GB2312" w:hAnsi="楷体_GB2312" w:eastAsia="楷体_GB2312" w:cs="楷体_GB2312"/>
          <w:color w:val="000000"/>
          <w:spacing w:val="0"/>
          <w:kern w:val="21"/>
          <w:sz w:val="32"/>
          <w:szCs w:val="32"/>
          <w:lang w:val="en-US" w:eastAsia="zh-CN"/>
        </w:rPr>
        <w:t>（三）保障措施：</w:t>
      </w:r>
      <w:r>
        <w:rPr>
          <w:rFonts w:hint="eastAsia" w:ascii="仿宋_GB2312" w:hAnsi="仿宋_GB2312" w:eastAsia="仿宋_GB2312" w:cs="仿宋_GB2312"/>
          <w:color w:val="auto"/>
          <w:kern w:val="21"/>
          <w:sz w:val="32"/>
          <w:highlight w:val="none"/>
          <w:lang w:eastAsia="zh-CN" w:bidi="ar"/>
        </w:rPr>
        <w:t>主要从加强组织领导、加强政策支持</w:t>
      </w:r>
      <w:r>
        <w:rPr>
          <w:rFonts w:hint="eastAsia" w:ascii="仿宋_GB2312" w:hAnsi="仿宋_GB2312" w:cs="仿宋_GB2312"/>
          <w:color w:val="auto"/>
          <w:kern w:val="21"/>
          <w:sz w:val="32"/>
          <w:highlight w:val="none"/>
          <w:lang w:eastAsia="zh-CN" w:bidi="ar"/>
        </w:rPr>
        <w:t>、</w:t>
      </w:r>
      <w:r>
        <w:rPr>
          <w:rFonts w:hint="eastAsia" w:ascii="仿宋_GB2312" w:hAnsi="仿宋_GB2312" w:eastAsia="仿宋_GB2312" w:cs="仿宋_GB2312"/>
          <w:color w:val="auto"/>
          <w:kern w:val="21"/>
          <w:sz w:val="32"/>
          <w:highlight w:val="none"/>
          <w:lang w:eastAsia="zh-CN" w:bidi="ar"/>
        </w:rPr>
        <w:t>加强服务保障、加强宣传推广</w:t>
      </w:r>
      <w:r>
        <w:rPr>
          <w:rFonts w:hint="eastAsia" w:ascii="仿宋_GB2312" w:hAnsi="仿宋_GB2312" w:cs="仿宋_GB2312"/>
          <w:color w:val="auto"/>
          <w:kern w:val="21"/>
          <w:sz w:val="32"/>
          <w:highlight w:val="none"/>
          <w:lang w:eastAsia="zh-CN" w:bidi="ar"/>
        </w:rPr>
        <w:t>四个</w:t>
      </w:r>
      <w:r>
        <w:rPr>
          <w:rFonts w:hint="eastAsia" w:ascii="仿宋_GB2312" w:hAnsi="仿宋_GB2312" w:eastAsia="仿宋_GB2312" w:cs="仿宋_GB2312"/>
          <w:color w:val="auto"/>
          <w:kern w:val="21"/>
          <w:sz w:val="32"/>
          <w:highlight w:val="none"/>
          <w:lang w:eastAsia="zh-CN" w:bidi="ar"/>
        </w:rPr>
        <w:t>方面提出了保障要求。</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outlineLvl w:val="9"/>
        <w:rPr>
          <w:rFonts w:hint="eastAsia" w:ascii="Times New Roman" w:hAnsi="Times New Roman" w:eastAsia="黑体" w:cs="Times New Roman"/>
          <w:spacing w:val="0"/>
          <w:kern w:val="21"/>
          <w:lang w:eastAsia="zh-CN"/>
        </w:rPr>
      </w:pPr>
      <w:r>
        <w:rPr>
          <w:rFonts w:hint="eastAsia" w:ascii="Times New Roman" w:hAnsi="Times New Roman" w:eastAsia="黑体" w:cs="Times New Roman"/>
          <w:spacing w:val="0"/>
          <w:kern w:val="21"/>
          <w:lang w:eastAsia="zh-CN"/>
        </w:rPr>
        <w:t>三</w:t>
      </w:r>
      <w:r>
        <w:rPr>
          <w:rFonts w:hint="default" w:ascii="Times New Roman" w:hAnsi="Times New Roman" w:eastAsia="黑体" w:cs="Times New Roman"/>
          <w:spacing w:val="0"/>
          <w:kern w:val="21"/>
        </w:rPr>
        <w:t>、</w:t>
      </w:r>
      <w:r>
        <w:rPr>
          <w:rFonts w:hint="eastAsia" w:ascii="Times New Roman" w:hAnsi="Times New Roman" w:eastAsia="黑体" w:cs="Times New Roman"/>
          <w:spacing w:val="0"/>
          <w:kern w:val="21"/>
          <w:lang w:eastAsia="zh-CN"/>
        </w:rPr>
        <w:t>制定过程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hAnsi="Times New Roman" w:cs="Times New Roman"/>
          <w:color w:val="000000"/>
          <w:spacing w:val="0"/>
          <w:kern w:val="21"/>
          <w:sz w:val="32"/>
          <w:szCs w:val="32"/>
          <w:lang w:val="en-US" w:eastAsia="zh-CN"/>
        </w:rPr>
        <w:t>2023年10月以来，市经信局联合省工信院对全市小微企业园建设情况开展调研，听取各相关部门、小微企业园和入园企业的意见。11月9日，专题召开《意见》起草意见征集会，经省工信院、各县（市、区）和小微企业园及入园企业代表的充分讨论，形成了《意见》的征求意见稿。2024年1月29日，向市委组织部、市委宣传部、发改委、科技局、资规局等23个市级部门</w:t>
      </w:r>
      <w:r>
        <w:rPr>
          <w:rFonts w:hint="default" w:hAnsi="Times New Roman" w:cs="Times New Roman"/>
          <w:color w:val="000000"/>
          <w:spacing w:val="0"/>
          <w:kern w:val="21"/>
          <w:sz w:val="32"/>
          <w:szCs w:val="32"/>
          <w:lang w:eastAsia="zh-CN"/>
          <w:woUserID w:val="1"/>
        </w:rPr>
        <w:t>，</w:t>
      </w:r>
      <w:r>
        <w:rPr>
          <w:rFonts w:hint="eastAsia" w:hAnsi="Times New Roman" w:cs="Times New Roman"/>
          <w:color w:val="000000"/>
          <w:spacing w:val="0"/>
          <w:kern w:val="21"/>
          <w:sz w:val="32"/>
          <w:szCs w:val="32"/>
          <w:lang w:val="en-US" w:eastAsia="zh-CN"/>
        </w:rPr>
        <w:t>各县（市、区）政府</w:t>
      </w:r>
      <w:r>
        <w:rPr>
          <w:rFonts w:hint="default" w:hAnsi="Times New Roman" w:cs="Times New Roman"/>
          <w:color w:val="000000"/>
          <w:spacing w:val="0"/>
          <w:kern w:val="21"/>
          <w:sz w:val="32"/>
          <w:szCs w:val="32"/>
          <w:lang w:eastAsia="zh-CN"/>
          <w:woUserID w:val="1"/>
        </w:rPr>
        <w:t>，金华经济技术开发区管委会</w:t>
      </w:r>
      <w:bookmarkStart w:id="0" w:name="_GoBack"/>
      <w:bookmarkEnd w:id="0"/>
      <w:r>
        <w:rPr>
          <w:rFonts w:hint="eastAsia" w:hAnsi="Times New Roman" w:cs="Times New Roman"/>
          <w:color w:val="000000"/>
          <w:spacing w:val="0"/>
          <w:kern w:val="21"/>
          <w:sz w:val="32"/>
          <w:szCs w:val="32"/>
          <w:lang w:val="en-US" w:eastAsia="zh-CN"/>
        </w:rPr>
        <w:t>征求意见，2月3日在市经信局门户网站上公开向社会公众征求意见。</w:t>
      </w:r>
    </w:p>
    <w:p>
      <w:pPr>
        <w:pStyle w:val="2"/>
        <w:numPr>
          <w:ilvl w:val="0"/>
          <w:numId w:val="0"/>
        </w:numPr>
        <w:rPr>
          <w:rFonts w:hint="eastAsia" w:hAnsi="Times New Roman" w:eastAsia="楷体_GB2312" w:cs="Times New Roman"/>
          <w:color w:val="auto"/>
          <w:kern w:val="21"/>
          <w:sz w:val="32"/>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D4082"/>
    <w:rsid w:val="5F9D12C7"/>
    <w:rsid w:val="6FFFAE35"/>
    <w:rsid w:val="7B3D4082"/>
    <w:rsid w:val="EB3BA732"/>
    <w:rsid w:val="ECDE606F"/>
    <w:rsid w:val="FEAB50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Times New Roman"/>
    </w:rPr>
  </w:style>
  <w:style w:type="paragraph" w:styleId="3">
    <w:name w:val="Body Text"/>
    <w:basedOn w:val="1"/>
    <w:next w:val="4"/>
    <w:qFormat/>
    <w:uiPriority w:val="0"/>
    <w:pPr>
      <w:spacing w:after="140" w:line="276" w:lineRule="auto"/>
    </w:pPr>
  </w:style>
  <w:style w:type="paragraph" w:styleId="4">
    <w:name w:val="Body Text First Indent"/>
    <w:basedOn w:val="3"/>
    <w:next w:val="3"/>
    <w:qFormat/>
    <w:uiPriority w:val="0"/>
    <w:pPr>
      <w:suppressAutoHyphens/>
      <w:spacing w:after="140" w:line="276" w:lineRule="auto"/>
      <w:ind w:firstLine="420" w:firstLineChars="1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2024-03-08T01:59:00Z</dcterms:created>
  <dc:creator>uos</dc:creator>
  <cp:lastModifiedBy>uos1</cp:lastModifiedBy>
  <dcterms:modified xsi:type="dcterms:W3CDTF">2024-04-10T17:19:28Z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