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240" w:lineRule="auto"/>
        <w:ind w:firstLine="640" w:firstLineChars="200"/>
        <w:jc w:val="center"/>
        <w:rPr>
          <w:rFonts w:ascii="Times New Roman" w:hAnsi="Times New Roman" w:eastAsia="方正小标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  <w:lang w:eastAsia="zh-CN"/>
        </w:rPr>
        <w:t>绍兴市上虞区</w:t>
      </w: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新能源汽车下乡行动方案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（2023</w:t>
      </w: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—</w:t>
      </w: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2025年）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楷体_GB2312" w:cs="楷体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highlight w:val="none"/>
          <w:lang w:eastAsia="zh-CN"/>
        </w:rPr>
        <w:t>征求意见</w:t>
      </w:r>
      <w:bookmarkStart w:id="0" w:name="_GoBack"/>
      <w:bookmarkEnd w:id="0"/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highlight w:val="none"/>
          <w:lang w:eastAsia="zh-CN"/>
        </w:rPr>
        <w:t>稿</w:t>
      </w:r>
      <w:r>
        <w:rPr>
          <w:rFonts w:hint="eastAsia" w:ascii="Times New Roman" w:hAnsi="Times New Roman" w:eastAsia="楷体_GB2312" w:cs="楷体_GB2312"/>
          <w:snapToGrid w:val="0"/>
          <w:kern w:val="0"/>
          <w:sz w:val="32"/>
          <w:szCs w:val="32"/>
          <w:highlight w:val="none"/>
        </w:rPr>
        <w:t>）</w:t>
      </w:r>
    </w:p>
    <w:p>
      <w:pPr>
        <w:overflowPunct w:val="0"/>
        <w:adjustRightInd w:val="0"/>
        <w:snapToGrid w:val="0"/>
        <w:spacing w:line="240" w:lineRule="auto"/>
        <w:ind w:firstLine="640" w:firstLineChars="20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为贯彻落实《浙江省完善高质量充电基础设施网络体系 促进新能源汽车下乡行动方案（2023—2025年）》（浙政办发〔2023〕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42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《绍兴市新能源汽车下乡行动方案（2023—2025年）》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绍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政办发〔2023〕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号）精神，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推动新能源汽车下乡，进一步挖掘新能源汽车消费潜力，促进乡村全面振兴，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特制定本行动方案。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20" w:firstLineChars="200"/>
        <w:textAlignment w:val="auto"/>
        <w:rPr>
          <w:rFonts w:ascii="Times New Roman" w:hAnsi="Times New Roman" w:cs="Times New Roman"/>
          <w:kern w:val="0"/>
          <w:highlight w:val="none"/>
        </w:rPr>
      </w:pPr>
      <w:r>
        <w:rPr>
          <w:rFonts w:ascii="Times New Roman" w:hAnsi="Times New Roman" w:eastAsia="黑体" w:cs="Times New Roman"/>
          <w:color w:val="000000"/>
          <w:kern w:val="0"/>
          <w:sz w:val="31"/>
          <w:szCs w:val="31"/>
          <w:highlight w:val="none"/>
          <w:lang w:bidi="ar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bidi="ar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（一）指导思想。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以习近平新时代中国特色社会主义思想为指导，把恢复和扩大消费摆在优先位置，坚持政府有为与市场有效相结合、供给创新与需求牵引相结合、产业链延伸与生态圈构建相结合的原则，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区、镇、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三级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联动，全面实施新能源汽车下乡行动，强化新能源汽车下乡支持政策集成，探索全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区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域畅行无忧、全生命周期服务管理、全场景丰富多彩的新能源汽车下乡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bidi="ar"/>
        </w:rPr>
        <w:t>模式，打造智慧安全、绿色低碳、全域畅行的新能源汽车下乡标杆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eastAsia="zh-CN" w:bidi="ar"/>
        </w:rPr>
        <w:t>区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  <w:t>（二）发展目标。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到2025年，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构建新能源汽车生产、销售、维修、保养、回收全生命周期服务体系，城乡新能源汽车年销量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6000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辆以上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，建成新能源汽车维保服务网点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家以上。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</w:rPr>
        <w:t>二</w:t>
      </w: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</w:rPr>
        <w:t>健全城乡销售服务网络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eastAsia="zh-CN"/>
        </w:rPr>
        <w:t>丰富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新能源汽车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lang w:eastAsia="zh-CN"/>
        </w:rPr>
        <w:t>产品供给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积极引培新能源整车制造企业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，积极发展电力驱动系统、电源系统、辅助系统等新能源汽车系统总成制造和解决方案。鼓励传统汽车及配套企业深化与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新能源汽车整车厂商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合作，调整产品结构，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开展协同创新和技术攻关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，充分利用现有产能发展新能源汽车，共同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开发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更多适配乡村生产生活的经济实用车型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推动新能源汽车行业深化技术变革，加强动力电池系统、新型底盘架构、智能驾驶体系等领域核心技术攻关，降低核心零配件价格。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责任单位：经信局、科技局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、投资促进中心</w:t>
      </w: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32"/>
          <w:szCs w:val="32"/>
          <w:highlight w:val="none"/>
        </w:rPr>
        <w:t>（各</w:t>
      </w: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32"/>
          <w:szCs w:val="32"/>
          <w:highlight w:val="none"/>
          <w:lang w:eastAsia="zh-CN"/>
        </w:rPr>
        <w:t>部门</w:t>
      </w: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32"/>
          <w:szCs w:val="32"/>
          <w:highlight w:val="none"/>
        </w:rPr>
        <w:t>按职责分工，下同）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（二）加快销售服务网点布局。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鼓励新能源汽车企业布局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区域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销售服务网点，并向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周边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乡村辐射延伸。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推进新能源汽车厂商、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销售商、维修服务商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等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组建下乡服务联盟，探索企业“联合下沉”服务模式，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积极布局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服务集约、业态多元的新能源汽车共享服务中心（网点），集成品牌汽车销售、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新车试驾、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维修保养、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汽车救援、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充换电等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服务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功能。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对开展新能源汽车生产、销售、维保等相关服务的企业或投资项目，给予一定奖补。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责任单位：经信局、交通运输局、商务局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（三）强化应急抢修服务。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加快新能源汽车维保服务网点布局建设，力争实现城乡汽车维修需求半小时触达。鼓励、引导燃油车维修企业向新能源汽车维修保养领域拓展。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责任单位：公安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分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局、交通运输局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（四）完善新能源二手车流通体系。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探索建立新能源二手车评估体系，加强新能源二手车检查和整修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鼓励汽车流通企业、二手车经销企业提供高效便利的评估和规范齐全的置换服务。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对已备案汽车销售企业从自然人处购进二手车的，允许企业反向开具二手车销售统一发票。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鼓励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对新能源汽车动力蓄电池回收利用项目给予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一定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支持。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责任单位：经信局、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公安分局、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商务局、税务局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</w:rPr>
        <w:t>三</w:t>
      </w: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</w:rPr>
        <w:t>激发乡村汽车消费潜力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（五）创新新能源汽车下乡促销举措。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落实国家延续和优化新能源汽车车辆购置税减免政策，进一步释放新能源汽车消费潜力。组织开展新能源汽车下乡促销、巡展活动，引导企业推出以旧换新、购车赠送充电桩等配套活动，对消费者购置相关新能源车型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  <w:t>2023年度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</w:rPr>
        <w:t>按照工业和信息化部等五部门《关于开展2023年新能源汽车下乡活动的通知》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eastAsia="zh-CN"/>
        </w:rPr>
        <w:t>中规定车型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</w:rPr>
        <w:t>执行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  <w:t>以后年度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eastAsia="zh-CN"/>
        </w:rPr>
        <w:t>如发生调整，则遵照执行</w:t>
      </w:r>
      <w:r>
        <w:rPr>
          <w:rFonts w:hint="eastAsia" w:ascii="楷体" w:hAnsi="楷体" w:eastAsia="楷体" w:cs="楷体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，给予不低于2000元/辆的补贴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（可同步享受其他汽车促销优惠政策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，具体按照财政预算执行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。加大新能源汽车品牌推介力度，采用消费券、消费补贴等方式，对购买新能源汽车进行补贴，对特殊人才、产业工匠等特定人群购车加大优惠补贴力度。鼓励金融机构在依法合规、风险可控的前提下，合理确定首付比例、贷款利率、还款期限。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责任单位：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经信局、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财政局、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人力社保局、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商务局、税务局、中国人民银行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上虞支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行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（六）加快公共领域新能源汽车推广应用。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加快新能源汽车在党政机关、学校、医院等单位推广应用，因地制宜提高公务用车中新能源汽车使用比例，发挥引领示范作用。推进新能源汽车在公共交通、道路客运、出租汽车、执法、环卫、物流配送等领域应用。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责任单位：教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体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局、交通运输局、卫生健康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、综合执法局、机关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事务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服务中心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生态环境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分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局、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邮政管理局）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（七）培育打造出行新模式新场景。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结合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上虞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特色，设计一批适合新能源汽车自驾的乡村旅游线路，积极举办新能源汽车露营、后备箱市集、房车展、体育赛事等活动，打造新能源汽车文旅品牌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。探索开展新能源汽车自驾租赁业</w:t>
      </w:r>
      <w:r>
        <w:rPr>
          <w:rFonts w:ascii="Times New Roman" w:hAnsi="Times New Roman" w:eastAsia="仿宋_GB2312" w:cs="Times New Roman"/>
          <w:spacing w:val="6"/>
          <w:kern w:val="0"/>
          <w:sz w:val="32"/>
          <w:szCs w:val="32"/>
          <w:highlight w:val="none"/>
        </w:rPr>
        <w:t>务。</w:t>
      </w:r>
      <w:r>
        <w:rPr>
          <w:rFonts w:hint="eastAsia" w:ascii="Times New Roman" w:hAnsi="Times New Roman" w:eastAsia="仿宋_GB2312" w:cs="Times New Roman"/>
          <w:spacing w:val="6"/>
          <w:kern w:val="0"/>
          <w:sz w:val="32"/>
          <w:szCs w:val="32"/>
          <w:highlight w:val="none"/>
        </w:rPr>
        <w:t>制定</w:t>
      </w:r>
      <w:r>
        <w:rPr>
          <w:rFonts w:ascii="Times New Roman" w:hAnsi="Times New Roman" w:eastAsia="仿宋_GB2312" w:cs="Times New Roman"/>
          <w:spacing w:val="6"/>
          <w:kern w:val="0"/>
          <w:sz w:val="32"/>
          <w:szCs w:val="32"/>
          <w:highlight w:val="none"/>
        </w:rPr>
        <w:t>公共充电车位管理办法</w:t>
      </w:r>
      <w:r>
        <w:rPr>
          <w:rFonts w:hint="eastAsia" w:ascii="Times New Roman" w:hAnsi="Times New Roman" w:eastAsia="仿宋_GB2312" w:cs="Times New Roman"/>
          <w:spacing w:val="6"/>
          <w:kern w:val="0"/>
          <w:sz w:val="32"/>
          <w:szCs w:val="32"/>
          <w:highlight w:val="none"/>
        </w:rPr>
        <w:t>，鼓励</w:t>
      </w:r>
      <w:r>
        <w:rPr>
          <w:rFonts w:ascii="Times New Roman" w:hAnsi="Times New Roman" w:eastAsia="仿宋_GB2312" w:cs="Times New Roman"/>
          <w:spacing w:val="6"/>
          <w:kern w:val="0"/>
          <w:sz w:val="32"/>
          <w:szCs w:val="32"/>
          <w:highlight w:val="none"/>
        </w:rPr>
        <w:t>实施政府定价的公共停车场</w:t>
      </w:r>
      <w:r>
        <w:rPr>
          <w:rFonts w:hint="eastAsia" w:ascii="Times New Roman" w:hAnsi="Times New Roman" w:eastAsia="仿宋_GB2312" w:cs="Times New Roman"/>
          <w:spacing w:val="6"/>
          <w:kern w:val="0"/>
          <w:sz w:val="32"/>
          <w:szCs w:val="32"/>
          <w:highlight w:val="none"/>
        </w:rPr>
        <w:t>（点），</w:t>
      </w:r>
      <w:r>
        <w:rPr>
          <w:rFonts w:ascii="Times New Roman" w:hAnsi="Times New Roman" w:eastAsia="仿宋_GB2312" w:cs="Times New Roman"/>
          <w:spacing w:val="6"/>
          <w:kern w:val="0"/>
          <w:sz w:val="32"/>
          <w:szCs w:val="32"/>
          <w:highlight w:val="none"/>
        </w:rPr>
        <w:t>停放新能源汽车当日首次2小时内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（含充电时间）</w:t>
      </w:r>
      <w:r>
        <w:rPr>
          <w:rFonts w:ascii="Times New Roman" w:hAnsi="Times New Roman" w:eastAsia="仿宋_GB2312" w:cs="Times New Roman"/>
          <w:spacing w:val="6"/>
          <w:kern w:val="0"/>
          <w:sz w:val="32"/>
          <w:szCs w:val="32"/>
          <w:highlight w:val="none"/>
        </w:rPr>
        <w:t>免费。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责任单位：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教体局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、交通运输局、文广旅游局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、曹娥江旅游度假区、文旅集团、城建集团）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四、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</w:rPr>
        <w:t>优化政策要素保障举措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（八）建立协同推进机制。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压紧压实主体责任，建立发改、经信、交通运输、商务、市场监管等单位协同机制，明确工作目标、任务分工、时间节点，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推动各项工作落实落地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责任单位：发改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、经信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、交通运输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、商务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、市场监管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局）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（九）强化各类要素保障。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统筹安排新能源汽车推广应用奖补资金，进一步促进新能源汽车消费。支持符合条件的维保服务网点申请专项补助。合理保障新能源汽车服务网点建设用地。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责任单位：发改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、财政局、交通运输局、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自然资源和规划分局）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highlight w:val="none"/>
        </w:rPr>
        <w:t>（十）注重宣传引导督查。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用好各类媒体渠道，加强新能源汽车下乡行动政策宣传解读，对不同类型新能源汽车的使用、技术、安全等方面知识进行宣传推广，消除居民购车顾虑。加强舆论监督，积极回应群众诉求，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曝光损害消费者权益行为，营造推动新能源汽车下乡的良好氛围。开展新能源汽车下乡工作任务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落实情况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督查，确保政策有效、群众有感、市场有序。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</w:rPr>
        <w:t>责任单位：宣传部、商务局、市场监管局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highlight w:val="none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本方案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自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2023年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日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起实施，有效期截至202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5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年12月31日。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上级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出台相关新支持政策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，遵照执行。同类政策标准不一致的，按照从高不重复原则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予以支持。</w:t>
      </w:r>
    </w:p>
    <w:p/>
    <w:sectPr>
      <w:pgSz w:w="11906" w:h="16838"/>
      <w:pgMar w:top="1984" w:right="1701" w:bottom="1871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67E92"/>
    <w:rsid w:val="4206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kern w:val="0"/>
    </w:rPr>
  </w:style>
  <w:style w:type="paragraph" w:customStyle="1" w:styleId="4">
    <w:name w:val="引用1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paragraph" w:styleId="5">
    <w:name w:val="Body Text Indent"/>
    <w:basedOn w:val="1"/>
    <w:next w:val="2"/>
    <w:qFormat/>
    <w:uiPriority w:val="0"/>
    <w:pPr>
      <w:ind w:firstLine="560" w:firstLineChars="200"/>
    </w:pPr>
    <w:rPr>
      <w:sz w:val="28"/>
      <w:szCs w:val="28"/>
    </w:rPr>
  </w:style>
  <w:style w:type="paragraph" w:styleId="6">
    <w:name w:val="Body Text First Indent 2"/>
    <w:basedOn w:val="5"/>
    <w:next w:val="5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2023-09-13T08:37:00Z</dcterms:created>
  <dc:creator>Administrator</dc:creator>
  <cp:lastModifiedBy>Administrator</cp:lastModifiedBy>
  <dcterms:modified xsi:type="dcterms:W3CDTF">2023-09-13T08:37:31Z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7E9BB8E7BEF44906BA79F8BAEC1C0E3E</vt:lpwstr>
  </property>
</Properties>
</file>