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suppressAutoHyphens/>
        <w:kinsoku/>
        <w:wordWrap/>
        <w:overflowPunct/>
        <w:topLinePunct w:val="0"/>
        <w:autoSpaceDE w:val="0"/>
        <w:autoSpaceDN/>
        <w:bidi w:val="0"/>
        <w:adjustRightInd/>
        <w:snapToGrid/>
        <w:spacing w:line="560" w:lineRule="exact"/>
        <w:ind w:left="0" w:firstLine="0" w:firstLineChars="0"/>
        <w:jc w:val="center"/>
        <w:textAlignment w:val="auto"/>
        <w:rPr>
          <w:rFonts w:hint="eastAsia" w:ascii="方正小标宋_GBK" w:hAnsi="微软雅黑" w:eastAsia="方正小标宋_GBK" w:cs="宋体"/>
          <w:color w:val="000000"/>
          <w:kern w:val="0"/>
          <w:sz w:val="44"/>
          <w:szCs w:val="44"/>
          <w:lang w:val="en-US" w:eastAsia="zh-CN" w:bidi="ar-SA"/>
        </w:rPr>
      </w:pPr>
      <w:r>
        <w:rPr>
          <w:rFonts w:hint="default" w:ascii="方正小标宋_GBK" w:hAnsi="微软雅黑" w:eastAsia="方正小标宋_GBK" w:cs="宋体"/>
          <w:color w:val="000000"/>
          <w:kern w:val="0"/>
          <w:sz w:val="44"/>
          <w:szCs w:val="44"/>
          <w:lang w:val="en-US" w:eastAsia="zh-CN" w:bidi="ar-SA"/>
        </w:rPr>
        <w:t>绍兴市上虞区</w:t>
      </w:r>
      <w:bookmarkStart w:id="0" w:name="_GoBack"/>
      <w:bookmarkEnd w:id="0"/>
      <w:r>
        <w:rPr>
          <w:rFonts w:hint="default" w:ascii="方正小标宋_GBK" w:hAnsi="微软雅黑" w:eastAsia="方正小标宋_GBK" w:cs="宋体"/>
          <w:color w:val="000000"/>
          <w:kern w:val="0"/>
          <w:sz w:val="44"/>
          <w:szCs w:val="44"/>
          <w:lang w:val="en-US" w:eastAsia="zh-CN" w:bidi="ar-SA"/>
        </w:rPr>
        <w:t>化工装置</w:t>
      </w:r>
      <w:r>
        <w:rPr>
          <w:rFonts w:hint="eastAsia" w:ascii="方正小标宋_GBK" w:hAnsi="微软雅黑" w:eastAsia="方正小标宋_GBK" w:cs="宋体"/>
          <w:color w:val="000000"/>
          <w:kern w:val="0"/>
          <w:sz w:val="44"/>
          <w:szCs w:val="44"/>
          <w:lang w:val="en-US" w:eastAsia="zh-CN" w:bidi="ar-SA"/>
        </w:rPr>
        <w:t>设备</w:t>
      </w:r>
      <w:r>
        <w:rPr>
          <w:rFonts w:hint="default" w:ascii="方正小标宋_GBK" w:hAnsi="微软雅黑" w:eastAsia="方正小标宋_GBK" w:cs="宋体"/>
          <w:color w:val="000000"/>
          <w:kern w:val="0"/>
          <w:sz w:val="44"/>
          <w:szCs w:val="44"/>
          <w:lang w:val="en-US" w:eastAsia="zh-CN" w:bidi="ar-SA"/>
        </w:rPr>
        <w:t>改造</w:t>
      </w:r>
      <w:r>
        <w:rPr>
          <w:rFonts w:hint="eastAsia" w:ascii="方正小标宋_GBK" w:hAnsi="微软雅黑" w:eastAsia="方正小标宋_GBK" w:cs="宋体"/>
          <w:color w:val="000000"/>
          <w:kern w:val="0"/>
          <w:sz w:val="44"/>
          <w:szCs w:val="44"/>
          <w:lang w:val="en-US" w:eastAsia="zh-CN" w:bidi="ar-SA"/>
        </w:rPr>
        <w:t>提升和</w:t>
      </w:r>
    </w:p>
    <w:p>
      <w:pPr>
        <w:pStyle w:val="3"/>
        <w:keepNext w:val="0"/>
        <w:keepLines w:val="0"/>
        <w:pageBreakBefore w:val="0"/>
        <w:widowControl w:val="0"/>
        <w:suppressLineNumbers w:val="0"/>
        <w:suppressAutoHyphens/>
        <w:kinsoku/>
        <w:wordWrap/>
        <w:overflowPunct/>
        <w:topLinePunct w:val="0"/>
        <w:autoSpaceDE w:val="0"/>
        <w:autoSpaceDN/>
        <w:bidi w:val="0"/>
        <w:adjustRightInd/>
        <w:snapToGrid/>
        <w:spacing w:line="560" w:lineRule="exact"/>
        <w:ind w:left="0" w:firstLine="0" w:firstLineChars="0"/>
        <w:jc w:val="center"/>
        <w:textAlignment w:val="auto"/>
        <w:rPr>
          <w:rFonts w:hint="default" w:ascii="方正小标宋_GBK" w:hAnsi="微软雅黑" w:eastAsia="方正小标宋_GBK" w:cs="宋体"/>
          <w:color w:val="000000"/>
          <w:kern w:val="0"/>
          <w:sz w:val="44"/>
          <w:szCs w:val="44"/>
          <w:lang w:val="en-US" w:eastAsia="zh-CN" w:bidi="ar-SA"/>
        </w:rPr>
      </w:pPr>
      <w:r>
        <w:rPr>
          <w:rFonts w:hint="default" w:ascii="方正小标宋_GBK" w:hAnsi="微软雅黑" w:eastAsia="方正小标宋_GBK" w:cs="宋体"/>
          <w:color w:val="000000"/>
          <w:kern w:val="0"/>
          <w:sz w:val="44"/>
          <w:szCs w:val="44"/>
          <w:lang w:val="en-US" w:eastAsia="zh-CN" w:bidi="ar-SA"/>
        </w:rPr>
        <w:t>安全风险管控数字化转型工作方案</w:t>
      </w:r>
    </w:p>
    <w:p>
      <w:pPr>
        <w:jc w:val="center"/>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（征求意见稿）</w:t>
      </w:r>
    </w:p>
    <w:p>
      <w:pPr>
        <w:pStyle w:val="2"/>
        <w:keepNext w:val="0"/>
        <w:keepLines w:val="0"/>
        <w:pageBreakBefore w:val="0"/>
        <w:widowControl w:val="0"/>
        <w:suppressLineNumbers w:val="0"/>
        <w:kinsoku/>
        <w:wordWrap/>
        <w:overflowPunct/>
        <w:topLinePunct w:val="0"/>
        <w:autoSpaceDN/>
        <w:bidi w:val="0"/>
        <w:adjustRightInd/>
        <w:snapToGrid/>
        <w:spacing w:line="560" w:lineRule="exact"/>
        <w:ind w:left="126" w:right="81" w:firstLine="600" w:firstLineChars="200"/>
        <w:jc w:val="both"/>
        <w:textAlignment w:val="auto"/>
        <w:rPr>
          <w:rFonts w:hint="default" w:ascii="仿宋_GB2312" w:eastAsia="仿宋_GB2312" w:cs="仿宋_GB2312"/>
          <w:kern w:val="2"/>
          <w:sz w:val="30"/>
          <w:szCs w:val="30"/>
        </w:rPr>
      </w:pPr>
      <w:r>
        <w:rPr>
          <w:rFonts w:hint="default" w:ascii="仿宋_GB2312" w:eastAsia="仿宋_GB2312" w:cs="仿宋_GB2312"/>
          <w:kern w:val="2"/>
          <w:sz w:val="30"/>
          <w:szCs w:val="30"/>
        </w:rPr>
        <w:t xml:space="preserve"> </w:t>
      </w:r>
    </w:p>
    <w:p>
      <w:pPr>
        <w:pStyle w:val="2"/>
        <w:keepNext w:val="0"/>
        <w:keepLines w:val="0"/>
        <w:pageBreakBefore w:val="0"/>
        <w:widowControl w:val="0"/>
        <w:suppressLineNumbers w:val="0"/>
        <w:kinsoku/>
        <w:wordWrap/>
        <w:overflowPunct/>
        <w:topLinePunct w:val="0"/>
        <w:autoSpaceDE/>
        <w:autoSpaceDN/>
        <w:bidi w:val="0"/>
        <w:adjustRightInd/>
        <w:snapToGrid/>
        <w:spacing w:line="560" w:lineRule="exact"/>
        <w:ind w:right="81" w:firstLine="640" w:firstLineChars="200"/>
        <w:jc w:val="both"/>
        <w:textAlignment w:val="auto"/>
        <w:rPr>
          <w:rFonts w:hint="default" w:ascii="仿宋_GB2312" w:hAnsi="微软雅黑" w:eastAsia="仿宋_GB2312" w:cs="宋体"/>
          <w:color w:val="000000"/>
          <w:kern w:val="0"/>
          <w:sz w:val="32"/>
          <w:szCs w:val="32"/>
          <w:lang w:val="en-US" w:eastAsia="zh-CN" w:bidi="ar-SA"/>
        </w:rPr>
      </w:pPr>
      <w:r>
        <w:rPr>
          <w:rFonts w:hint="default" w:ascii="仿宋_GB2312" w:hAnsi="微软雅黑" w:eastAsia="仿宋_GB2312" w:cs="宋体"/>
          <w:color w:val="000000"/>
          <w:kern w:val="0"/>
          <w:sz w:val="32"/>
          <w:szCs w:val="32"/>
          <w:lang w:val="en-US" w:eastAsia="zh-CN" w:bidi="ar-SA"/>
        </w:rPr>
        <w:t>为贯彻落实《国务院关于印发推动大规模设备更新和消费品以旧换新行动方案的通知》</w:t>
      </w:r>
      <w:r>
        <w:rPr>
          <w:rFonts w:hint="eastAsia" w:ascii="仿宋_GB2312" w:hAnsi="微软雅黑" w:eastAsia="仿宋_GB2312" w:cs="宋体"/>
          <w:color w:val="000000"/>
          <w:kern w:val="0"/>
          <w:sz w:val="32"/>
          <w:szCs w:val="32"/>
          <w:lang w:val="en-US" w:eastAsia="zh-CN" w:bidi="ar-SA"/>
        </w:rPr>
        <w:t>、</w:t>
      </w:r>
      <w:r>
        <w:rPr>
          <w:rFonts w:hint="default" w:ascii="仿宋_GB2312" w:hAnsi="微软雅黑" w:eastAsia="仿宋_GB2312" w:cs="宋体"/>
          <w:color w:val="000000"/>
          <w:kern w:val="0"/>
          <w:sz w:val="32"/>
          <w:szCs w:val="32"/>
          <w:lang w:val="en-US" w:eastAsia="zh-CN" w:bidi="ar-SA"/>
        </w:rPr>
        <w:t>《浙江省推动大规模设备更新和消费品以旧换新若干举措》，</w:t>
      </w:r>
      <w:r>
        <w:rPr>
          <w:rFonts w:hint="eastAsia" w:ascii="仿宋_GB2312" w:hAnsi="微软雅黑" w:eastAsia="仿宋_GB2312" w:cs="宋体"/>
          <w:color w:val="000000"/>
          <w:kern w:val="0"/>
          <w:sz w:val="32"/>
          <w:szCs w:val="32"/>
          <w:lang w:val="en-US" w:eastAsia="zh-CN" w:bidi="ar-SA"/>
        </w:rPr>
        <w:t>推动化工产业装置设备升级和安全风险管控数字化转型</w:t>
      </w:r>
      <w:r>
        <w:rPr>
          <w:rFonts w:hint="default" w:ascii="仿宋_GB2312" w:hAnsi="微软雅黑" w:eastAsia="仿宋_GB2312" w:cs="宋体"/>
          <w:color w:val="000000"/>
          <w:kern w:val="0"/>
          <w:sz w:val="32"/>
          <w:szCs w:val="32"/>
          <w:lang w:val="en-US" w:eastAsia="zh-CN" w:bidi="ar-SA"/>
        </w:rPr>
        <w:t>，制定本方案。</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一、指导思想。</w:t>
      </w:r>
      <w:r>
        <w:rPr>
          <w:rFonts w:hint="default" w:ascii="仿宋_GB2312" w:hAnsi="微软雅黑" w:eastAsia="仿宋_GB2312" w:cs="宋体"/>
          <w:color w:val="000000"/>
          <w:kern w:val="0"/>
          <w:sz w:val="32"/>
          <w:szCs w:val="32"/>
          <w:lang w:val="en-US" w:eastAsia="zh-CN" w:bidi="ar-SA"/>
        </w:rPr>
        <w:t>深入贯彻习近平总书记关于安全生产的重要论述，认真落实安全生产治本攻坚三年行动部署</w:t>
      </w:r>
      <w:r>
        <w:rPr>
          <w:rFonts w:hint="eastAsia" w:ascii="仿宋_GB2312" w:hAnsi="微软雅黑" w:eastAsia="仿宋_GB2312" w:cs="宋体"/>
          <w:color w:val="000000"/>
          <w:kern w:val="0"/>
          <w:sz w:val="32"/>
          <w:szCs w:val="32"/>
          <w:lang w:val="en-US" w:eastAsia="zh-CN" w:bidi="ar-SA"/>
        </w:rPr>
        <w:t>和危化品领域年度重点工作安排</w:t>
      </w:r>
      <w:r>
        <w:rPr>
          <w:rFonts w:hint="default" w:ascii="仿宋_GB2312" w:hAnsi="微软雅黑" w:eastAsia="仿宋_GB2312" w:cs="宋体"/>
          <w:color w:val="000000"/>
          <w:kern w:val="0"/>
          <w:sz w:val="32"/>
          <w:szCs w:val="32"/>
          <w:lang w:val="en-US" w:eastAsia="zh-CN" w:bidi="ar-SA"/>
        </w:rPr>
        <w:t>，</w:t>
      </w:r>
      <w:r>
        <w:rPr>
          <w:rFonts w:hint="eastAsia" w:ascii="仿宋_GB2312" w:hAnsi="微软雅黑" w:eastAsia="仿宋_GB2312" w:cs="宋体"/>
          <w:color w:val="000000"/>
          <w:kern w:val="0"/>
          <w:sz w:val="32"/>
          <w:szCs w:val="32"/>
          <w:lang w:val="en-US" w:eastAsia="zh-CN" w:bidi="ar-SA"/>
        </w:rPr>
        <w:t>结合上虞区化工行业3.0版整治提升工作，实施化工装置设备“四个一批”整治和企业安全风险管控数字化平台建设，大力推广运用新技术、新设备、新工艺，</w:t>
      </w:r>
      <w:r>
        <w:rPr>
          <w:rFonts w:hint="default" w:ascii="仿宋_GB2312" w:hAnsi="微软雅黑" w:eastAsia="仿宋_GB2312" w:cs="宋体"/>
          <w:color w:val="000000"/>
          <w:kern w:val="0"/>
          <w:sz w:val="32"/>
          <w:szCs w:val="32"/>
          <w:lang w:val="en-US" w:eastAsia="zh-CN" w:bidi="ar-SA"/>
        </w:rPr>
        <w:t>打造企业</w:t>
      </w:r>
      <w:r>
        <w:rPr>
          <w:rFonts w:hint="eastAsia" w:ascii="仿宋_GB2312" w:hAnsi="微软雅黑" w:eastAsia="仿宋_GB2312" w:cs="宋体"/>
          <w:color w:val="000000"/>
          <w:kern w:val="0"/>
          <w:sz w:val="32"/>
          <w:szCs w:val="32"/>
          <w:lang w:val="en-US" w:eastAsia="zh-CN" w:bidi="ar-SA"/>
        </w:rPr>
        <w:t>“工业互联网+危化安全生产”新基础设施建设，有效提高化工企业</w:t>
      </w:r>
      <w:r>
        <w:rPr>
          <w:rFonts w:hint="default" w:ascii="仿宋_GB2312" w:hAnsi="微软雅黑" w:eastAsia="仿宋_GB2312" w:cs="宋体"/>
          <w:color w:val="000000"/>
          <w:kern w:val="0"/>
          <w:sz w:val="32"/>
          <w:szCs w:val="32"/>
          <w:lang w:val="en-US" w:eastAsia="zh-CN" w:bidi="ar-SA"/>
        </w:rPr>
        <w:t>本质安全水平，</w:t>
      </w:r>
      <w:r>
        <w:rPr>
          <w:rFonts w:hint="eastAsia" w:ascii="仿宋_GB2312" w:hAnsi="微软雅黑" w:eastAsia="仿宋_GB2312" w:cs="宋体"/>
          <w:color w:val="000000"/>
          <w:kern w:val="0"/>
          <w:sz w:val="32"/>
          <w:szCs w:val="32"/>
          <w:lang w:val="en-US" w:eastAsia="zh-CN" w:bidi="ar-SA"/>
        </w:rPr>
        <w:t>坚决</w:t>
      </w:r>
      <w:r>
        <w:rPr>
          <w:rFonts w:hint="default" w:ascii="仿宋_GB2312" w:hAnsi="微软雅黑" w:eastAsia="仿宋_GB2312" w:cs="宋体"/>
          <w:color w:val="000000"/>
          <w:kern w:val="0"/>
          <w:sz w:val="32"/>
          <w:szCs w:val="32"/>
          <w:lang w:val="en-US" w:eastAsia="zh-CN" w:bidi="ar-SA"/>
        </w:rPr>
        <w:t>遏制重特大事故发生。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二、主要目标。</w:t>
      </w:r>
      <w:r>
        <w:rPr>
          <w:rFonts w:hint="default" w:ascii="仿宋_GB2312" w:hAnsi="微软雅黑" w:eastAsia="仿宋_GB2312" w:cs="宋体"/>
          <w:color w:val="000000"/>
          <w:kern w:val="0"/>
          <w:sz w:val="32"/>
          <w:szCs w:val="32"/>
          <w:lang w:val="en-US" w:eastAsia="zh-CN" w:bidi="ar-SA"/>
        </w:rPr>
        <w:t>2024年，淘汰</w:t>
      </w:r>
      <w:r>
        <w:rPr>
          <w:rFonts w:hint="eastAsia" w:ascii="仿宋_GB2312" w:hAnsi="微软雅黑" w:eastAsia="仿宋_GB2312" w:cs="宋体"/>
          <w:color w:val="000000"/>
          <w:kern w:val="0"/>
          <w:sz w:val="32"/>
          <w:szCs w:val="32"/>
          <w:lang w:val="en-US" w:eastAsia="zh-CN" w:bidi="ar-SA"/>
        </w:rPr>
        <w:t>更新8</w:t>
      </w:r>
      <w:r>
        <w:rPr>
          <w:rFonts w:hint="default" w:ascii="仿宋_GB2312" w:hAnsi="微软雅黑" w:eastAsia="仿宋_GB2312" w:cs="宋体"/>
          <w:color w:val="000000"/>
          <w:kern w:val="0"/>
          <w:sz w:val="32"/>
          <w:szCs w:val="32"/>
          <w:lang w:val="en-US" w:eastAsia="zh-CN" w:bidi="ar-SA"/>
        </w:rPr>
        <w:t>套化工落后装置</w:t>
      </w:r>
      <w:r>
        <w:rPr>
          <w:rFonts w:hint="eastAsia" w:ascii="仿宋_GB2312" w:hAnsi="微软雅黑" w:eastAsia="仿宋_GB2312" w:cs="宋体"/>
          <w:color w:val="000000"/>
          <w:kern w:val="0"/>
          <w:sz w:val="32"/>
          <w:szCs w:val="32"/>
          <w:lang w:val="en-US" w:eastAsia="zh-CN" w:bidi="ar-SA"/>
        </w:rPr>
        <w:t>设备</w:t>
      </w:r>
      <w:r>
        <w:rPr>
          <w:rFonts w:hint="default" w:ascii="仿宋_GB2312" w:hAnsi="微软雅黑" w:eastAsia="仿宋_GB2312" w:cs="宋体"/>
          <w:color w:val="000000"/>
          <w:kern w:val="0"/>
          <w:sz w:val="32"/>
          <w:szCs w:val="32"/>
          <w:lang w:val="en-US" w:eastAsia="zh-CN" w:bidi="ar-SA"/>
        </w:rPr>
        <w:t>。</w:t>
      </w:r>
      <w:r>
        <w:rPr>
          <w:rFonts w:hint="eastAsia" w:ascii="仿宋_GB2312" w:hAnsi="微软雅黑" w:eastAsia="仿宋_GB2312" w:cs="宋体"/>
          <w:color w:val="000000"/>
          <w:kern w:val="0"/>
          <w:sz w:val="32"/>
          <w:szCs w:val="32"/>
          <w:lang w:val="en-US" w:eastAsia="zh-CN" w:bidi="ar-SA"/>
        </w:rPr>
        <w:t>2025年，</w:t>
      </w:r>
      <w:r>
        <w:rPr>
          <w:rFonts w:hint="default" w:ascii="仿宋_GB2312" w:hAnsi="微软雅黑" w:eastAsia="仿宋_GB2312" w:cs="宋体"/>
          <w:color w:val="000000"/>
          <w:kern w:val="0"/>
          <w:sz w:val="32"/>
          <w:szCs w:val="32"/>
          <w:lang w:val="en-US" w:eastAsia="zh-CN" w:bidi="ar-SA"/>
        </w:rPr>
        <w:t>淘汰</w:t>
      </w:r>
      <w:r>
        <w:rPr>
          <w:rFonts w:hint="eastAsia" w:ascii="仿宋_GB2312" w:hAnsi="微软雅黑" w:eastAsia="仿宋_GB2312" w:cs="宋体"/>
          <w:color w:val="000000"/>
          <w:kern w:val="0"/>
          <w:sz w:val="32"/>
          <w:szCs w:val="32"/>
          <w:lang w:val="en-US" w:eastAsia="zh-CN" w:bidi="ar-SA"/>
        </w:rPr>
        <w:t>更新29</w:t>
      </w:r>
      <w:r>
        <w:rPr>
          <w:rFonts w:hint="default" w:ascii="仿宋_GB2312" w:hAnsi="微软雅黑" w:eastAsia="仿宋_GB2312" w:cs="宋体"/>
          <w:color w:val="000000"/>
          <w:kern w:val="0"/>
          <w:sz w:val="32"/>
          <w:szCs w:val="32"/>
          <w:lang w:val="en-US" w:eastAsia="zh-CN" w:bidi="ar-SA"/>
        </w:rPr>
        <w:t>套化工落后装置</w:t>
      </w:r>
      <w:r>
        <w:rPr>
          <w:rFonts w:hint="eastAsia" w:ascii="仿宋_GB2312" w:hAnsi="微软雅黑" w:eastAsia="仿宋_GB2312" w:cs="宋体"/>
          <w:color w:val="000000"/>
          <w:kern w:val="0"/>
          <w:sz w:val="32"/>
          <w:szCs w:val="32"/>
          <w:lang w:val="en-US" w:eastAsia="zh-CN" w:bidi="ar-SA"/>
        </w:rPr>
        <w:t>设备</w:t>
      </w:r>
      <w:r>
        <w:rPr>
          <w:rFonts w:hint="default" w:ascii="仿宋_GB2312" w:hAnsi="微软雅黑" w:eastAsia="仿宋_GB2312" w:cs="宋体"/>
          <w:color w:val="000000"/>
          <w:kern w:val="0"/>
          <w:sz w:val="32"/>
          <w:szCs w:val="32"/>
          <w:lang w:val="en-US" w:eastAsia="zh-CN" w:bidi="ar-SA"/>
        </w:rPr>
        <w:t>。202</w:t>
      </w:r>
      <w:r>
        <w:rPr>
          <w:rFonts w:hint="eastAsia" w:ascii="仿宋_GB2312" w:hAnsi="微软雅黑" w:eastAsia="仿宋_GB2312" w:cs="宋体"/>
          <w:color w:val="000000"/>
          <w:kern w:val="0"/>
          <w:sz w:val="32"/>
          <w:szCs w:val="32"/>
          <w:lang w:val="en-US" w:eastAsia="zh-CN" w:bidi="ar-SA"/>
        </w:rPr>
        <w:t>6</w:t>
      </w:r>
      <w:r>
        <w:rPr>
          <w:rFonts w:hint="default" w:ascii="仿宋_GB2312" w:hAnsi="微软雅黑" w:eastAsia="仿宋_GB2312" w:cs="宋体"/>
          <w:color w:val="000000"/>
          <w:kern w:val="0"/>
          <w:sz w:val="32"/>
          <w:szCs w:val="32"/>
          <w:lang w:val="en-US" w:eastAsia="zh-CN" w:bidi="ar-SA"/>
        </w:rPr>
        <w:t>年，完成较高风险</w:t>
      </w:r>
      <w:r>
        <w:rPr>
          <w:rFonts w:hint="eastAsia" w:ascii="仿宋_GB2312" w:hAnsi="微软雅黑" w:eastAsia="仿宋_GB2312" w:cs="宋体"/>
          <w:color w:val="000000"/>
          <w:kern w:val="0"/>
          <w:sz w:val="32"/>
          <w:szCs w:val="32"/>
          <w:lang w:val="en-US" w:eastAsia="zh-CN" w:bidi="ar-SA"/>
        </w:rPr>
        <w:t>的</w:t>
      </w:r>
      <w:r>
        <w:rPr>
          <w:rFonts w:hint="default" w:ascii="仿宋_GB2312" w:hAnsi="微软雅黑" w:eastAsia="仿宋_GB2312" w:cs="宋体"/>
          <w:color w:val="000000"/>
          <w:kern w:val="0"/>
          <w:sz w:val="32"/>
          <w:szCs w:val="32"/>
          <w:lang w:val="en-US" w:eastAsia="zh-CN" w:bidi="ar-SA"/>
        </w:rPr>
        <w:t>装置设备改造提升</w:t>
      </w:r>
      <w:r>
        <w:rPr>
          <w:rFonts w:hint="eastAsia" w:ascii="仿宋_GB2312" w:hAnsi="微软雅黑" w:eastAsia="仿宋_GB2312" w:cs="宋体"/>
          <w:color w:val="000000"/>
          <w:kern w:val="0"/>
          <w:sz w:val="32"/>
          <w:szCs w:val="32"/>
          <w:lang w:val="en-US" w:eastAsia="zh-CN" w:bidi="ar-SA"/>
        </w:rPr>
        <w:t>和安全风险监控平台建设。2027年，完成不符合安全发展要求的装置设备改造提升，完成全部淘汰、强制退出、改造提升任务；积极推广应用微通道、管式反应器等先进工艺装置和化工装置连续流集成模块技术。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672" w:right="0"/>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三、工作任务</w:t>
      </w:r>
    </w:p>
    <w:p>
      <w:pPr>
        <w:pStyle w:val="6"/>
        <w:keepNext w:val="0"/>
        <w:keepLines w:val="0"/>
        <w:pageBreakBefore w:val="0"/>
        <w:shd w:val="clear" w:color="auto" w:fill="FFFFFF"/>
        <w:kinsoku/>
        <w:wordWrap/>
        <w:overflowPunct/>
        <w:topLinePunct w:val="0"/>
        <w:autoSpaceDN/>
        <w:bidi w:val="0"/>
        <w:adjustRightInd/>
        <w:snapToGrid/>
        <w:spacing w:before="0" w:beforeAutospacing="0" w:after="0" w:afterAutospacing="0" w:line="560" w:lineRule="exact"/>
        <w:ind w:left="0" w:right="0" w:firstLine="643" w:firstLineChars="200"/>
        <w:textAlignment w:val="auto"/>
        <w:rPr>
          <w:rFonts w:hint="default" w:ascii="楷体_GB2312" w:hAnsi="宋体" w:eastAsia="楷体_GB2312" w:cs="宋体"/>
          <w:b/>
          <w:sz w:val="32"/>
          <w:szCs w:val="32"/>
          <w:lang w:val="en-US" w:eastAsia="zh-CN" w:bidi="ar-SA"/>
        </w:rPr>
      </w:pPr>
      <w:r>
        <w:rPr>
          <w:rFonts w:hint="default" w:ascii="楷体_GB2312" w:hAnsi="宋体" w:eastAsia="楷体_GB2312" w:cs="宋体"/>
          <w:b/>
          <w:sz w:val="32"/>
          <w:szCs w:val="32"/>
          <w:lang w:val="en-US" w:eastAsia="zh-CN" w:bidi="ar-SA"/>
        </w:rPr>
        <w:t>（一）</w:t>
      </w:r>
      <w:r>
        <w:rPr>
          <w:rFonts w:hint="eastAsia" w:ascii="楷体_GB2312" w:hAnsi="宋体" w:eastAsia="楷体_GB2312" w:cs="宋体"/>
          <w:b/>
          <w:sz w:val="32"/>
          <w:szCs w:val="32"/>
          <w:lang w:val="en-US" w:eastAsia="zh-CN" w:bidi="ar-SA"/>
        </w:rPr>
        <w:t>化工装置改造提升</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default" w:ascii="仿宋_GB2312" w:hAnsi="微软雅黑" w:eastAsia="仿宋_GB2312" w:cs="宋体"/>
          <w:color w:val="000000"/>
          <w:kern w:val="0"/>
          <w:sz w:val="32"/>
          <w:szCs w:val="32"/>
          <w:lang w:val="en-US" w:eastAsia="zh-CN" w:bidi="ar-SA"/>
        </w:rPr>
        <w:t>取得危险化学品安全生产、使用、经营许可的企业和非许可化工、医药企业对照以下要求，落实淘汰、</w:t>
      </w:r>
      <w:r>
        <w:rPr>
          <w:rFonts w:hint="eastAsia" w:ascii="仿宋_GB2312" w:hAnsi="微软雅黑" w:eastAsia="仿宋_GB2312" w:cs="宋体"/>
          <w:color w:val="000000"/>
          <w:kern w:val="0"/>
          <w:sz w:val="32"/>
          <w:szCs w:val="32"/>
          <w:lang w:val="en-US" w:eastAsia="zh-CN" w:bidi="ar-SA"/>
        </w:rPr>
        <w:t>有序</w:t>
      </w:r>
      <w:r>
        <w:rPr>
          <w:rFonts w:hint="default" w:ascii="仿宋_GB2312" w:hAnsi="微软雅黑" w:eastAsia="仿宋_GB2312" w:cs="宋体"/>
          <w:color w:val="000000"/>
          <w:kern w:val="0"/>
          <w:sz w:val="32"/>
          <w:szCs w:val="32"/>
          <w:lang w:val="en-US" w:eastAsia="zh-CN" w:bidi="ar-SA"/>
        </w:rPr>
        <w:t>退出和改造提升任务。</w:t>
      </w:r>
    </w:p>
    <w:p>
      <w:pPr>
        <w:keepNext w:val="0"/>
        <w:keepLines w:val="0"/>
        <w:pageBreakBefore w:val="0"/>
        <w:widowControl/>
        <w:suppressLineNumbers w:val="0"/>
        <w:kinsoku/>
        <w:wordWrap/>
        <w:overflowPunct/>
        <w:topLinePunct w:val="0"/>
        <w:autoSpaceDN/>
        <w:bidi w:val="0"/>
        <w:adjustRightInd/>
        <w:snapToGrid/>
        <w:spacing w:line="560" w:lineRule="exact"/>
        <w:ind w:firstLine="643" w:firstLineChars="200"/>
        <w:jc w:val="left"/>
        <w:textAlignment w:val="auto"/>
        <w:rPr>
          <w:rFonts w:hint="default" w:ascii="仿宋_GB2312" w:hAnsi="微软雅黑" w:eastAsia="仿宋_GB2312" w:cs="宋体"/>
          <w:b/>
          <w:bCs/>
          <w:color w:val="000000"/>
          <w:kern w:val="0"/>
          <w:sz w:val="32"/>
          <w:szCs w:val="32"/>
          <w:lang w:val="en-US" w:eastAsia="zh-CN" w:bidi="ar-SA"/>
        </w:rPr>
      </w:pPr>
      <w:r>
        <w:rPr>
          <w:rFonts w:hint="eastAsia" w:ascii="仿宋_GB2312" w:hAnsi="微软雅黑" w:eastAsia="仿宋_GB2312" w:cs="宋体"/>
          <w:b/>
          <w:bCs/>
          <w:color w:val="000000"/>
          <w:kern w:val="0"/>
          <w:sz w:val="32"/>
          <w:szCs w:val="32"/>
          <w:lang w:val="en-US" w:eastAsia="zh-CN" w:bidi="ar-SA"/>
        </w:rPr>
        <w:t>1.</w:t>
      </w:r>
      <w:r>
        <w:rPr>
          <w:rFonts w:hint="default" w:ascii="仿宋_GB2312" w:hAnsi="微软雅黑" w:eastAsia="仿宋_GB2312" w:cs="宋体"/>
          <w:b/>
          <w:bCs/>
          <w:color w:val="000000"/>
          <w:kern w:val="0"/>
          <w:sz w:val="32"/>
          <w:szCs w:val="32"/>
          <w:lang w:val="en-US" w:eastAsia="zh-CN" w:bidi="ar-SA"/>
        </w:rPr>
        <w:t>依法淘汰一批不符合安全标准的装置和设备</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default" w:ascii="仿宋_GB2312" w:hAnsi="微软雅黑" w:eastAsia="仿宋_GB2312" w:cs="宋体"/>
          <w:color w:val="000000"/>
          <w:kern w:val="0"/>
          <w:sz w:val="32"/>
          <w:szCs w:val="32"/>
          <w:lang w:val="en-US" w:eastAsia="zh-CN" w:bidi="ar-SA"/>
        </w:rPr>
        <w:t>存在以下情形之一的，应当按要求完成淘汰：</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（1）</w:t>
      </w:r>
      <w:r>
        <w:rPr>
          <w:rFonts w:hint="default" w:ascii="仿宋_GB2312" w:hAnsi="微软雅黑" w:eastAsia="仿宋_GB2312" w:cs="宋体"/>
          <w:color w:val="000000"/>
          <w:kern w:val="0"/>
          <w:sz w:val="32"/>
          <w:szCs w:val="32"/>
          <w:lang w:val="en-US" w:eastAsia="zh-CN" w:bidi="ar-SA"/>
        </w:rPr>
        <w:t>装置的工艺路线或主体设备列入《产业结构调整指导目录（2024年本）》（国家发展改革委令第7号）淘汰类的。</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（2）</w:t>
      </w:r>
      <w:r>
        <w:rPr>
          <w:rFonts w:hint="default" w:ascii="仿宋_GB2312" w:hAnsi="微软雅黑" w:eastAsia="仿宋_GB2312" w:cs="宋体"/>
          <w:color w:val="000000"/>
          <w:kern w:val="0"/>
          <w:sz w:val="32"/>
          <w:szCs w:val="32"/>
          <w:lang w:val="en-US" w:eastAsia="zh-CN" w:bidi="ar-SA"/>
        </w:rPr>
        <w:t>装置的工艺路线或主体设备列入《淘汰落后危险化学品安全生产技术工艺设备目录（第一批）》（应急厅〔2020〕38号）、《淘汰落后危险化学品安全生产技术工艺设备目录（第二批）》（应急厅〔2024〕86号）的。</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（3）</w:t>
      </w:r>
      <w:r>
        <w:rPr>
          <w:rFonts w:hint="default" w:ascii="仿宋_GB2312" w:hAnsi="微软雅黑" w:eastAsia="仿宋_GB2312" w:cs="宋体"/>
          <w:color w:val="000000"/>
          <w:kern w:val="0"/>
          <w:sz w:val="32"/>
          <w:szCs w:val="32"/>
          <w:lang w:val="en-US" w:eastAsia="zh-CN" w:bidi="ar-SA"/>
        </w:rPr>
        <w:t>未经过正规设计，且未开展安全设计诊断的。（未经正规设计是指：装置未经法定资质设计单位设计，企业自行设计安装使用；或设计单位不具备相应资质、超资质级别或超业务范围开展项目设计；或以安全设施设计专篇代替初步〈或基础&gt;设计、以初步〈或基础&gt;设计代替施工图&lt;或详细&gt;设计等）。</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（4）</w:t>
      </w:r>
      <w:r>
        <w:rPr>
          <w:rFonts w:hint="default" w:ascii="仿宋_GB2312" w:hAnsi="微软雅黑" w:eastAsia="仿宋_GB2312" w:cs="宋体"/>
          <w:color w:val="000000"/>
          <w:kern w:val="0"/>
          <w:sz w:val="32"/>
          <w:szCs w:val="32"/>
          <w:lang w:val="en-US" w:eastAsia="zh-CN" w:bidi="ar-SA"/>
        </w:rPr>
        <w:t>外部安全防护距离不满足国家标准《危险化学品生产装置和储存设施风险基准》（GB 36894）规定的风险基准要求，且无法整改的。</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（5）</w:t>
      </w:r>
      <w:r>
        <w:rPr>
          <w:rFonts w:hint="default" w:ascii="仿宋_GB2312" w:hAnsi="微软雅黑" w:eastAsia="仿宋_GB2312" w:cs="宋体"/>
          <w:color w:val="000000"/>
          <w:kern w:val="0"/>
          <w:sz w:val="32"/>
          <w:szCs w:val="32"/>
          <w:lang w:val="en-US" w:eastAsia="zh-CN" w:bidi="ar-SA"/>
        </w:rPr>
        <w:t>连续停运5年以上，存在重大隐患且无法整改的。</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（6）</w:t>
      </w:r>
      <w:r>
        <w:rPr>
          <w:rFonts w:hint="default" w:ascii="仿宋_GB2312" w:hAnsi="微软雅黑" w:eastAsia="仿宋_GB2312" w:cs="宋体"/>
          <w:color w:val="000000"/>
          <w:kern w:val="0"/>
          <w:sz w:val="32"/>
          <w:szCs w:val="32"/>
          <w:lang w:val="en-US" w:eastAsia="zh-CN" w:bidi="ar-SA"/>
        </w:rPr>
        <w:t>装置核心反应器或主要压力容器安全状况等级为4级，累计监控使用时间超过3年且无法对缺陷进行处理的。</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（7）按照《工业重点领域能效标杆水平和基准水平（2023年版）》（发改产业〔2023〕723号）要求，</w:t>
      </w:r>
      <w:r>
        <w:rPr>
          <w:rFonts w:hint="default" w:ascii="仿宋_GB2312" w:hAnsi="微软雅黑" w:eastAsia="仿宋_GB2312" w:cs="宋体"/>
          <w:color w:val="000000"/>
          <w:kern w:val="0"/>
          <w:sz w:val="32"/>
          <w:szCs w:val="32"/>
          <w:lang w:val="en-US" w:eastAsia="zh-CN" w:bidi="ar-SA"/>
        </w:rPr>
        <w:t>对</w:t>
      </w:r>
      <w:r>
        <w:rPr>
          <w:rFonts w:hint="eastAsia" w:ascii="仿宋_GB2312" w:hAnsi="微软雅黑" w:eastAsia="仿宋_GB2312" w:cs="宋体"/>
          <w:color w:val="000000"/>
          <w:kern w:val="0"/>
          <w:sz w:val="32"/>
          <w:szCs w:val="32"/>
          <w:lang w:val="en-US" w:eastAsia="zh-CN" w:bidi="ar-SA"/>
        </w:rPr>
        <w:t>产品</w:t>
      </w:r>
      <w:r>
        <w:rPr>
          <w:rFonts w:hint="default" w:ascii="仿宋_GB2312" w:hAnsi="微软雅黑" w:eastAsia="仿宋_GB2312" w:cs="宋体"/>
          <w:color w:val="000000"/>
          <w:kern w:val="0"/>
          <w:sz w:val="32"/>
          <w:szCs w:val="32"/>
          <w:lang w:val="en-US" w:eastAsia="zh-CN" w:bidi="ar-SA"/>
        </w:rPr>
        <w:t>能效低于基准水平的</w:t>
      </w:r>
      <w:r>
        <w:rPr>
          <w:rFonts w:hint="eastAsia" w:ascii="仿宋_GB2312" w:hAnsi="微软雅黑" w:eastAsia="仿宋_GB2312" w:cs="宋体"/>
          <w:color w:val="000000"/>
          <w:kern w:val="0"/>
          <w:sz w:val="32"/>
          <w:szCs w:val="32"/>
          <w:lang w:val="en-US" w:eastAsia="zh-CN" w:bidi="ar-SA"/>
        </w:rPr>
        <w:t>设备和工序</w:t>
      </w:r>
      <w:r>
        <w:rPr>
          <w:rFonts w:hint="default" w:ascii="仿宋_GB2312" w:hAnsi="微软雅黑" w:eastAsia="仿宋_GB2312" w:cs="宋体"/>
          <w:color w:val="000000"/>
          <w:kern w:val="0"/>
          <w:sz w:val="32"/>
          <w:szCs w:val="32"/>
          <w:lang w:val="en-US" w:eastAsia="zh-CN" w:bidi="ar-SA"/>
        </w:rPr>
        <w:t>，</w:t>
      </w:r>
      <w:r>
        <w:rPr>
          <w:rFonts w:hint="eastAsia" w:ascii="仿宋_GB2312" w:hAnsi="微软雅黑" w:eastAsia="仿宋_GB2312" w:cs="宋体"/>
          <w:color w:val="000000"/>
          <w:kern w:val="0"/>
          <w:sz w:val="32"/>
          <w:szCs w:val="32"/>
          <w:lang w:val="en-US" w:eastAsia="zh-CN" w:bidi="ar-SA"/>
        </w:rPr>
        <w:t>推动企业</w:t>
      </w:r>
      <w:r>
        <w:rPr>
          <w:rFonts w:hint="default" w:ascii="仿宋_GB2312" w:hAnsi="微软雅黑" w:eastAsia="仿宋_GB2312" w:cs="宋体"/>
          <w:color w:val="000000"/>
          <w:kern w:val="0"/>
          <w:sz w:val="32"/>
          <w:szCs w:val="32"/>
          <w:lang w:val="en-US" w:eastAsia="zh-CN" w:bidi="ar-SA"/>
        </w:rPr>
        <w:t>制定年度改造和淘汰计划，将能效改造</w:t>
      </w:r>
      <w:r>
        <w:rPr>
          <w:rFonts w:hint="eastAsia" w:ascii="仿宋_GB2312" w:hAnsi="微软雅黑" w:eastAsia="仿宋_GB2312" w:cs="宋体"/>
          <w:color w:val="000000"/>
          <w:kern w:val="0"/>
          <w:sz w:val="32"/>
          <w:szCs w:val="32"/>
          <w:lang w:val="en-US" w:eastAsia="zh-CN" w:bidi="ar-SA"/>
        </w:rPr>
        <w:t>提升</w:t>
      </w:r>
      <w:r>
        <w:rPr>
          <w:rFonts w:hint="default" w:ascii="仿宋_GB2312" w:hAnsi="微软雅黑" w:eastAsia="仿宋_GB2312" w:cs="宋体"/>
          <w:color w:val="000000"/>
          <w:kern w:val="0"/>
          <w:sz w:val="32"/>
          <w:szCs w:val="32"/>
          <w:lang w:val="en-US" w:eastAsia="zh-CN" w:bidi="ar-SA"/>
        </w:rPr>
        <w:t>到基准水平以上，不能按期改造的予以淘汰。</w:t>
      </w:r>
    </w:p>
    <w:p>
      <w:pPr>
        <w:keepNext w:val="0"/>
        <w:keepLines w:val="0"/>
        <w:pageBreakBefore w:val="0"/>
        <w:widowControl/>
        <w:suppressLineNumbers w:val="0"/>
        <w:kinsoku/>
        <w:wordWrap/>
        <w:overflowPunct/>
        <w:topLinePunct w:val="0"/>
        <w:autoSpaceDN/>
        <w:bidi w:val="0"/>
        <w:adjustRightInd/>
        <w:snapToGrid/>
        <w:spacing w:line="560" w:lineRule="exact"/>
        <w:ind w:firstLine="643" w:firstLineChars="200"/>
        <w:jc w:val="left"/>
        <w:textAlignment w:val="auto"/>
        <w:rPr>
          <w:rFonts w:hint="default" w:ascii="仿宋_GB2312" w:hAnsi="微软雅黑" w:eastAsia="仿宋_GB2312" w:cs="宋体"/>
          <w:b/>
          <w:bCs/>
          <w:color w:val="000000"/>
          <w:kern w:val="0"/>
          <w:sz w:val="32"/>
          <w:szCs w:val="32"/>
          <w:lang w:val="en-US" w:eastAsia="zh-CN" w:bidi="ar-SA"/>
        </w:rPr>
      </w:pPr>
      <w:r>
        <w:rPr>
          <w:rFonts w:hint="eastAsia" w:ascii="仿宋_GB2312" w:hAnsi="微软雅黑" w:eastAsia="仿宋_GB2312" w:cs="宋体"/>
          <w:b/>
          <w:bCs/>
          <w:color w:val="000000"/>
          <w:kern w:val="0"/>
          <w:sz w:val="32"/>
          <w:szCs w:val="32"/>
          <w:lang w:val="en-US" w:eastAsia="zh-CN" w:bidi="ar-SA"/>
        </w:rPr>
        <w:t>2.有序</w:t>
      </w:r>
      <w:r>
        <w:rPr>
          <w:rFonts w:hint="default" w:ascii="仿宋_GB2312" w:hAnsi="微软雅黑" w:eastAsia="仿宋_GB2312" w:cs="宋体"/>
          <w:b/>
          <w:bCs/>
          <w:color w:val="000000"/>
          <w:kern w:val="0"/>
          <w:sz w:val="32"/>
          <w:szCs w:val="32"/>
          <w:lang w:val="en-US" w:eastAsia="zh-CN" w:bidi="ar-SA"/>
        </w:rPr>
        <w:t>退出一批安全风险高的装置</w:t>
      </w:r>
      <w:r>
        <w:rPr>
          <w:rFonts w:hint="eastAsia" w:ascii="仿宋_GB2312" w:hAnsi="微软雅黑" w:eastAsia="仿宋_GB2312" w:cs="宋体"/>
          <w:b/>
          <w:bCs/>
          <w:color w:val="000000"/>
          <w:kern w:val="0"/>
          <w:sz w:val="32"/>
          <w:szCs w:val="32"/>
          <w:lang w:val="en-US" w:eastAsia="zh-CN" w:bidi="ar-SA"/>
        </w:rPr>
        <w:t>设备</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default" w:ascii="仿宋_GB2312" w:hAnsi="微软雅黑" w:eastAsia="仿宋_GB2312" w:cs="宋体"/>
          <w:color w:val="000000"/>
          <w:kern w:val="0"/>
          <w:sz w:val="32"/>
          <w:szCs w:val="32"/>
          <w:lang w:val="en-US" w:eastAsia="zh-CN" w:bidi="ar-SA"/>
        </w:rPr>
        <w:t>对于符合下列情况的，各</w:t>
      </w:r>
      <w:r>
        <w:rPr>
          <w:rFonts w:hint="eastAsia" w:ascii="仿宋_GB2312" w:hAnsi="微软雅黑" w:eastAsia="仿宋_GB2312" w:cs="宋体"/>
          <w:color w:val="000000"/>
          <w:kern w:val="0"/>
          <w:sz w:val="32"/>
          <w:szCs w:val="32"/>
          <w:lang w:val="en-US" w:eastAsia="zh-CN" w:bidi="ar-SA"/>
        </w:rPr>
        <w:t>区、县（市）</w:t>
      </w:r>
      <w:r>
        <w:rPr>
          <w:rFonts w:hint="default" w:ascii="仿宋_GB2312" w:hAnsi="微软雅黑" w:eastAsia="仿宋_GB2312" w:cs="宋体"/>
          <w:color w:val="000000"/>
          <w:kern w:val="0"/>
          <w:sz w:val="32"/>
          <w:szCs w:val="32"/>
          <w:lang w:val="en-US" w:eastAsia="zh-CN" w:bidi="ar-SA"/>
        </w:rPr>
        <w:t>应急管理</w:t>
      </w:r>
      <w:r>
        <w:rPr>
          <w:rFonts w:hint="eastAsia" w:ascii="仿宋_GB2312" w:hAnsi="微软雅黑" w:eastAsia="仿宋_GB2312" w:cs="宋体"/>
          <w:color w:val="000000"/>
          <w:kern w:val="0"/>
          <w:sz w:val="32"/>
          <w:szCs w:val="32"/>
          <w:lang w:val="en-US" w:eastAsia="zh-CN" w:bidi="ar-SA"/>
        </w:rPr>
        <w:t>局、滨海新区经发局</w:t>
      </w:r>
      <w:r>
        <w:rPr>
          <w:rFonts w:hint="default" w:ascii="仿宋_GB2312" w:hAnsi="微软雅黑" w:eastAsia="仿宋_GB2312" w:cs="宋体"/>
          <w:color w:val="000000"/>
          <w:kern w:val="0"/>
          <w:sz w:val="32"/>
          <w:szCs w:val="32"/>
          <w:lang w:val="en-US" w:eastAsia="zh-CN" w:bidi="ar-SA"/>
        </w:rPr>
        <w:t>会同有关部门组织辖区内企业，按照“一装置一策”、“一</w:t>
      </w:r>
      <w:r>
        <w:rPr>
          <w:rFonts w:hint="eastAsia" w:ascii="仿宋_GB2312" w:hAnsi="微软雅黑" w:eastAsia="仿宋_GB2312" w:cs="宋体"/>
          <w:color w:val="000000"/>
          <w:kern w:val="0"/>
          <w:sz w:val="32"/>
          <w:szCs w:val="32"/>
          <w:lang w:val="en-US" w:eastAsia="zh-CN" w:bidi="ar-SA"/>
        </w:rPr>
        <w:t>设备</w:t>
      </w:r>
      <w:r>
        <w:rPr>
          <w:rFonts w:hint="default" w:ascii="仿宋_GB2312" w:hAnsi="微软雅黑" w:eastAsia="仿宋_GB2312" w:cs="宋体"/>
          <w:color w:val="000000"/>
          <w:kern w:val="0"/>
          <w:sz w:val="32"/>
          <w:szCs w:val="32"/>
          <w:lang w:val="en-US" w:eastAsia="zh-CN" w:bidi="ar-SA"/>
        </w:rPr>
        <w:t>一策”,明确退出路径、责任单位、责任人员、完成时间等，于2029年底前完成退出：</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（1）</w:t>
      </w:r>
      <w:r>
        <w:rPr>
          <w:rFonts w:hint="default" w:ascii="仿宋_GB2312" w:hAnsi="微软雅黑" w:eastAsia="仿宋_GB2312" w:cs="宋体"/>
          <w:color w:val="000000"/>
          <w:kern w:val="0"/>
          <w:sz w:val="32"/>
          <w:szCs w:val="32"/>
          <w:lang w:val="en-US" w:eastAsia="zh-CN" w:bidi="ar-SA"/>
        </w:rPr>
        <w:t>根据《危险化学品生产使用企业老旧装置装置安全风险评估指南（试行）》</w:t>
      </w:r>
      <w:r>
        <w:rPr>
          <w:rFonts w:hint="eastAsia" w:ascii="仿宋_GB2312" w:hAnsi="微软雅黑" w:eastAsia="仿宋_GB2312" w:cs="宋体"/>
          <w:color w:val="000000"/>
          <w:kern w:val="0"/>
          <w:sz w:val="32"/>
          <w:szCs w:val="32"/>
          <w:lang w:val="en-US" w:eastAsia="zh-CN" w:bidi="ar-SA"/>
        </w:rPr>
        <w:t>，在</w:t>
      </w:r>
      <w:r>
        <w:rPr>
          <w:rFonts w:hint="default" w:ascii="仿宋_GB2312" w:hAnsi="微软雅黑" w:eastAsia="仿宋_GB2312" w:cs="宋体"/>
          <w:color w:val="000000"/>
          <w:kern w:val="0"/>
          <w:sz w:val="32"/>
          <w:szCs w:val="32"/>
          <w:lang w:val="en-US" w:eastAsia="zh-CN" w:bidi="ar-SA"/>
        </w:rPr>
        <w:t>2022-2023年</w:t>
      </w:r>
      <w:r>
        <w:rPr>
          <w:rFonts w:hint="eastAsia" w:ascii="仿宋_GB2312" w:hAnsi="微软雅黑" w:eastAsia="仿宋_GB2312" w:cs="宋体"/>
          <w:color w:val="000000"/>
          <w:kern w:val="0"/>
          <w:sz w:val="32"/>
          <w:szCs w:val="32"/>
          <w:lang w:val="en-US" w:eastAsia="zh-CN" w:bidi="ar-SA"/>
        </w:rPr>
        <w:t>期间评估</w:t>
      </w:r>
      <w:r>
        <w:rPr>
          <w:rFonts w:hint="default" w:ascii="仿宋_GB2312" w:hAnsi="微软雅黑" w:eastAsia="仿宋_GB2312" w:cs="宋体"/>
          <w:color w:val="000000"/>
          <w:kern w:val="0"/>
          <w:sz w:val="32"/>
          <w:szCs w:val="32"/>
          <w:lang w:val="en-US" w:eastAsia="zh-CN" w:bidi="ar-SA"/>
        </w:rPr>
        <w:t>确定的老旧装置，且投产运行30年（含）以上的。</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（2）</w:t>
      </w:r>
      <w:r>
        <w:rPr>
          <w:rFonts w:hint="default" w:ascii="仿宋_GB2312" w:hAnsi="微软雅黑" w:eastAsia="仿宋_GB2312" w:cs="宋体"/>
          <w:color w:val="000000"/>
          <w:kern w:val="0"/>
          <w:sz w:val="32"/>
          <w:szCs w:val="32"/>
          <w:lang w:val="en-US" w:eastAsia="zh-CN" w:bidi="ar-SA"/>
        </w:rPr>
        <w:t>投产运行25年（含）以上且未规定设计使用年限的压力式液化烃球罐。</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（3）</w:t>
      </w:r>
      <w:r>
        <w:rPr>
          <w:rFonts w:hint="default" w:ascii="仿宋_GB2312" w:hAnsi="微软雅黑" w:eastAsia="仿宋_GB2312" w:cs="宋体"/>
          <w:color w:val="000000"/>
          <w:kern w:val="0"/>
          <w:sz w:val="32"/>
          <w:szCs w:val="32"/>
          <w:lang w:val="en-US" w:eastAsia="zh-CN" w:bidi="ar-SA"/>
        </w:rPr>
        <w:t>投产运行30年（含）以上的容积3000立方米以上的常压可燃、剧毒液体储罐。</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default" w:ascii="仿宋_GB2312" w:hAnsi="微软雅黑" w:eastAsia="仿宋_GB2312" w:cs="宋体"/>
          <w:color w:val="000000"/>
          <w:kern w:val="0"/>
          <w:sz w:val="32"/>
          <w:szCs w:val="32"/>
          <w:lang w:val="en-US" w:eastAsia="zh-CN" w:bidi="ar-SA"/>
        </w:rPr>
        <w:t>属于产业链供应安全保障、社会民生保障需求、国家战略规划要求、“卡脖子”技术等情况，暂时无法退出的装置</w:t>
      </w:r>
      <w:r>
        <w:rPr>
          <w:rFonts w:hint="eastAsia" w:ascii="仿宋_GB2312" w:hAnsi="微软雅黑" w:eastAsia="仿宋_GB2312" w:cs="宋体"/>
          <w:color w:val="000000"/>
          <w:kern w:val="0"/>
          <w:sz w:val="32"/>
          <w:szCs w:val="32"/>
          <w:lang w:val="en-US" w:eastAsia="zh-CN" w:bidi="ar-SA"/>
        </w:rPr>
        <w:t>设备</w:t>
      </w:r>
      <w:r>
        <w:rPr>
          <w:rFonts w:hint="default" w:ascii="仿宋_GB2312" w:hAnsi="微软雅黑" w:eastAsia="仿宋_GB2312" w:cs="宋体"/>
          <w:color w:val="000000"/>
          <w:kern w:val="0"/>
          <w:sz w:val="32"/>
          <w:szCs w:val="32"/>
          <w:lang w:val="en-US" w:eastAsia="zh-CN" w:bidi="ar-SA"/>
        </w:rPr>
        <w:t>，应详细说明现状和原因，由企业聘请具有工程设计综合或化工石化医药行业甲级资质的设计单位等第三方机构，开展全面深入的评估，满足安全运行条件的，按照国家相关要求落实。同时，要实施特别管控，加大资金投入，缩短检修周期，增加特种设备、管道检测的比例和频次，优化监测监控手段，提升数字化智能化管控水平。</w:t>
      </w:r>
    </w:p>
    <w:p>
      <w:pPr>
        <w:keepNext w:val="0"/>
        <w:keepLines w:val="0"/>
        <w:pageBreakBefore w:val="0"/>
        <w:widowControl/>
        <w:suppressLineNumbers w:val="0"/>
        <w:kinsoku/>
        <w:wordWrap/>
        <w:overflowPunct/>
        <w:topLinePunct w:val="0"/>
        <w:autoSpaceDN/>
        <w:bidi w:val="0"/>
        <w:adjustRightInd/>
        <w:snapToGrid/>
        <w:spacing w:line="560" w:lineRule="exact"/>
        <w:ind w:firstLine="643" w:firstLineChars="200"/>
        <w:jc w:val="left"/>
        <w:textAlignment w:val="auto"/>
        <w:rPr>
          <w:rFonts w:hint="default" w:ascii="仿宋_GB2312" w:hAnsi="微软雅黑" w:eastAsia="仿宋_GB2312" w:cs="宋体"/>
          <w:b/>
          <w:bCs/>
          <w:color w:val="000000"/>
          <w:kern w:val="0"/>
          <w:sz w:val="32"/>
          <w:szCs w:val="32"/>
          <w:lang w:val="en-US" w:eastAsia="zh-CN" w:bidi="ar-SA"/>
        </w:rPr>
      </w:pPr>
      <w:r>
        <w:rPr>
          <w:rFonts w:hint="eastAsia" w:ascii="仿宋_GB2312" w:hAnsi="微软雅黑" w:eastAsia="仿宋_GB2312" w:cs="宋体"/>
          <w:b/>
          <w:bCs/>
          <w:color w:val="000000"/>
          <w:kern w:val="0"/>
          <w:sz w:val="32"/>
          <w:szCs w:val="32"/>
          <w:lang w:val="en-US" w:eastAsia="zh-CN" w:bidi="ar-SA"/>
        </w:rPr>
        <w:t>3.</w:t>
      </w:r>
      <w:r>
        <w:rPr>
          <w:rFonts w:hint="default" w:ascii="仿宋_GB2312" w:hAnsi="微软雅黑" w:eastAsia="仿宋_GB2312" w:cs="宋体"/>
          <w:b/>
          <w:bCs/>
          <w:color w:val="000000"/>
          <w:kern w:val="0"/>
          <w:sz w:val="32"/>
          <w:szCs w:val="32"/>
          <w:lang w:val="en-US" w:eastAsia="zh-CN" w:bidi="ar-SA"/>
        </w:rPr>
        <w:t>改造提升一批在役装置</w:t>
      </w:r>
      <w:r>
        <w:rPr>
          <w:rFonts w:hint="eastAsia" w:ascii="仿宋_GB2312" w:hAnsi="微软雅黑" w:eastAsia="仿宋_GB2312" w:cs="宋体"/>
          <w:b/>
          <w:bCs/>
          <w:color w:val="000000"/>
          <w:kern w:val="0"/>
          <w:sz w:val="32"/>
          <w:szCs w:val="32"/>
          <w:lang w:val="en-US" w:eastAsia="zh-CN" w:bidi="ar-SA"/>
        </w:rPr>
        <w:t>设备</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（1）</w:t>
      </w:r>
      <w:r>
        <w:rPr>
          <w:rFonts w:hint="default" w:ascii="仿宋_GB2312" w:hAnsi="微软雅黑" w:eastAsia="仿宋_GB2312" w:cs="宋体"/>
          <w:color w:val="000000"/>
          <w:kern w:val="0"/>
          <w:sz w:val="32"/>
          <w:szCs w:val="32"/>
          <w:lang w:val="en-US" w:eastAsia="zh-CN" w:bidi="ar-SA"/>
        </w:rPr>
        <w:t>根据《危险化学品生产使用企业老旧装置装置安全风险评估指南（试行）》</w:t>
      </w:r>
      <w:r>
        <w:rPr>
          <w:rFonts w:hint="eastAsia" w:ascii="仿宋_GB2312" w:hAnsi="微软雅黑" w:eastAsia="仿宋_GB2312" w:cs="宋体"/>
          <w:color w:val="000000"/>
          <w:kern w:val="0"/>
          <w:sz w:val="32"/>
          <w:szCs w:val="32"/>
          <w:lang w:val="en-US" w:eastAsia="zh-CN" w:bidi="ar-SA"/>
        </w:rPr>
        <w:t>，在</w:t>
      </w:r>
      <w:r>
        <w:rPr>
          <w:rFonts w:hint="default" w:ascii="仿宋_GB2312" w:hAnsi="微软雅黑" w:eastAsia="仿宋_GB2312" w:cs="宋体"/>
          <w:color w:val="000000"/>
          <w:kern w:val="0"/>
          <w:sz w:val="32"/>
          <w:szCs w:val="32"/>
          <w:lang w:val="en-US" w:eastAsia="zh-CN" w:bidi="ar-SA"/>
        </w:rPr>
        <w:t>2022-2023年</w:t>
      </w:r>
      <w:r>
        <w:rPr>
          <w:rFonts w:hint="eastAsia" w:ascii="仿宋_GB2312" w:hAnsi="微软雅黑" w:eastAsia="仿宋_GB2312" w:cs="宋体"/>
          <w:color w:val="000000"/>
          <w:kern w:val="0"/>
          <w:sz w:val="32"/>
          <w:szCs w:val="32"/>
          <w:lang w:val="en-US" w:eastAsia="zh-CN" w:bidi="ar-SA"/>
        </w:rPr>
        <w:t>期间评估</w:t>
      </w:r>
      <w:r>
        <w:rPr>
          <w:rFonts w:hint="default" w:ascii="仿宋_GB2312" w:hAnsi="微软雅黑" w:eastAsia="仿宋_GB2312" w:cs="宋体"/>
          <w:color w:val="000000"/>
          <w:kern w:val="0"/>
          <w:sz w:val="32"/>
          <w:szCs w:val="32"/>
          <w:lang w:val="en-US" w:eastAsia="zh-CN" w:bidi="ar-SA"/>
        </w:rPr>
        <w:t>确定的的老旧装置，对于投产运行20年（含）至30年（不含）的，依据《危险化学品生产使用企业老旧装置安全风险评估指南（试行）》,逐一开展安全风险评估复核，确定安全风险等级，实施分类安全改造。</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（2）</w:t>
      </w:r>
      <w:r>
        <w:rPr>
          <w:rFonts w:hint="default" w:ascii="仿宋_GB2312" w:hAnsi="微软雅黑" w:eastAsia="仿宋_GB2312" w:cs="宋体"/>
          <w:color w:val="000000"/>
          <w:kern w:val="0"/>
          <w:sz w:val="32"/>
          <w:szCs w:val="32"/>
          <w:lang w:val="en-US" w:eastAsia="zh-CN" w:bidi="ar-SA"/>
        </w:rPr>
        <w:t>对于已达到设计使用年限、未规定设计使用年限但使用超过20年的压力式液化烃球罐，企业应当严格执行《固定式压力容器安全技术监察规程》中关于年度检查、定期检验和安全评估（合于使用评价）的有关规定。罐区的安全管理应严格执行《化工企业液化烃储罐区安全管理规范》（AQ3059-2023）。</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（3）</w:t>
      </w:r>
      <w:r>
        <w:rPr>
          <w:rFonts w:hint="default" w:ascii="仿宋_GB2312" w:hAnsi="微软雅黑" w:eastAsia="仿宋_GB2312" w:cs="宋体"/>
          <w:color w:val="000000"/>
          <w:kern w:val="0"/>
          <w:sz w:val="32"/>
          <w:szCs w:val="32"/>
          <w:lang w:val="en-US" w:eastAsia="zh-CN" w:bidi="ar-SA"/>
        </w:rPr>
        <w:t>对于投用运行不足30年（不含）的容积3000立方米以上的常压可燃、剧毒液体储罐，企业应加强年度检查和定期检验，根据检查检验结果进行隐患治理和改造提升。</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（4）列入“六新”改造计划的老旧项目。</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（5）按照《工业重点领域能效标杆水平和基准水平（2023年版）》（发改产业〔2023〕723号）要求，对产品能效介于标杆水平和基准水平之间的设备和工序，依据《炼油单位产品能源消耗限额》（GB 30251）、《乙烯装置单位产品能源消耗限额》（GB 30250）、《甲醇、乙二醇和二甲醚单位产品能源消耗限额》（GB 29436）、《烧碱单位产品能源消耗限额》（GB 21257）、《纯碱单位产品能源消耗限额》（GB 29140）等标准，引导企业应改尽改、应提尽提，鼓励更新改造后达到能效标杆水平。</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eastAsia" w:ascii="仿宋_GB2312" w:hAnsi="微软雅黑" w:eastAsia="仿宋_GB2312" w:cs="宋体"/>
          <w:b/>
          <w:bCs/>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（6）依据排放标准，实施生产设施、污染治理设施改造提升。对不能达到《石油炼制工业污染物排放标准》（GB 31570）、《石油化学工业污染物排放标准》（GB 31571）、《合成树脂工业污染物排放标准》（GB 31572）、《无机化学工业污染物排放标准》（GB 31573）、《炼焦化学工业污染物排放标准》（GB 16171）、《涂料、油墨及胶粘剂工业大气污染物排放标准》（GB 37824）、《挥发性有机物无组织排放控制标准》（GB 37822）等排放标准的，推动企业实施改造提升，将排放稳定达到标准。</w:t>
      </w:r>
    </w:p>
    <w:p>
      <w:pPr>
        <w:keepNext w:val="0"/>
        <w:keepLines w:val="0"/>
        <w:pageBreakBefore w:val="0"/>
        <w:widowControl/>
        <w:suppressLineNumbers w:val="0"/>
        <w:kinsoku/>
        <w:wordWrap/>
        <w:overflowPunct/>
        <w:topLinePunct w:val="0"/>
        <w:autoSpaceDN/>
        <w:bidi w:val="0"/>
        <w:adjustRightInd/>
        <w:snapToGrid/>
        <w:spacing w:line="560" w:lineRule="exact"/>
        <w:ind w:firstLine="643" w:firstLineChars="200"/>
        <w:jc w:val="left"/>
        <w:textAlignment w:val="auto"/>
        <w:rPr>
          <w:rFonts w:hint="default" w:ascii="仿宋_GB2312" w:hAnsi="微软雅黑" w:eastAsia="仿宋_GB2312" w:cs="宋体"/>
          <w:b/>
          <w:bCs/>
          <w:color w:val="000000"/>
          <w:kern w:val="0"/>
          <w:sz w:val="32"/>
          <w:szCs w:val="32"/>
          <w:lang w:val="en-US" w:eastAsia="zh-CN" w:bidi="ar-SA"/>
        </w:rPr>
      </w:pPr>
      <w:r>
        <w:rPr>
          <w:rFonts w:hint="eastAsia" w:ascii="仿宋_GB2312" w:hAnsi="微软雅黑" w:eastAsia="仿宋_GB2312" w:cs="宋体"/>
          <w:b/>
          <w:bCs/>
          <w:color w:val="000000"/>
          <w:kern w:val="0"/>
          <w:sz w:val="32"/>
          <w:szCs w:val="32"/>
          <w:lang w:val="en-US" w:eastAsia="zh-CN" w:bidi="ar-SA"/>
        </w:rPr>
        <w:t>4.鼓励支持一批先进技术、产品和设备</w:t>
      </w:r>
    </w:p>
    <w:p>
      <w:pPr>
        <w:keepNext w:val="0"/>
        <w:keepLines w:val="0"/>
        <w:pageBreakBefore w:val="0"/>
        <w:widowControl/>
        <w:suppressLineNumbers w:val="0"/>
        <w:kinsoku/>
        <w:wordWrap/>
        <w:overflowPunct/>
        <w:topLinePunct w:val="0"/>
        <w:autoSpaceDN/>
        <w:bidi w:val="0"/>
        <w:adjustRightInd/>
        <w:snapToGrid/>
        <w:spacing w:line="560" w:lineRule="exact"/>
        <w:ind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default" w:ascii="仿宋_GB2312" w:hAnsi="微软雅黑" w:eastAsia="仿宋_GB2312" w:cs="宋体"/>
          <w:color w:val="000000"/>
          <w:kern w:val="0"/>
          <w:sz w:val="32"/>
          <w:szCs w:val="32"/>
          <w:lang w:val="en-US" w:eastAsia="zh-CN" w:bidi="ar-SA"/>
        </w:rPr>
        <w:t>以国家战略需求</w:t>
      </w:r>
      <w:r>
        <w:rPr>
          <w:rFonts w:hint="eastAsia" w:ascii="仿宋_GB2312" w:hAnsi="微软雅黑" w:eastAsia="仿宋_GB2312" w:cs="宋体"/>
          <w:color w:val="000000"/>
          <w:kern w:val="0"/>
          <w:sz w:val="32"/>
          <w:szCs w:val="32"/>
          <w:lang w:val="en-US" w:eastAsia="zh-CN" w:bidi="ar-SA"/>
        </w:rPr>
        <w:t>和本质安全</w:t>
      </w:r>
      <w:r>
        <w:rPr>
          <w:rFonts w:hint="default" w:ascii="仿宋_GB2312" w:hAnsi="微软雅黑" w:eastAsia="仿宋_GB2312" w:cs="宋体"/>
          <w:color w:val="000000"/>
          <w:kern w:val="0"/>
          <w:sz w:val="32"/>
          <w:szCs w:val="32"/>
          <w:lang w:val="en-US" w:eastAsia="zh-CN" w:bidi="ar-SA"/>
        </w:rPr>
        <w:t>为导向，</w:t>
      </w:r>
      <w:r>
        <w:rPr>
          <w:rFonts w:hint="eastAsia" w:ascii="仿宋_GB2312" w:hAnsi="微软雅黑" w:eastAsia="仿宋_GB2312" w:cs="宋体"/>
          <w:color w:val="000000"/>
          <w:kern w:val="0"/>
          <w:sz w:val="32"/>
          <w:szCs w:val="32"/>
          <w:lang w:val="en-US" w:eastAsia="zh-CN" w:bidi="ar-SA"/>
        </w:rPr>
        <w:t>鼓励企业</w:t>
      </w:r>
      <w:r>
        <w:rPr>
          <w:rFonts w:hint="default" w:ascii="仿宋_GB2312" w:hAnsi="微软雅黑" w:eastAsia="仿宋_GB2312" w:cs="宋体"/>
          <w:color w:val="000000"/>
          <w:kern w:val="0"/>
          <w:sz w:val="32"/>
          <w:szCs w:val="32"/>
          <w:lang w:val="en-US" w:eastAsia="zh-CN" w:bidi="ar-SA"/>
        </w:rPr>
        <w:t>进行原创性引领性科技攻关</w:t>
      </w:r>
      <w:r>
        <w:rPr>
          <w:rFonts w:hint="eastAsia" w:ascii="仿宋_GB2312" w:hAnsi="微软雅黑" w:eastAsia="仿宋_GB2312" w:cs="宋体"/>
          <w:color w:val="000000"/>
          <w:kern w:val="0"/>
          <w:sz w:val="32"/>
          <w:szCs w:val="32"/>
          <w:lang w:val="en-US" w:eastAsia="zh-CN" w:bidi="ar-SA"/>
        </w:rPr>
        <w:t xml:space="preserve">，对经济社会发展有重要促进作用的化工产品、工艺或装置设备，特别是采用微通道、管式反应器等先进工艺装置和化工装置连续流集成模块，能从本质上降低安全风险的先进技术，按照绍兴市“三位一体”产学研协同攻关专项项目申报，争取市、区财政资金扶持。 </w:t>
      </w:r>
    </w:p>
    <w:p>
      <w:pPr>
        <w:pStyle w:val="2"/>
        <w:keepNext w:val="0"/>
        <w:keepLines w:val="0"/>
        <w:pageBreakBefore w:val="0"/>
        <w:widowControl w:val="0"/>
        <w:suppressLineNumbers w:val="0"/>
        <w:kinsoku/>
        <w:wordWrap/>
        <w:overflowPunct/>
        <w:topLinePunct w:val="0"/>
        <w:autoSpaceDN/>
        <w:bidi w:val="0"/>
        <w:adjustRightInd/>
        <w:snapToGrid/>
        <w:spacing w:line="560" w:lineRule="exact"/>
        <w:ind w:left="4" w:right="156" w:firstLine="652"/>
        <w:textAlignment w:val="auto"/>
        <w:rPr>
          <w:rFonts w:hint="eastAsia" w:ascii="楷体_GB2312" w:hAnsi="宋体" w:eastAsia="楷体_GB2312" w:cs="宋体"/>
          <w:b/>
          <w:kern w:val="0"/>
          <w:sz w:val="32"/>
          <w:szCs w:val="32"/>
          <w:lang w:val="en-US" w:eastAsia="zh-CN" w:bidi="ar-SA"/>
        </w:rPr>
      </w:pPr>
      <w:r>
        <w:rPr>
          <w:rFonts w:hint="eastAsia" w:ascii="楷体_GB2312" w:hAnsi="宋体" w:eastAsia="楷体_GB2312" w:cs="宋体"/>
          <w:b/>
          <w:kern w:val="0"/>
          <w:sz w:val="32"/>
          <w:szCs w:val="32"/>
          <w:lang w:val="en-US" w:eastAsia="zh-CN" w:bidi="ar-SA"/>
        </w:rPr>
        <w:t>（二）化工</w:t>
      </w:r>
      <w:r>
        <w:rPr>
          <w:rFonts w:hint="default" w:ascii="楷体_GB2312" w:hAnsi="宋体" w:eastAsia="楷体_GB2312" w:cs="宋体"/>
          <w:b/>
          <w:kern w:val="0"/>
          <w:sz w:val="32"/>
          <w:szCs w:val="32"/>
          <w:lang w:val="en-US" w:eastAsia="zh-CN" w:bidi="ar-SA"/>
        </w:rPr>
        <w:t>企业安全风险监控平台建设</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default" w:ascii="仿宋_GB2312" w:hAnsi="微软雅黑" w:eastAsia="仿宋_GB2312" w:cs="宋体"/>
          <w:color w:val="000000"/>
          <w:kern w:val="0"/>
          <w:sz w:val="32"/>
          <w:szCs w:val="32"/>
          <w:lang w:val="en-US" w:eastAsia="zh-CN" w:bidi="ar-SA"/>
        </w:rPr>
      </w:pPr>
      <w:r>
        <w:rPr>
          <w:rFonts w:hint="default" w:ascii="仿宋_GB2312" w:hAnsi="微软雅黑" w:eastAsia="仿宋_GB2312" w:cs="宋体"/>
          <w:color w:val="000000"/>
          <w:kern w:val="0"/>
          <w:sz w:val="32"/>
          <w:szCs w:val="32"/>
          <w:lang w:val="en-US" w:eastAsia="zh-CN" w:bidi="ar-SA"/>
        </w:rPr>
        <w:t>根据《危险化学品企业安全风险管控平台建设指南（试行）》等危化品企业安全生产信息化平台建设要求，结合企业实际情况，建设安全管理基础信息、重大危险源安全管理、双重预防机制、特殊作业许可和作业安全管理、智能巡检、人员定位、工艺生产报警优化管理、自动化过程控制优化、设备完整性管理与预测性维修、培训管理、承包商管理等系统应用功能，推动企业安全基础管理数字化、风险预警精准化、风险管控系统化、危险作业无人化、运维辅助远程化，为实现危险化学品企业安全风险管控数字化转型智能化升级注入新动能。</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仿宋_GB2312" w:hAnsi="微软雅黑" w:eastAsia="仿宋_GB2312" w:cs="宋体"/>
          <w:color w:val="000000"/>
          <w:kern w:val="0"/>
          <w:sz w:val="32"/>
          <w:szCs w:val="32"/>
          <w:lang w:val="en-US" w:eastAsia="zh-CN" w:bidi="ar-SA"/>
        </w:rPr>
        <w:t>根据企业安全风险，2024年底，危险化学品重大危险源企业完成平台建设应用和政企数据对接互通，2025年底，危险化学品生产许可企业完成平台建设应用和政企数据对接互通，2026年底，非许可化工医药企业和危化品储存经营企业完成平台建设应用和政企数据对接互通。</w:t>
      </w:r>
    </w:p>
    <w:p>
      <w:pPr>
        <w:pStyle w:val="6"/>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4" w:right="58" w:firstLine="652"/>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 xml:space="preserve"> 四、时间安排</w:t>
      </w:r>
    </w:p>
    <w:p>
      <w:pPr>
        <w:pStyle w:val="6"/>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4" w:right="58" w:firstLine="652"/>
        <w:jc w:val="both"/>
        <w:textAlignment w:val="auto"/>
        <w:rPr>
          <w:rFonts w:hint="default" w:ascii="仿宋_GB2312" w:hAnsi="微软雅黑" w:eastAsia="仿宋_GB2312" w:cs="宋体"/>
          <w:color w:val="000000"/>
          <w:kern w:val="0"/>
          <w:sz w:val="32"/>
          <w:szCs w:val="32"/>
          <w:lang w:val="en-US" w:eastAsia="zh-CN" w:bidi="ar-SA"/>
        </w:rPr>
      </w:pPr>
      <w:r>
        <w:rPr>
          <w:rFonts w:hint="default" w:ascii="楷体_GB2312" w:hAnsi="宋体" w:eastAsia="楷体_GB2312" w:cs="宋体"/>
          <w:b/>
          <w:sz w:val="32"/>
          <w:szCs w:val="32"/>
          <w:lang w:val="en-US" w:eastAsia="zh-CN" w:bidi="ar-SA"/>
        </w:rPr>
        <w:t>（一）动员部署（2024年</w:t>
      </w:r>
      <w:r>
        <w:rPr>
          <w:rFonts w:hint="eastAsia" w:ascii="楷体_GB2312" w:eastAsia="楷体_GB2312" w:cs="宋体"/>
          <w:b/>
          <w:sz w:val="32"/>
          <w:szCs w:val="32"/>
          <w:lang w:val="en-US" w:eastAsia="zh-CN" w:bidi="ar-SA"/>
        </w:rPr>
        <w:t>5</w:t>
      </w:r>
      <w:r>
        <w:rPr>
          <w:rFonts w:hint="default" w:ascii="楷体_GB2312" w:hAnsi="宋体" w:eastAsia="楷体_GB2312" w:cs="宋体"/>
          <w:b/>
          <w:sz w:val="32"/>
          <w:szCs w:val="32"/>
          <w:lang w:val="en-US" w:eastAsia="zh-CN" w:bidi="ar-SA"/>
        </w:rPr>
        <w:t>月）。</w:t>
      </w:r>
      <w:r>
        <w:rPr>
          <w:rFonts w:hint="default" w:ascii="仿宋_GB2312" w:hAnsi="微软雅黑" w:eastAsia="仿宋_GB2312" w:cs="宋体"/>
          <w:color w:val="000000"/>
          <w:kern w:val="0"/>
          <w:sz w:val="32"/>
          <w:szCs w:val="32"/>
          <w:lang w:val="en-US" w:eastAsia="zh-CN" w:bidi="ar-SA"/>
        </w:rPr>
        <w:t>根据本方案要求，结合实际细化措施，进一步明晰目标任务，进行广泛宣传，部署启动相关工作。</w:t>
      </w:r>
    </w:p>
    <w:p>
      <w:pPr>
        <w:pStyle w:val="6"/>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4" w:right="58" w:firstLine="652"/>
        <w:jc w:val="both"/>
        <w:textAlignment w:val="auto"/>
        <w:rPr>
          <w:rFonts w:hint="default" w:ascii="仿宋_GB2312" w:hAnsi="微软雅黑" w:eastAsia="仿宋_GB2312" w:cs="宋体"/>
          <w:color w:val="000000"/>
          <w:kern w:val="0"/>
          <w:sz w:val="32"/>
          <w:szCs w:val="32"/>
          <w:lang w:val="en-US" w:eastAsia="zh-CN" w:bidi="ar-SA"/>
        </w:rPr>
      </w:pPr>
      <w:r>
        <w:rPr>
          <w:rFonts w:hint="default" w:ascii="楷体_GB2312" w:hAnsi="宋体" w:eastAsia="楷体_GB2312" w:cs="宋体"/>
          <w:b/>
          <w:sz w:val="32"/>
          <w:szCs w:val="32"/>
          <w:lang w:val="en-US" w:eastAsia="zh-CN" w:bidi="ar-SA"/>
        </w:rPr>
        <w:t>（二）建档立账（2024年</w:t>
      </w:r>
      <w:r>
        <w:rPr>
          <w:rFonts w:hint="eastAsia" w:ascii="楷体_GB2312" w:eastAsia="楷体_GB2312" w:cs="宋体"/>
          <w:b/>
          <w:sz w:val="32"/>
          <w:szCs w:val="32"/>
          <w:lang w:val="en-US" w:eastAsia="zh-CN" w:bidi="ar-SA"/>
        </w:rPr>
        <w:t>6</w:t>
      </w:r>
      <w:r>
        <w:rPr>
          <w:rFonts w:hint="default" w:ascii="楷体_GB2312" w:hAnsi="宋体" w:eastAsia="楷体_GB2312" w:cs="宋体"/>
          <w:b/>
          <w:sz w:val="32"/>
          <w:szCs w:val="32"/>
          <w:lang w:val="en-US" w:eastAsia="zh-CN" w:bidi="ar-SA"/>
        </w:rPr>
        <w:t>月）。</w:t>
      </w:r>
      <w:r>
        <w:rPr>
          <w:rFonts w:hint="default" w:ascii="仿宋_GB2312" w:hAnsi="微软雅黑" w:eastAsia="仿宋_GB2312" w:cs="宋体"/>
          <w:color w:val="000000"/>
          <w:kern w:val="0"/>
          <w:sz w:val="32"/>
          <w:szCs w:val="32"/>
          <w:lang w:val="en-US" w:eastAsia="zh-CN" w:bidi="ar-SA"/>
        </w:rPr>
        <w:t>根据本方案确定的对象范围，</w:t>
      </w:r>
      <w:r>
        <w:rPr>
          <w:rFonts w:hint="eastAsia" w:ascii="仿宋_GB2312" w:hAnsi="微软雅黑" w:eastAsia="仿宋_GB2312" w:cs="宋体"/>
          <w:color w:val="000000"/>
          <w:kern w:val="0"/>
          <w:sz w:val="32"/>
          <w:szCs w:val="32"/>
          <w:lang w:val="en-US" w:eastAsia="zh-CN" w:bidi="ar-SA"/>
        </w:rPr>
        <w:t>逐家企业逐个装置进行</w:t>
      </w:r>
      <w:r>
        <w:rPr>
          <w:rFonts w:hint="default" w:ascii="仿宋_GB2312" w:hAnsi="微软雅黑" w:eastAsia="仿宋_GB2312" w:cs="宋体"/>
          <w:color w:val="000000"/>
          <w:kern w:val="0"/>
          <w:sz w:val="32"/>
          <w:szCs w:val="32"/>
          <w:lang w:val="en-US" w:eastAsia="zh-CN" w:bidi="ar-SA"/>
        </w:rPr>
        <w:t>核查</w:t>
      </w:r>
      <w:r>
        <w:rPr>
          <w:rFonts w:hint="eastAsia" w:ascii="仿宋_GB2312" w:hAnsi="微软雅黑" w:eastAsia="仿宋_GB2312" w:cs="宋体"/>
          <w:color w:val="000000"/>
          <w:kern w:val="0"/>
          <w:sz w:val="32"/>
          <w:szCs w:val="32"/>
          <w:lang w:val="en-US" w:eastAsia="zh-CN" w:bidi="ar-SA"/>
        </w:rPr>
        <w:t>确认</w:t>
      </w:r>
      <w:r>
        <w:rPr>
          <w:rFonts w:hint="default" w:ascii="仿宋_GB2312" w:hAnsi="微软雅黑" w:eastAsia="仿宋_GB2312" w:cs="宋体"/>
          <w:color w:val="000000"/>
          <w:kern w:val="0"/>
          <w:sz w:val="32"/>
          <w:szCs w:val="32"/>
          <w:lang w:val="en-US" w:eastAsia="zh-CN" w:bidi="ar-SA"/>
        </w:rPr>
        <w:t>，分类建健全淘汰退出、</w:t>
      </w:r>
      <w:r>
        <w:rPr>
          <w:rFonts w:hint="eastAsia" w:ascii="仿宋_GB2312" w:hAnsi="微软雅黑" w:eastAsia="仿宋_GB2312" w:cs="宋体"/>
          <w:color w:val="000000"/>
          <w:kern w:val="0"/>
          <w:sz w:val="32"/>
          <w:szCs w:val="32"/>
          <w:lang w:val="en-US" w:eastAsia="zh-CN" w:bidi="ar-SA"/>
        </w:rPr>
        <w:t>改造提升装置设备清单</w:t>
      </w:r>
      <w:r>
        <w:rPr>
          <w:rFonts w:hint="default" w:ascii="仿宋_GB2312" w:hAnsi="微软雅黑" w:eastAsia="仿宋_GB2312" w:cs="宋体"/>
          <w:color w:val="000000"/>
          <w:kern w:val="0"/>
          <w:sz w:val="32"/>
          <w:szCs w:val="32"/>
          <w:lang w:val="en-US" w:eastAsia="zh-CN" w:bidi="ar-SA"/>
        </w:rPr>
        <w:t>，确保底数清、情况明。</w:t>
      </w:r>
    </w:p>
    <w:p>
      <w:pPr>
        <w:pStyle w:val="6"/>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4" w:right="58" w:firstLine="652"/>
        <w:jc w:val="both"/>
        <w:textAlignment w:val="auto"/>
        <w:rPr>
          <w:rFonts w:hint="default" w:ascii="仿宋_GB2312" w:hAnsi="微软雅黑" w:eastAsia="仿宋_GB2312" w:cs="宋体"/>
          <w:color w:val="000000"/>
          <w:kern w:val="0"/>
          <w:sz w:val="32"/>
          <w:szCs w:val="32"/>
          <w:lang w:val="en-US" w:eastAsia="zh-CN" w:bidi="ar-SA"/>
        </w:rPr>
      </w:pPr>
      <w:r>
        <w:rPr>
          <w:rFonts w:hint="eastAsia" w:ascii="楷体_GB2312" w:hAnsi="宋体" w:eastAsia="楷体_GB2312" w:cs="宋体"/>
          <w:b/>
          <w:sz w:val="32"/>
          <w:szCs w:val="32"/>
          <w:lang w:val="en-US" w:eastAsia="zh-CN" w:bidi="ar-SA"/>
        </w:rPr>
        <w:t>（三）制定方案（</w:t>
      </w:r>
      <w:r>
        <w:rPr>
          <w:rFonts w:hint="default" w:ascii="楷体_GB2312" w:hAnsi="宋体" w:eastAsia="楷体_GB2312" w:cs="宋体"/>
          <w:b/>
          <w:sz w:val="32"/>
          <w:szCs w:val="32"/>
          <w:lang w:val="en-US" w:eastAsia="zh-CN" w:bidi="ar-SA"/>
        </w:rPr>
        <w:t>2024年</w:t>
      </w:r>
      <w:r>
        <w:rPr>
          <w:rFonts w:hint="eastAsia" w:ascii="楷体_GB2312" w:eastAsia="楷体_GB2312" w:cs="宋体"/>
          <w:b/>
          <w:sz w:val="32"/>
          <w:szCs w:val="32"/>
          <w:lang w:val="en-US" w:eastAsia="zh-CN" w:bidi="ar-SA"/>
        </w:rPr>
        <w:t>7</w:t>
      </w:r>
      <w:r>
        <w:rPr>
          <w:rFonts w:hint="default" w:ascii="楷体_GB2312" w:hAnsi="宋体" w:eastAsia="楷体_GB2312" w:cs="宋体"/>
          <w:b/>
          <w:sz w:val="32"/>
          <w:szCs w:val="32"/>
          <w:lang w:val="en-US" w:eastAsia="zh-CN" w:bidi="ar-SA"/>
        </w:rPr>
        <w:t>月</w:t>
      </w:r>
      <w:r>
        <w:rPr>
          <w:rFonts w:hint="eastAsia" w:ascii="楷体_GB2312" w:hAnsi="宋体" w:eastAsia="楷体_GB2312" w:cs="宋体"/>
          <w:b/>
          <w:sz w:val="32"/>
          <w:szCs w:val="32"/>
          <w:lang w:val="en-US" w:eastAsia="zh-CN" w:bidi="ar-SA"/>
        </w:rPr>
        <w:t>）</w:t>
      </w:r>
      <w:r>
        <w:rPr>
          <w:rFonts w:hint="default" w:ascii="楷体_GB2312" w:hAnsi="宋体" w:eastAsia="楷体_GB2312" w:cs="宋体"/>
          <w:b/>
          <w:sz w:val="32"/>
          <w:szCs w:val="32"/>
          <w:lang w:val="en-US" w:eastAsia="zh-CN" w:bidi="ar-SA"/>
        </w:rPr>
        <w:t>。</w:t>
      </w:r>
      <w:r>
        <w:rPr>
          <w:rFonts w:hint="eastAsia" w:ascii="仿宋_GB2312" w:hAnsi="微软雅黑" w:eastAsia="仿宋_GB2312" w:cs="宋体"/>
          <w:color w:val="000000"/>
          <w:kern w:val="0"/>
          <w:sz w:val="32"/>
          <w:szCs w:val="32"/>
          <w:lang w:val="en-US" w:eastAsia="zh-CN" w:bidi="ar-SA"/>
        </w:rPr>
        <w:t>根据上级要求和调查摸排情况，督促化工企业制定装置设备淘汰退出、改造提升方案和</w:t>
      </w:r>
      <w:r>
        <w:rPr>
          <w:rFonts w:hint="default" w:ascii="仿宋_GB2312" w:hAnsi="微软雅黑" w:eastAsia="仿宋_GB2312" w:cs="宋体"/>
          <w:color w:val="000000"/>
          <w:kern w:val="0"/>
          <w:sz w:val="32"/>
          <w:szCs w:val="32"/>
          <w:lang w:val="en-US" w:eastAsia="zh-CN" w:bidi="ar-SA"/>
        </w:rPr>
        <w:t>安全风险监控平台建设</w:t>
      </w:r>
      <w:r>
        <w:rPr>
          <w:rFonts w:hint="eastAsia" w:ascii="仿宋_GB2312" w:hAnsi="微软雅黑" w:eastAsia="仿宋_GB2312" w:cs="宋体"/>
          <w:color w:val="000000"/>
          <w:kern w:val="0"/>
          <w:sz w:val="32"/>
          <w:szCs w:val="32"/>
          <w:lang w:val="en-US" w:eastAsia="zh-CN" w:bidi="ar-SA"/>
        </w:rPr>
        <w:t>方案，</w:t>
      </w:r>
      <w:r>
        <w:rPr>
          <w:rFonts w:hint="default" w:ascii="仿宋_GB2312" w:hAnsi="微软雅黑" w:eastAsia="仿宋_GB2312" w:cs="宋体"/>
          <w:color w:val="000000"/>
          <w:kern w:val="0"/>
          <w:sz w:val="32"/>
          <w:szCs w:val="32"/>
          <w:lang w:val="en-US" w:eastAsia="zh-CN" w:bidi="ar-SA"/>
        </w:rPr>
        <w:t>明确时间表、路线图</w:t>
      </w:r>
      <w:r>
        <w:rPr>
          <w:rFonts w:hint="eastAsia" w:ascii="仿宋_GB2312" w:hAnsi="微软雅黑" w:eastAsia="仿宋_GB2312" w:cs="宋体"/>
          <w:color w:val="000000"/>
          <w:kern w:val="0"/>
          <w:sz w:val="32"/>
          <w:szCs w:val="32"/>
          <w:lang w:val="en-US" w:eastAsia="zh-CN" w:bidi="ar-SA"/>
        </w:rPr>
        <w:t>。</w:t>
      </w:r>
    </w:p>
    <w:p>
      <w:pPr>
        <w:pStyle w:val="6"/>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4" w:right="58" w:firstLine="652"/>
        <w:jc w:val="both"/>
        <w:textAlignment w:val="auto"/>
        <w:rPr>
          <w:rFonts w:hint="default" w:ascii="仿宋_GB2312" w:hAnsi="微软雅黑" w:eastAsia="仿宋_GB2312" w:cs="宋体"/>
          <w:color w:val="000000"/>
          <w:kern w:val="0"/>
          <w:sz w:val="32"/>
          <w:szCs w:val="32"/>
          <w:lang w:val="en-US" w:eastAsia="zh-CN" w:bidi="ar-SA"/>
        </w:rPr>
      </w:pPr>
      <w:r>
        <w:rPr>
          <w:rFonts w:hint="default" w:ascii="楷体_GB2312" w:hAnsi="宋体" w:eastAsia="楷体_GB2312" w:cs="宋体"/>
          <w:b/>
          <w:sz w:val="32"/>
          <w:szCs w:val="32"/>
          <w:lang w:val="en-US" w:eastAsia="zh-CN" w:bidi="ar-SA"/>
        </w:rPr>
        <w:t>（三）</w:t>
      </w:r>
      <w:r>
        <w:rPr>
          <w:rFonts w:hint="eastAsia" w:ascii="楷体_GB2312" w:hAnsi="宋体" w:eastAsia="楷体_GB2312" w:cs="宋体"/>
          <w:b/>
          <w:sz w:val="32"/>
          <w:szCs w:val="32"/>
          <w:lang w:val="en-US" w:eastAsia="zh-CN" w:bidi="ar-SA"/>
        </w:rPr>
        <w:t>滚动</w:t>
      </w:r>
      <w:r>
        <w:rPr>
          <w:rFonts w:hint="default" w:ascii="楷体_GB2312" w:hAnsi="宋体" w:eastAsia="楷体_GB2312" w:cs="宋体"/>
          <w:b/>
          <w:sz w:val="32"/>
          <w:szCs w:val="32"/>
          <w:lang w:val="en-US" w:eastAsia="zh-CN" w:bidi="ar-SA"/>
        </w:rPr>
        <w:t>推进（2024年</w:t>
      </w:r>
      <w:r>
        <w:rPr>
          <w:rFonts w:hint="eastAsia" w:ascii="楷体_GB2312" w:eastAsia="楷体_GB2312" w:cs="宋体"/>
          <w:b/>
          <w:sz w:val="32"/>
          <w:szCs w:val="32"/>
          <w:lang w:val="en-US" w:eastAsia="zh-CN" w:bidi="ar-SA"/>
        </w:rPr>
        <w:t>8</w:t>
      </w:r>
      <w:r>
        <w:rPr>
          <w:rFonts w:hint="default" w:ascii="楷体_GB2312" w:hAnsi="宋体" w:eastAsia="楷体_GB2312" w:cs="宋体"/>
          <w:b/>
          <w:sz w:val="32"/>
          <w:szCs w:val="32"/>
          <w:lang w:val="en-US" w:eastAsia="zh-CN" w:bidi="ar-SA"/>
        </w:rPr>
        <w:t>月至202</w:t>
      </w:r>
      <w:r>
        <w:rPr>
          <w:rFonts w:hint="eastAsia" w:ascii="楷体_GB2312" w:eastAsia="楷体_GB2312" w:cs="宋体"/>
          <w:b/>
          <w:sz w:val="32"/>
          <w:szCs w:val="32"/>
          <w:lang w:val="en-US" w:eastAsia="zh-CN" w:bidi="ar-SA"/>
        </w:rPr>
        <w:t>7</w:t>
      </w:r>
      <w:r>
        <w:rPr>
          <w:rFonts w:hint="default" w:ascii="楷体_GB2312" w:hAnsi="宋体" w:eastAsia="楷体_GB2312" w:cs="宋体"/>
          <w:b/>
          <w:sz w:val="32"/>
          <w:szCs w:val="32"/>
          <w:lang w:val="en-US" w:eastAsia="zh-CN" w:bidi="ar-SA"/>
        </w:rPr>
        <w:t>年</w:t>
      </w:r>
      <w:r>
        <w:rPr>
          <w:rFonts w:hint="eastAsia" w:ascii="楷体_GB2312" w:eastAsia="楷体_GB2312" w:cs="宋体"/>
          <w:b/>
          <w:sz w:val="32"/>
          <w:szCs w:val="32"/>
          <w:lang w:val="en-US" w:eastAsia="zh-CN" w:bidi="ar-SA"/>
        </w:rPr>
        <w:t>9</w:t>
      </w:r>
      <w:r>
        <w:rPr>
          <w:rFonts w:hint="default" w:ascii="楷体_GB2312" w:hAnsi="宋体" w:eastAsia="楷体_GB2312" w:cs="宋体"/>
          <w:b/>
          <w:sz w:val="32"/>
          <w:szCs w:val="32"/>
          <w:lang w:val="en-US" w:eastAsia="zh-CN" w:bidi="ar-SA"/>
        </w:rPr>
        <w:t>月）。</w:t>
      </w:r>
      <w:r>
        <w:rPr>
          <w:rFonts w:hint="eastAsia" w:ascii="仿宋_GB2312" w:hAnsi="微软雅黑" w:eastAsia="仿宋_GB2312" w:cs="宋体"/>
          <w:color w:val="000000"/>
          <w:kern w:val="0"/>
          <w:sz w:val="32"/>
          <w:szCs w:val="32"/>
          <w:lang w:val="en-US" w:eastAsia="zh-CN" w:bidi="ar-SA"/>
        </w:rPr>
        <w:t>根据计划安排，持续排查新增淘汰、退出、改造设备清单，分类分批滚动推进</w:t>
      </w:r>
      <w:r>
        <w:rPr>
          <w:rFonts w:hint="default" w:ascii="仿宋_GB2312" w:hAnsi="微软雅黑" w:eastAsia="仿宋_GB2312" w:cs="宋体"/>
          <w:color w:val="000000"/>
          <w:kern w:val="0"/>
          <w:sz w:val="32"/>
          <w:szCs w:val="32"/>
          <w:lang w:val="en-US" w:eastAsia="zh-CN" w:bidi="ar-SA"/>
        </w:rPr>
        <w:t>化工装置</w:t>
      </w:r>
      <w:r>
        <w:rPr>
          <w:rFonts w:hint="eastAsia" w:ascii="仿宋_GB2312" w:hAnsi="微软雅黑" w:eastAsia="仿宋_GB2312" w:cs="宋体"/>
          <w:color w:val="000000"/>
          <w:kern w:val="0"/>
          <w:sz w:val="32"/>
          <w:szCs w:val="32"/>
          <w:lang w:val="en-US" w:eastAsia="zh-CN" w:bidi="ar-SA"/>
        </w:rPr>
        <w:t>设备</w:t>
      </w:r>
      <w:r>
        <w:rPr>
          <w:rFonts w:hint="default" w:ascii="仿宋_GB2312" w:hAnsi="微软雅黑" w:eastAsia="仿宋_GB2312" w:cs="宋体"/>
          <w:color w:val="000000"/>
          <w:kern w:val="0"/>
          <w:sz w:val="32"/>
          <w:szCs w:val="32"/>
          <w:lang w:val="en-US" w:eastAsia="zh-CN" w:bidi="ar-SA"/>
        </w:rPr>
        <w:t>改造</w:t>
      </w:r>
      <w:r>
        <w:rPr>
          <w:rFonts w:hint="eastAsia" w:ascii="仿宋_GB2312" w:hAnsi="微软雅黑" w:eastAsia="仿宋_GB2312" w:cs="宋体"/>
          <w:color w:val="000000"/>
          <w:kern w:val="0"/>
          <w:sz w:val="32"/>
          <w:szCs w:val="32"/>
          <w:lang w:val="en-US" w:eastAsia="zh-CN" w:bidi="ar-SA"/>
        </w:rPr>
        <w:t>提升和</w:t>
      </w:r>
      <w:r>
        <w:rPr>
          <w:rFonts w:hint="default" w:ascii="仿宋_GB2312" w:hAnsi="微软雅黑" w:eastAsia="仿宋_GB2312" w:cs="宋体"/>
          <w:color w:val="000000"/>
          <w:kern w:val="0"/>
          <w:sz w:val="32"/>
          <w:szCs w:val="32"/>
          <w:lang w:val="en-US" w:eastAsia="zh-CN" w:bidi="ar-SA"/>
        </w:rPr>
        <w:t>安全风险管控数字化转型工作</w:t>
      </w:r>
      <w:r>
        <w:rPr>
          <w:rFonts w:hint="eastAsia" w:ascii="仿宋_GB2312" w:hAnsi="微软雅黑" w:eastAsia="仿宋_GB2312" w:cs="宋体"/>
          <w:color w:val="000000"/>
          <w:kern w:val="0"/>
          <w:sz w:val="32"/>
          <w:szCs w:val="32"/>
          <w:lang w:val="en-US" w:eastAsia="zh-CN" w:bidi="ar-SA"/>
        </w:rPr>
        <w:t>，并组织对工作落实情况进行验收和奖励补助。</w:t>
      </w:r>
    </w:p>
    <w:p>
      <w:pPr>
        <w:pStyle w:val="6"/>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4" w:right="58" w:firstLine="652"/>
        <w:jc w:val="both"/>
        <w:textAlignment w:val="auto"/>
        <w:rPr>
          <w:rFonts w:hint="default" w:ascii="仿宋_GB2312" w:hAnsi="微软雅黑" w:eastAsia="仿宋_GB2312" w:cs="宋体"/>
          <w:color w:val="000000"/>
          <w:kern w:val="0"/>
          <w:sz w:val="32"/>
          <w:szCs w:val="32"/>
          <w:lang w:val="en-US" w:eastAsia="zh-CN" w:bidi="ar-SA"/>
        </w:rPr>
      </w:pPr>
      <w:r>
        <w:rPr>
          <w:rFonts w:hint="default" w:ascii="楷体_GB2312" w:hAnsi="宋体" w:eastAsia="楷体_GB2312" w:cs="宋体"/>
          <w:b/>
          <w:sz w:val="32"/>
          <w:szCs w:val="32"/>
          <w:lang w:val="en-US" w:eastAsia="zh-CN" w:bidi="ar-SA"/>
        </w:rPr>
        <w:t>（四）总结阶段（202</w:t>
      </w:r>
      <w:r>
        <w:rPr>
          <w:rFonts w:hint="eastAsia" w:ascii="楷体_GB2312" w:eastAsia="楷体_GB2312" w:cs="宋体"/>
          <w:b/>
          <w:sz w:val="32"/>
          <w:szCs w:val="32"/>
          <w:lang w:val="en-US" w:eastAsia="zh-CN" w:bidi="ar-SA"/>
        </w:rPr>
        <w:t>7</w:t>
      </w:r>
      <w:r>
        <w:rPr>
          <w:rFonts w:hint="default" w:ascii="楷体_GB2312" w:hAnsi="宋体" w:eastAsia="楷体_GB2312" w:cs="宋体"/>
          <w:b/>
          <w:sz w:val="32"/>
          <w:szCs w:val="32"/>
          <w:lang w:val="en-US" w:eastAsia="zh-CN" w:bidi="ar-SA"/>
        </w:rPr>
        <w:t>年</w:t>
      </w:r>
      <w:r>
        <w:rPr>
          <w:rFonts w:hint="eastAsia" w:ascii="楷体_GB2312" w:eastAsia="楷体_GB2312" w:cs="宋体"/>
          <w:b/>
          <w:sz w:val="32"/>
          <w:szCs w:val="32"/>
          <w:lang w:val="en-US" w:eastAsia="zh-CN" w:bidi="ar-SA"/>
        </w:rPr>
        <w:t>10</w:t>
      </w:r>
      <w:r>
        <w:rPr>
          <w:rFonts w:hint="default" w:ascii="楷体_GB2312" w:hAnsi="宋体" w:eastAsia="楷体_GB2312" w:cs="宋体"/>
          <w:b/>
          <w:sz w:val="32"/>
          <w:szCs w:val="32"/>
          <w:lang w:val="en-US" w:eastAsia="zh-CN" w:bidi="ar-SA"/>
        </w:rPr>
        <w:t>月至11月）。</w:t>
      </w:r>
      <w:r>
        <w:rPr>
          <w:rFonts w:hint="default" w:ascii="仿宋_GB2312" w:hAnsi="微软雅黑" w:eastAsia="仿宋_GB2312" w:cs="宋体"/>
          <w:color w:val="000000"/>
          <w:kern w:val="0"/>
          <w:sz w:val="32"/>
          <w:szCs w:val="32"/>
          <w:lang w:val="en-US" w:eastAsia="zh-CN" w:bidi="ar-SA"/>
        </w:rPr>
        <w:t>总结经验成果，形成总结报告。</w:t>
      </w:r>
    </w:p>
    <w:p>
      <w:pPr>
        <w:pStyle w:val="6"/>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60" w:lineRule="exact"/>
        <w:ind w:left="4" w:right="58" w:firstLine="652"/>
        <w:jc w:val="both"/>
        <w:textAlignment w:val="auto"/>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五、保障措施</w:t>
      </w:r>
    </w:p>
    <w:p>
      <w:pPr>
        <w:pStyle w:val="3"/>
        <w:keepNext w:val="0"/>
        <w:keepLines w:val="0"/>
        <w:pageBreakBefore w:val="0"/>
        <w:widowControl w:val="0"/>
        <w:suppressLineNumbers w:val="0"/>
        <w:suppressAutoHyphens/>
        <w:kinsoku/>
        <w:wordWrap/>
        <w:overflowPunct/>
        <w:topLinePunct w:val="0"/>
        <w:autoSpaceDE w:val="0"/>
        <w:autoSpaceDN/>
        <w:bidi w:val="0"/>
        <w:adjustRightInd/>
        <w:snapToGrid/>
        <w:spacing w:line="560" w:lineRule="exact"/>
        <w:ind w:left="0" w:firstLine="643" w:firstLineChars="200"/>
        <w:jc w:val="left"/>
        <w:textAlignment w:val="auto"/>
        <w:rPr>
          <w:rFonts w:hint="eastAsia" w:ascii="仿宋_GB2312" w:hAnsi="微软雅黑" w:eastAsia="仿宋_GB2312" w:cs="宋体"/>
          <w:color w:val="000000"/>
          <w:kern w:val="0"/>
          <w:sz w:val="32"/>
          <w:szCs w:val="32"/>
          <w:lang w:val="en-US" w:eastAsia="zh-CN" w:bidi="ar-SA"/>
        </w:rPr>
      </w:pPr>
      <w:r>
        <w:rPr>
          <w:rFonts w:hint="eastAsia" w:ascii="楷体_GB2312" w:hAnsi="宋体" w:eastAsia="楷体_GB2312" w:cs="宋体"/>
          <w:b/>
          <w:kern w:val="0"/>
          <w:sz w:val="32"/>
          <w:szCs w:val="32"/>
          <w:lang w:val="en-US" w:eastAsia="zh-CN" w:bidi="ar-SA"/>
        </w:rPr>
        <w:t>（一）加强组织领导。</w:t>
      </w:r>
      <w:r>
        <w:rPr>
          <w:rFonts w:hint="eastAsia" w:ascii="仿宋_GB2312" w:hAnsi="微软雅黑" w:eastAsia="仿宋_GB2312" w:cs="宋体"/>
          <w:color w:val="000000"/>
          <w:kern w:val="0"/>
          <w:sz w:val="32"/>
          <w:szCs w:val="32"/>
          <w:lang w:val="en-US" w:eastAsia="zh-CN" w:bidi="ar-SA"/>
        </w:rPr>
        <w:t>成立工作专班，由区委常委、常务副区长金山中任组长，应急管理局党委书记、局长景春良和区府办副主任吴勇任副组长，统筹推进</w:t>
      </w:r>
      <w:r>
        <w:rPr>
          <w:rFonts w:hint="default" w:ascii="仿宋_GB2312" w:hAnsi="微软雅黑" w:eastAsia="仿宋_GB2312" w:cs="宋体"/>
          <w:color w:val="000000"/>
          <w:kern w:val="0"/>
          <w:sz w:val="32"/>
          <w:szCs w:val="32"/>
          <w:lang w:val="en-US" w:eastAsia="zh-CN" w:bidi="ar-SA"/>
        </w:rPr>
        <w:t>化工装置</w:t>
      </w:r>
      <w:r>
        <w:rPr>
          <w:rFonts w:hint="eastAsia" w:ascii="仿宋_GB2312" w:hAnsi="微软雅黑" w:eastAsia="仿宋_GB2312" w:cs="宋体"/>
          <w:color w:val="000000"/>
          <w:kern w:val="0"/>
          <w:sz w:val="32"/>
          <w:szCs w:val="32"/>
          <w:lang w:val="en-US" w:eastAsia="zh-CN" w:bidi="ar-SA"/>
        </w:rPr>
        <w:t>设备</w:t>
      </w:r>
      <w:r>
        <w:rPr>
          <w:rFonts w:hint="default" w:ascii="仿宋_GB2312" w:hAnsi="微软雅黑" w:eastAsia="仿宋_GB2312" w:cs="宋体"/>
          <w:color w:val="000000"/>
          <w:kern w:val="0"/>
          <w:sz w:val="32"/>
          <w:szCs w:val="32"/>
          <w:lang w:val="en-US" w:eastAsia="zh-CN" w:bidi="ar-SA"/>
        </w:rPr>
        <w:t>改造</w:t>
      </w:r>
      <w:r>
        <w:rPr>
          <w:rFonts w:hint="eastAsia" w:ascii="仿宋_GB2312" w:hAnsi="微软雅黑" w:eastAsia="仿宋_GB2312" w:cs="宋体"/>
          <w:color w:val="000000"/>
          <w:kern w:val="0"/>
          <w:sz w:val="32"/>
          <w:szCs w:val="32"/>
          <w:lang w:val="en-US" w:eastAsia="zh-CN" w:bidi="ar-SA"/>
        </w:rPr>
        <w:t>提升和</w:t>
      </w:r>
      <w:r>
        <w:rPr>
          <w:rFonts w:hint="default" w:ascii="仿宋_GB2312" w:hAnsi="微软雅黑" w:eastAsia="仿宋_GB2312" w:cs="宋体"/>
          <w:color w:val="000000"/>
          <w:kern w:val="0"/>
          <w:sz w:val="32"/>
          <w:szCs w:val="32"/>
          <w:lang w:val="en-US" w:eastAsia="zh-CN" w:bidi="ar-SA"/>
        </w:rPr>
        <w:t>安全风险管控数字化转型工作</w:t>
      </w:r>
      <w:r>
        <w:rPr>
          <w:rFonts w:hint="eastAsia" w:ascii="仿宋_GB2312" w:hAnsi="微软雅黑" w:eastAsia="仿宋_GB2312" w:cs="宋体"/>
          <w:color w:val="000000"/>
          <w:kern w:val="0"/>
          <w:sz w:val="32"/>
          <w:szCs w:val="32"/>
          <w:lang w:val="en-US" w:eastAsia="zh-CN" w:bidi="ar-SA"/>
        </w:rPr>
        <w:t xml:space="preserve">。有关部门和单位要高度重视，以改造提升和数字化建设为契机，有效推动化工行业本质安全提升和产业升级。 </w:t>
      </w:r>
    </w:p>
    <w:p>
      <w:pPr>
        <w:pStyle w:val="2"/>
        <w:keepNext w:val="0"/>
        <w:keepLines w:val="0"/>
        <w:pageBreakBefore w:val="0"/>
        <w:kinsoku/>
        <w:wordWrap/>
        <w:overflowPunct/>
        <w:topLinePunct w:val="0"/>
        <w:autoSpaceDN/>
        <w:bidi w:val="0"/>
        <w:adjustRightInd/>
        <w:snapToGrid/>
        <w:spacing w:line="560" w:lineRule="exact"/>
        <w:ind w:left="3" w:firstLine="648"/>
        <w:jc w:val="both"/>
        <w:textAlignment w:val="auto"/>
        <w:rPr>
          <w:rFonts w:hint="eastAsia" w:ascii="楷体_GB2312" w:hAnsi="宋体" w:eastAsia="楷体_GB2312" w:cs="宋体"/>
          <w:b/>
          <w:kern w:val="0"/>
          <w:sz w:val="32"/>
          <w:szCs w:val="32"/>
          <w:lang w:val="en-US" w:eastAsia="zh-CN" w:bidi="ar-SA"/>
        </w:rPr>
      </w:pPr>
      <w:r>
        <w:rPr>
          <w:rFonts w:hint="eastAsia" w:ascii="楷体_GB2312" w:hAnsi="宋体" w:eastAsia="楷体_GB2312" w:cs="宋体"/>
          <w:b/>
          <w:kern w:val="0"/>
          <w:sz w:val="32"/>
          <w:szCs w:val="32"/>
          <w:lang w:val="en-US" w:eastAsia="zh-CN" w:bidi="ar-SA"/>
        </w:rPr>
        <w:t>（二）开展深度摸排。</w:t>
      </w:r>
      <w:r>
        <w:rPr>
          <w:rFonts w:hint="eastAsia" w:ascii="仿宋_GB2312" w:hAnsi="微软雅黑" w:eastAsia="仿宋_GB2312" w:cs="宋体"/>
          <w:color w:val="000000"/>
          <w:kern w:val="0"/>
          <w:sz w:val="32"/>
          <w:szCs w:val="32"/>
          <w:lang w:val="en-US" w:eastAsia="zh-CN" w:bidi="ar-SA"/>
        </w:rPr>
        <w:t>各有关部门和单位要深入开展排查评估工作，彻底把辖区内企业数、装置设备数摸清，避免因“想不到”“没管到”，造成漏排、漏辨、漏管，确保应辨尽辨、应改尽改。要督促企业依托信息化平台，建立设备设施数据库，运用数字化信息化手段筛查、管理落后和老旧装置设备，实现长效、高效管理。</w:t>
      </w:r>
    </w:p>
    <w:p>
      <w:pPr>
        <w:pStyle w:val="2"/>
        <w:keepNext w:val="0"/>
        <w:keepLines w:val="0"/>
        <w:pageBreakBefore w:val="0"/>
        <w:kinsoku/>
        <w:wordWrap/>
        <w:overflowPunct/>
        <w:topLinePunct w:val="0"/>
        <w:autoSpaceDN/>
        <w:bidi w:val="0"/>
        <w:adjustRightInd/>
        <w:snapToGrid/>
        <w:spacing w:line="560" w:lineRule="exact"/>
        <w:ind w:left="3" w:firstLine="648"/>
        <w:jc w:val="both"/>
        <w:textAlignment w:val="auto"/>
        <w:rPr>
          <w:rFonts w:hint="eastAsia" w:ascii="楷体_GB2312" w:hAnsi="宋体" w:eastAsia="楷体_GB2312" w:cs="宋体"/>
          <w:b/>
          <w:kern w:val="0"/>
          <w:sz w:val="32"/>
          <w:szCs w:val="32"/>
          <w:lang w:val="en-US" w:eastAsia="zh-CN" w:bidi="ar-SA"/>
        </w:rPr>
      </w:pPr>
      <w:r>
        <w:rPr>
          <w:rFonts w:hint="eastAsia" w:ascii="楷体_GB2312" w:hAnsi="宋体" w:eastAsia="楷体_GB2312" w:cs="宋体"/>
          <w:b/>
          <w:kern w:val="0"/>
          <w:sz w:val="32"/>
          <w:szCs w:val="32"/>
          <w:lang w:val="en-US" w:eastAsia="zh-CN" w:bidi="ar-SA"/>
        </w:rPr>
        <w:t>（三）加快推进实施。</w:t>
      </w:r>
      <w:r>
        <w:rPr>
          <w:rFonts w:hint="eastAsia" w:ascii="仿宋_GB2312" w:hAnsi="微软雅黑" w:eastAsia="仿宋_GB2312" w:cs="宋体"/>
          <w:color w:val="000000"/>
          <w:kern w:val="0"/>
          <w:sz w:val="32"/>
          <w:szCs w:val="32"/>
          <w:lang w:val="en-US" w:eastAsia="zh-CN" w:bidi="ar-SA"/>
        </w:rPr>
        <w:t>各有关部门和单位要密切关注企业更新改造情况，督促企业主要负责人牵头成立领导小组，提前规划，建立专门的台账档案，制定详细的计划表和改造实施方案，明确项目立项、招投标、安装、试运行、验收等关键节点的完成时间，依法依规办理相关审批手续，在保障施工过程安全、施工质量达标的前提下按时完成工作任务。</w:t>
      </w:r>
    </w:p>
    <w:p>
      <w:pPr>
        <w:pStyle w:val="2"/>
        <w:keepNext w:val="0"/>
        <w:keepLines w:val="0"/>
        <w:pageBreakBefore w:val="0"/>
        <w:widowControl w:val="0"/>
        <w:kinsoku/>
        <w:wordWrap/>
        <w:overflowPunct/>
        <w:topLinePunct w:val="0"/>
        <w:autoSpaceDE/>
        <w:autoSpaceDN/>
        <w:bidi w:val="0"/>
        <w:adjustRightInd/>
        <w:snapToGrid/>
        <w:spacing w:line="560" w:lineRule="exact"/>
        <w:ind w:left="3" w:firstLine="648"/>
        <w:jc w:val="both"/>
        <w:textAlignment w:val="auto"/>
        <w:rPr>
          <w:rFonts w:hint="eastAsia" w:ascii="仿宋_GB2312" w:hAnsi="微软雅黑" w:eastAsia="仿宋_GB2312" w:cs="宋体"/>
          <w:color w:val="000000"/>
          <w:kern w:val="0"/>
          <w:sz w:val="32"/>
          <w:szCs w:val="32"/>
          <w:lang w:val="en-US" w:eastAsia="zh-CN" w:bidi="ar-SA"/>
        </w:rPr>
      </w:pPr>
      <w:r>
        <w:rPr>
          <w:rFonts w:hint="eastAsia" w:ascii="楷体_GB2312" w:hAnsi="宋体" w:eastAsia="楷体_GB2312" w:cs="宋体"/>
          <w:b/>
          <w:kern w:val="0"/>
          <w:sz w:val="32"/>
          <w:szCs w:val="32"/>
          <w:lang w:val="en-US" w:eastAsia="zh-CN" w:bidi="ar-SA"/>
        </w:rPr>
        <w:t>（四）加大支持力度。</w:t>
      </w:r>
      <w:r>
        <w:rPr>
          <w:rFonts w:hint="eastAsia" w:ascii="仿宋_GB2312" w:hAnsi="微软雅黑" w:eastAsia="仿宋_GB2312" w:cs="宋体"/>
          <w:color w:val="000000"/>
          <w:kern w:val="0"/>
          <w:sz w:val="32"/>
          <w:szCs w:val="32"/>
          <w:lang w:val="en-US" w:eastAsia="zh-CN" w:bidi="ar-SA"/>
        </w:rPr>
        <w:t>各有关部门和单位要强化财政金融支持力度，优化相关项目审批流程、进入化工园区和有关企业考核政策，激励引导化工企业主动实施</w:t>
      </w:r>
      <w:r>
        <w:rPr>
          <w:rFonts w:hint="default" w:ascii="仿宋_GB2312" w:hAnsi="微软雅黑" w:eastAsia="仿宋_GB2312" w:cs="宋体"/>
          <w:color w:val="000000"/>
          <w:kern w:val="0"/>
          <w:sz w:val="32"/>
          <w:szCs w:val="32"/>
          <w:lang w:val="en-US" w:eastAsia="zh-CN" w:bidi="ar-SA"/>
        </w:rPr>
        <w:t>化工装置</w:t>
      </w:r>
      <w:r>
        <w:rPr>
          <w:rFonts w:hint="eastAsia" w:ascii="仿宋_GB2312" w:hAnsi="微软雅黑" w:eastAsia="仿宋_GB2312" w:cs="宋体"/>
          <w:color w:val="000000"/>
          <w:kern w:val="0"/>
          <w:sz w:val="32"/>
          <w:szCs w:val="32"/>
          <w:lang w:val="en-US" w:eastAsia="zh-CN" w:bidi="ar-SA"/>
        </w:rPr>
        <w:t>设备</w:t>
      </w:r>
      <w:r>
        <w:rPr>
          <w:rFonts w:hint="default" w:ascii="仿宋_GB2312" w:hAnsi="微软雅黑" w:eastAsia="仿宋_GB2312" w:cs="宋体"/>
          <w:color w:val="000000"/>
          <w:kern w:val="0"/>
          <w:sz w:val="32"/>
          <w:szCs w:val="32"/>
          <w:lang w:val="en-US" w:eastAsia="zh-CN" w:bidi="ar-SA"/>
        </w:rPr>
        <w:t>改造</w:t>
      </w:r>
      <w:r>
        <w:rPr>
          <w:rFonts w:hint="eastAsia" w:ascii="仿宋_GB2312" w:hAnsi="微软雅黑" w:eastAsia="仿宋_GB2312" w:cs="宋体"/>
          <w:color w:val="000000"/>
          <w:kern w:val="0"/>
          <w:sz w:val="32"/>
          <w:szCs w:val="32"/>
          <w:lang w:val="en-US" w:eastAsia="zh-CN" w:bidi="ar-SA"/>
        </w:rPr>
        <w:t>提升和</w:t>
      </w:r>
      <w:r>
        <w:rPr>
          <w:rFonts w:hint="default" w:ascii="仿宋_GB2312" w:hAnsi="微软雅黑" w:eastAsia="仿宋_GB2312" w:cs="宋体"/>
          <w:color w:val="000000"/>
          <w:kern w:val="0"/>
          <w:sz w:val="32"/>
          <w:szCs w:val="32"/>
          <w:lang w:val="en-US" w:eastAsia="zh-CN" w:bidi="ar-SA"/>
        </w:rPr>
        <w:t>安全风险管控数字化转型</w:t>
      </w:r>
      <w:r>
        <w:rPr>
          <w:rFonts w:hint="eastAsia" w:ascii="仿宋_GB2312" w:hAnsi="微软雅黑" w:eastAsia="仿宋_GB2312" w:cs="宋体"/>
          <w:color w:val="000000"/>
          <w:kern w:val="0"/>
          <w:sz w:val="32"/>
          <w:szCs w:val="32"/>
          <w:lang w:val="en-US" w:eastAsia="zh-CN" w:bidi="ar-SA"/>
        </w:rPr>
        <w:t>。杭州湾经开区要融合产业升级、安全环保、技术改造等多方面政策，优化政策供给，多渠道筹集资金。</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jc w:val="both"/>
        <w:textAlignment w:val="auto"/>
        <w:rPr>
          <w:rFonts w:hint="eastAsia" w:ascii="仿宋_GB2312" w:hAnsi="微软雅黑" w:eastAsia="仿宋_GB2312" w:cs="宋体"/>
          <w:color w:val="000000"/>
          <w:kern w:val="0"/>
          <w:sz w:val="32"/>
          <w:szCs w:val="32"/>
          <w:lang w:val="en-US" w:eastAsia="zh-CN" w:bidi="ar-SA"/>
        </w:rPr>
      </w:pPr>
      <w:r>
        <w:rPr>
          <w:rFonts w:hint="eastAsia" w:ascii="楷体_GB2312" w:hAnsi="宋体" w:eastAsia="楷体_GB2312" w:cs="宋体"/>
          <w:b/>
          <w:kern w:val="0"/>
          <w:sz w:val="32"/>
          <w:szCs w:val="32"/>
          <w:lang w:val="en-US" w:eastAsia="zh-CN" w:bidi="ar-SA"/>
        </w:rPr>
        <w:t>（五）严格风险管控。</w:t>
      </w:r>
      <w:r>
        <w:rPr>
          <w:rFonts w:hint="eastAsia" w:ascii="仿宋_GB2312" w:hAnsi="微软雅黑" w:eastAsia="仿宋_GB2312" w:cs="宋体"/>
          <w:color w:val="000000"/>
          <w:kern w:val="0"/>
          <w:sz w:val="32"/>
          <w:szCs w:val="32"/>
          <w:lang w:val="en-US" w:eastAsia="zh-CN" w:bidi="ar-SA"/>
        </w:rPr>
        <w:t>对涉及更新改造项目的装置设备，属地要加强现场督导，督促企业有针对性的开展运行风险辨识，对安全措施的落实进行评估确认。要严把施工建设关，严查承包商单位和人员资质，确保承包商规范作业。对动火改造等高风险环节，要纳入重点防控，凡是未执行落实特殊作业制度的，严格按照重大隐患判定标准严肃查处。对具备继续使用条件的装置设备，要加强监督检查，督促企业加强年度检查、定期检验和维护保养，每年开展安全风险评估和辨识，落实相应的对策措施，确保风险可控。</w:t>
      </w:r>
    </w:p>
    <w:p>
      <w:pPr>
        <w:keepNext w:val="0"/>
        <w:keepLines w:val="0"/>
        <w:widowControl w:val="0"/>
        <w:numPr>
          <w:ilvl w:val="0"/>
          <w:numId w:val="0"/>
        </w:numPr>
        <w:suppressLineNumbers w:val="0"/>
        <w:spacing w:before="0" w:beforeAutospacing="0" w:after="0" w:afterAutospacing="0"/>
        <w:ind w:right="0" w:rightChars="0" w:firstLine="640"/>
        <w:jc w:val="both"/>
        <w:rPr>
          <w:rFonts w:hint="default"/>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50258C-923D-4AE6-ADF5-BC8924F5F9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2" w:fontKey="{F8319D3F-0FE2-4D48-842B-DB88E89EABC1}"/>
  </w:font>
  <w:font w:name="方正小标宋_GBK">
    <w:panose1 w:val="03000509000000000000"/>
    <w:charset w:val="86"/>
    <w:family w:val="script"/>
    <w:pitch w:val="default"/>
    <w:sig w:usb0="00000001" w:usb1="080E0000" w:usb2="00000000" w:usb3="00000000" w:csb0="00040000" w:csb1="00000000"/>
    <w:embedRegular r:id="rId3" w:fontKey="{E5DAA9F0-B37B-42BD-B1A6-C48FF8AEF301}"/>
  </w:font>
  <w:font w:name="微软雅黑">
    <w:panose1 w:val="020B0503020204020204"/>
    <w:charset w:val="86"/>
    <w:family w:val="swiss"/>
    <w:pitch w:val="default"/>
    <w:sig w:usb0="80000287" w:usb1="2ACF3C50" w:usb2="00000016" w:usb3="00000000" w:csb0="0004001F" w:csb1="00000000"/>
    <w:embedRegular r:id="rId4" w:fontKey="{B7231126-66B2-46B0-B764-B844CD68246F}"/>
  </w:font>
  <w:font w:name="楷体_GB2312">
    <w:panose1 w:val="02010609030101010101"/>
    <w:charset w:val="86"/>
    <w:family w:val="auto"/>
    <w:pitch w:val="default"/>
    <w:sig w:usb0="00000001" w:usb1="080E0000" w:usb2="00000000" w:usb3="00000000" w:csb0="00040000" w:csb1="00000000"/>
    <w:embedRegular r:id="rId5" w:fontKey="{D91F5F06-B606-4AC4-B2AC-F7C2670A9E8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YzBkN2Y5ZWVhODA4YWVlZDhiYjkwMTYyMWZlM2IifQ=="/>
  </w:docVars>
  <w:rsids>
    <w:rsidRoot w:val="00000000"/>
    <w:rsid w:val="01635C49"/>
    <w:rsid w:val="07024E83"/>
    <w:rsid w:val="0D1F511A"/>
    <w:rsid w:val="0E047E7F"/>
    <w:rsid w:val="16BF171B"/>
    <w:rsid w:val="1EEB7551"/>
    <w:rsid w:val="216B2BCB"/>
    <w:rsid w:val="24D42836"/>
    <w:rsid w:val="2A587A65"/>
    <w:rsid w:val="2C0559CB"/>
    <w:rsid w:val="30B354CD"/>
    <w:rsid w:val="3ABB2C71"/>
    <w:rsid w:val="424018E2"/>
    <w:rsid w:val="44451738"/>
    <w:rsid w:val="45733999"/>
    <w:rsid w:val="47EE4025"/>
    <w:rsid w:val="4A9D4870"/>
    <w:rsid w:val="4EF1711C"/>
    <w:rsid w:val="53C40E5D"/>
    <w:rsid w:val="5FBE38EB"/>
    <w:rsid w:val="61565949"/>
    <w:rsid w:val="631F2AF4"/>
    <w:rsid w:val="659E2AF3"/>
    <w:rsid w:val="733D6C36"/>
    <w:rsid w:val="7C242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keepNext w:val="0"/>
      <w:keepLines w:val="0"/>
      <w:widowControl w:val="0"/>
      <w:suppressLineNumbers w:val="0"/>
      <w:spacing w:before="0" w:beforeAutospacing="0" w:after="0" w:afterAutospacing="0"/>
      <w:ind w:left="0" w:right="0"/>
      <w:jc w:val="both"/>
    </w:pPr>
    <w:rPr>
      <w:rFonts w:hint="eastAsia" w:ascii="仿宋" w:hAnsi="仿宋" w:eastAsia="仿宋" w:cs="仿宋"/>
      <w:kern w:val="2"/>
      <w:sz w:val="29"/>
      <w:szCs w:val="29"/>
      <w:lang w:val="en-US" w:eastAsia="zh-CN" w:bidi="ar"/>
    </w:rPr>
  </w:style>
  <w:style w:type="paragraph" w:styleId="3">
    <w:name w:val="Body Text First Indent"/>
    <w:basedOn w:val="2"/>
    <w:next w:val="1"/>
    <w:qFormat/>
    <w:uiPriority w:val="0"/>
    <w:pPr>
      <w:keepNext w:val="0"/>
      <w:keepLines w:val="0"/>
      <w:widowControl w:val="0"/>
      <w:suppressLineNumbers w:val="0"/>
      <w:spacing w:before="0" w:beforeAutospacing="0" w:after="0" w:afterAutospacing="0"/>
      <w:ind w:left="0" w:right="0" w:firstLine="420" w:firstLineChars="100"/>
      <w:jc w:val="both"/>
    </w:pPr>
    <w:rPr>
      <w:rFonts w:hint="default" w:ascii="Times New Roman" w:hAnsi="Times New Roman" w:eastAsia="仿宋" w:cs="仿宋"/>
      <w:kern w:val="2"/>
      <w:sz w:val="29"/>
      <w:szCs w:val="29"/>
      <w:lang w:val="en-US" w:eastAsia="zh-CN" w:bidi="ar"/>
    </w:rPr>
  </w:style>
  <w:style w:type="paragraph" w:styleId="4">
    <w:name w:val="Body Text Indent 2"/>
    <w:basedOn w:val="1"/>
    <w:unhideWhenUsed/>
    <w:qFormat/>
    <w:uiPriority w:val="99"/>
    <w:pPr>
      <w:spacing w:after="120" w:line="480" w:lineRule="auto"/>
      <w:ind w:left="420" w:leftChars="200"/>
    </w:pPr>
    <w:rPr>
      <w:rFonts w:ascii="Calibri" w:hAnsi="Calibri" w:eastAsia="宋体" w:cs="Times New Roman"/>
      <w:szCs w:val="22"/>
    </w:rPr>
  </w:style>
  <w:style w:type="paragraph" w:styleId="5">
    <w:name w:val="List"/>
    <w:basedOn w:val="1"/>
    <w:unhideWhenUsed/>
    <w:qFormat/>
    <w:uiPriority w:val="99"/>
    <w:pPr>
      <w:ind w:left="200" w:hanging="200" w:hangingChars="200"/>
      <w:contextualSpacing/>
    </w:pPr>
  </w:style>
  <w:style w:type="paragraph" w:styleId="6">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paragraph" w:customStyle="1" w:styleId="10">
    <w:name w:val="正文-文本"/>
    <w:qFormat/>
    <w:uiPriority w:val="0"/>
    <w:pPr>
      <w:spacing w:line="580" w:lineRule="exact"/>
      <w:ind w:firstLine="200" w:firstLineChars="200"/>
      <w:jc w:val="both"/>
    </w:pPr>
    <w:rPr>
      <w:rFonts w:ascii="Times New Roman" w:hAnsi="Times New Roman" w:eastAsia="仿宋_GB2312" w:cs="Times New Roman"/>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4027</Words>
  <Characters>4209</Characters>
  <Lines>1</Lines>
  <Paragraphs>1</Paragraphs>
  <TotalTime>0</TotalTime>
  <ScaleCrop>false</ScaleCrop>
  <LinksUpToDate>false</LinksUpToDate>
  <CharactersWithSpaces>4226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2024-05-11T03:12:00Z</dcterms:created>
  <dc:creator>Administrator</dc:creator>
  <cp:lastModifiedBy>姚坚</cp:lastModifiedBy>
  <cp:lastPrinted>2024-05-28T13:22:00Z</cp:lastPrinted>
  <dcterms:modified xsi:type="dcterms:W3CDTF">2024-05-31T07:14:38Z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AF8DC4F8917B4C46A76AD5374F2A4FD3_12</vt:lpwstr>
  </property>
</Properties>
</file>