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2AA65">
      <w:pPr>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路桥区纸吸管产品质量监督抽查实施细则</w:t>
      </w:r>
    </w:p>
    <w:p w14:paraId="6BF59782">
      <w:pPr>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（2025年版）</w:t>
      </w:r>
    </w:p>
    <w:p w14:paraId="6C55FDB6">
      <w:pPr>
        <w:adjustRightInd w:val="0"/>
        <w:snapToGrid w:val="0"/>
        <w:spacing w:line="594" w:lineRule="exact"/>
        <w:jc w:val="center"/>
        <w:rPr>
          <w:rFonts w:ascii="Times New Roman" w:hAnsi="Times New Roman" w:eastAsia="方正小标宋简体" w:cs="方正仿宋简体"/>
          <w:color w:val="000000"/>
          <w:sz w:val="32"/>
          <w:szCs w:val="32"/>
        </w:rPr>
      </w:pPr>
    </w:p>
    <w:p w14:paraId="34EDCBAE">
      <w:pPr>
        <w:adjustRightInd w:val="0"/>
        <w:snapToGrid w:val="0"/>
        <w:spacing w:line="440" w:lineRule="exact"/>
        <w:outlineLvl w:val="1"/>
        <w:rPr>
          <w:rFonts w:ascii="Times New Roman" w:hAnsi="Times New Roman" w:eastAsia="黑体" w:cs="Times New Roman"/>
        </w:rPr>
      </w:pPr>
      <w:r>
        <w:rPr>
          <w:rFonts w:ascii="Times New Roman" w:hAnsi="Times New Roman" w:eastAsia="黑体" w:cs="Times New Roman"/>
        </w:rPr>
        <w:t>1抽样方法</w:t>
      </w:r>
    </w:p>
    <w:p w14:paraId="799CF4EF">
      <w:pPr>
        <w:snapToGrid w:val="0"/>
        <w:spacing w:line="440" w:lineRule="exact"/>
        <w:ind w:firstLine="420" w:firstLineChars="200"/>
        <w:rPr>
          <w:rFonts w:ascii="Times New Roman" w:hAnsi="Times New Roman" w:cs="Times New Roman"/>
          <w:color w:val="000000"/>
        </w:rPr>
      </w:pPr>
      <w:r>
        <w:rPr>
          <w:rFonts w:ascii="Times New Roman" w:hAnsi="Times New Roman" w:cs="Times New Roman"/>
          <w:color w:val="000000"/>
        </w:rPr>
        <w:t>以随机抽样的方式在被抽样生产者、销售者的待销产品中抽取。</w:t>
      </w:r>
    </w:p>
    <w:p w14:paraId="2FFFD8C2">
      <w:pPr>
        <w:snapToGrid w:val="0"/>
        <w:spacing w:line="440" w:lineRule="exact"/>
        <w:ind w:firstLine="420" w:firstLineChars="200"/>
        <w:rPr>
          <w:rFonts w:ascii="Times New Roman" w:hAnsi="Times New Roman" w:cs="Times New Roman"/>
          <w:color w:val="000000"/>
        </w:rPr>
      </w:pPr>
      <w:r>
        <w:rPr>
          <w:rFonts w:ascii="Times New Roman" w:hAnsi="Times New Roman" w:cs="Times New Roman"/>
          <w:color w:val="000000"/>
        </w:rPr>
        <w:t>随机数一般可使用随机数表等方法产生。</w:t>
      </w:r>
    </w:p>
    <w:p w14:paraId="7106045E">
      <w:pPr>
        <w:adjustRightInd w:val="0"/>
        <w:snapToGrid w:val="0"/>
        <w:spacing w:line="440" w:lineRule="exact"/>
        <w:ind w:firstLine="420" w:firstLineChars="200"/>
        <w:outlineLvl w:val="1"/>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每批次产品抽取不少于3份最小销售独立包装，每份样品抽样数量不少于</w:t>
      </w:r>
      <w:r>
        <w:rPr>
          <w:rFonts w:hint="eastAsia"/>
          <w:color w:val="000000" w:themeColor="text1"/>
          <w:szCs w:val="21"/>
          <w:lang w:val="en-US" w:eastAsia="zh-CN"/>
          <w14:textFill>
            <w14:solidFill>
              <w14:schemeClr w14:val="tx1"/>
            </w14:solidFill>
          </w14:textFill>
        </w:rPr>
        <w:t>50</w:t>
      </w:r>
      <w:r>
        <w:rPr>
          <w:color w:val="000000" w:themeColor="text1"/>
          <w:szCs w:val="21"/>
          <w14:textFill>
            <w14:solidFill>
              <w14:schemeClr w14:val="tx1"/>
            </w14:solidFill>
          </w14:textFill>
        </w:rPr>
        <w:t>只（个），其中2份作为检验样品，1份作为备用样品。</w:t>
      </w:r>
      <w:r>
        <w:rPr>
          <w:rFonts w:hint="eastAsia" w:ascii="宋体" w:hAnsi="宋体" w:cs="宋体"/>
          <w:color w:val="000000" w:themeColor="text1"/>
          <w:szCs w:val="21"/>
          <w14:textFill>
            <w14:solidFill>
              <w14:schemeClr w14:val="tx1"/>
            </w14:solidFill>
          </w14:textFill>
        </w:rPr>
        <w:t>为避免抽样时破坏原包装，可按采样数折算所需的最少包装数抽取样品</w:t>
      </w:r>
      <w:r>
        <w:rPr>
          <w:rFonts w:hint="eastAsia" w:ascii="宋体" w:hAnsi="宋体" w:cs="宋体"/>
          <w:color w:val="000000" w:themeColor="text1"/>
          <w:szCs w:val="21"/>
          <w:lang w:eastAsia="zh-CN"/>
          <w14:textFill>
            <w14:solidFill>
              <w14:schemeClr w14:val="tx1"/>
            </w14:solidFill>
          </w14:textFill>
        </w:rPr>
        <w:t>。</w:t>
      </w:r>
    </w:p>
    <w:p w14:paraId="14DAB252">
      <w:pPr>
        <w:snapToGrid w:val="0"/>
        <w:spacing w:line="440" w:lineRule="exact"/>
        <w:ind w:firstLine="420" w:firstLineChars="200"/>
        <w:rPr>
          <w:rFonts w:hint="eastAsia" w:ascii="Times New Roman" w:hAnsi="Times New Roman" w:eastAsia="宋体" w:cs="Times New Roman"/>
          <w:color w:val="000000"/>
          <w:szCs w:val="21"/>
          <w:lang w:eastAsia="zh-CN"/>
        </w:rPr>
      </w:pPr>
      <w:r>
        <w:rPr>
          <w:rFonts w:hint="eastAsia"/>
          <w:color w:val="000000"/>
          <w:szCs w:val="21"/>
        </w:rPr>
        <w:t>在满足检测用量的情况下，可以适当减少抽样量</w:t>
      </w:r>
      <w:r>
        <w:rPr>
          <w:rFonts w:hint="eastAsia" w:ascii="Times New Roman" w:hAnsi="Times New Roman" w:eastAsia="宋体" w:cs="Times New Roman"/>
          <w:color w:val="000000"/>
          <w:szCs w:val="21"/>
          <w:lang w:eastAsia="zh-CN"/>
        </w:rPr>
        <w:t>。</w:t>
      </w:r>
      <w:bookmarkStart w:id="0" w:name="_GoBack"/>
      <w:bookmarkEnd w:id="0"/>
    </w:p>
    <w:p w14:paraId="2B30CF38">
      <w:pPr>
        <w:snapToGrid w:val="0"/>
        <w:spacing w:line="440" w:lineRule="exact"/>
        <w:ind w:firstLine="420" w:firstLineChars="200"/>
        <w:rPr>
          <w:rFonts w:hint="eastAsia" w:ascii="Times New Roman" w:hAnsi="Times New Roman" w:eastAsia="宋体" w:cs="Times New Roman"/>
          <w:color w:val="000000"/>
          <w:szCs w:val="21"/>
          <w:lang w:eastAsia="zh-CN"/>
        </w:rPr>
      </w:pPr>
    </w:p>
    <w:p w14:paraId="68334E10">
      <w:pPr>
        <w:snapToGrid w:val="0"/>
        <w:spacing w:before="160" w:line="440" w:lineRule="exact"/>
        <w:rPr>
          <w:rFonts w:ascii="Times New Roman" w:hAnsi="Times New Roman" w:eastAsia="黑体" w:cs="Times New Roman"/>
          <w:color w:val="000000"/>
        </w:rPr>
      </w:pPr>
      <w:r>
        <w:rPr>
          <w:rFonts w:ascii="Times New Roman" w:hAnsi="Times New Roman" w:eastAsia="黑体" w:cs="Times New Roman"/>
          <w:color w:val="000000"/>
        </w:rPr>
        <w:t>2 检验依据</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445"/>
        <w:gridCol w:w="4820"/>
      </w:tblGrid>
      <w:tr w14:paraId="2E1B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61" w:type="dxa"/>
            <w:noWrap w:val="0"/>
            <w:vAlign w:val="center"/>
          </w:tcPr>
          <w:p w14:paraId="102DADB6">
            <w:pPr>
              <w:adjustRightInd w:val="0"/>
              <w:snapToGrid w:val="0"/>
              <w:spacing w:before="62" w:beforeLines="20" w:after="62" w:afterLines="20"/>
              <w:jc w:val="center"/>
              <w:rPr>
                <w:color w:val="000000"/>
              </w:rPr>
            </w:pPr>
            <w:r>
              <w:rPr>
                <w:color w:val="000000"/>
              </w:rPr>
              <w:t>序号</w:t>
            </w:r>
          </w:p>
        </w:tc>
        <w:tc>
          <w:tcPr>
            <w:tcW w:w="3445" w:type="dxa"/>
            <w:noWrap w:val="0"/>
            <w:vAlign w:val="center"/>
          </w:tcPr>
          <w:p w14:paraId="3950DACE">
            <w:pPr>
              <w:adjustRightInd w:val="0"/>
              <w:snapToGrid w:val="0"/>
              <w:spacing w:before="62" w:beforeLines="20" w:after="62" w:afterLines="20"/>
              <w:jc w:val="center"/>
              <w:rPr>
                <w:color w:val="000000"/>
              </w:rPr>
            </w:pPr>
            <w:r>
              <w:rPr>
                <w:color w:val="000000"/>
              </w:rPr>
              <w:t>检验项目</w:t>
            </w:r>
          </w:p>
        </w:tc>
        <w:tc>
          <w:tcPr>
            <w:tcW w:w="4820" w:type="dxa"/>
            <w:noWrap w:val="0"/>
            <w:vAlign w:val="center"/>
          </w:tcPr>
          <w:p w14:paraId="764FF968">
            <w:pPr>
              <w:adjustRightInd w:val="0"/>
              <w:snapToGrid w:val="0"/>
              <w:spacing w:before="62" w:beforeLines="20" w:after="62" w:afterLines="20"/>
              <w:jc w:val="center"/>
              <w:rPr>
                <w:color w:val="000000"/>
              </w:rPr>
            </w:pPr>
            <w:r>
              <w:rPr>
                <w:color w:val="000000"/>
              </w:rPr>
              <w:t>检验方法</w:t>
            </w:r>
          </w:p>
        </w:tc>
      </w:tr>
      <w:tr w14:paraId="48D7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2308C1C2">
            <w:pPr>
              <w:snapToGrid w:val="0"/>
              <w:spacing w:before="160" w:line="440" w:lineRule="exact"/>
              <w:jc w:val="center"/>
              <w:rPr>
                <w:rFonts w:ascii="Times New Roman" w:hAnsi="Times New Roman" w:eastAsia="黑体" w:cs="Times New Roman"/>
                <w:color w:val="000000"/>
              </w:rPr>
            </w:pPr>
            <w:r>
              <w:rPr>
                <w:rFonts w:ascii="Times New Roman" w:hAnsi="Times New Roman" w:eastAsia="黑体" w:cs="Times New Roman"/>
                <w:color w:val="000000"/>
              </w:rPr>
              <w:t>1</w:t>
            </w:r>
          </w:p>
        </w:tc>
        <w:tc>
          <w:tcPr>
            <w:tcW w:w="3445" w:type="dxa"/>
            <w:noWrap w:val="0"/>
            <w:vAlign w:val="center"/>
          </w:tcPr>
          <w:p w14:paraId="2165B3A0">
            <w:pPr>
              <w:adjustRightInd w:val="0"/>
              <w:snapToGrid w:val="0"/>
              <w:spacing w:before="62" w:beforeLines="20" w:after="62" w:afterLines="20"/>
              <w:jc w:val="center"/>
              <w:rPr>
                <w:color w:val="000000"/>
              </w:rPr>
            </w:pPr>
            <w:r>
              <w:rPr>
                <w:color w:val="000000"/>
              </w:rPr>
              <w:t>感官要求</w:t>
            </w:r>
          </w:p>
        </w:tc>
        <w:tc>
          <w:tcPr>
            <w:tcW w:w="4820" w:type="dxa"/>
            <w:noWrap w:val="0"/>
            <w:vAlign w:val="center"/>
          </w:tcPr>
          <w:p w14:paraId="7DC897D0">
            <w:pPr>
              <w:jc w:val="center"/>
              <w:rPr>
                <w:rFonts w:hint="eastAsia" w:ascii="Times New Roman" w:hAnsi="Times New Roman" w:cs="Times New Roman"/>
                <w:szCs w:val="21"/>
              </w:rPr>
            </w:pPr>
            <w:r>
              <w:rPr>
                <w:rFonts w:hint="eastAsia" w:ascii="Times New Roman" w:hAnsi="Times New Roman" w:cs="Times New Roman"/>
                <w:szCs w:val="21"/>
              </w:rPr>
              <w:t>GB 4806.8</w:t>
            </w:r>
            <w:r>
              <w:rPr>
                <w:rFonts w:hint="eastAsia" w:ascii="Times New Roman" w:hAnsi="Times New Roman" w:cs="Times New Roman"/>
                <w:szCs w:val="21"/>
                <w:lang w:val="en-US" w:eastAsia="zh-CN"/>
              </w:rPr>
              <w:t>-</w:t>
            </w:r>
            <w:r>
              <w:rPr>
                <w:rFonts w:hint="eastAsia" w:ascii="Times New Roman" w:hAnsi="Times New Roman" w:cs="Times New Roman"/>
                <w:szCs w:val="21"/>
              </w:rPr>
              <w:t>2022</w:t>
            </w:r>
          </w:p>
        </w:tc>
      </w:tr>
      <w:tr w14:paraId="2F44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0137CB23">
            <w:pPr>
              <w:snapToGrid w:val="0"/>
              <w:spacing w:before="160" w:line="440" w:lineRule="exact"/>
              <w:jc w:val="center"/>
              <w:rPr>
                <w:rFonts w:ascii="Times New Roman" w:hAnsi="Times New Roman" w:eastAsia="黑体" w:cs="Times New Roman"/>
                <w:color w:val="000000"/>
              </w:rPr>
            </w:pPr>
            <w:r>
              <w:rPr>
                <w:rFonts w:ascii="Times New Roman" w:hAnsi="Times New Roman" w:eastAsia="黑体" w:cs="Times New Roman"/>
                <w:color w:val="000000"/>
              </w:rPr>
              <w:t>2</w:t>
            </w:r>
          </w:p>
        </w:tc>
        <w:tc>
          <w:tcPr>
            <w:tcW w:w="3445" w:type="dxa"/>
            <w:noWrap w:val="0"/>
            <w:vAlign w:val="center"/>
          </w:tcPr>
          <w:p w14:paraId="7AFA42BC">
            <w:pPr>
              <w:adjustRightInd w:val="0"/>
              <w:snapToGrid w:val="0"/>
              <w:spacing w:before="62" w:beforeLines="20" w:after="62" w:afterLines="20"/>
              <w:jc w:val="center"/>
              <w:rPr>
                <w:color w:val="000000"/>
              </w:rPr>
            </w:pPr>
            <w:r>
              <w:rPr>
                <w:color w:val="000000"/>
              </w:rPr>
              <w:t>铅（Pb）</w:t>
            </w:r>
          </w:p>
        </w:tc>
        <w:tc>
          <w:tcPr>
            <w:tcW w:w="4820" w:type="dxa"/>
            <w:noWrap w:val="0"/>
            <w:vAlign w:val="center"/>
          </w:tcPr>
          <w:p w14:paraId="0F14BF04">
            <w:pPr>
              <w:jc w:val="center"/>
              <w:rPr>
                <w:rFonts w:hint="eastAsia" w:ascii="Times New Roman" w:hAnsi="Times New Roman" w:cs="Times New Roman"/>
                <w:szCs w:val="21"/>
              </w:rPr>
            </w:pPr>
            <w:r>
              <w:rPr>
                <w:rFonts w:hint="eastAsia" w:ascii="Times New Roman" w:hAnsi="Times New Roman" w:cs="Times New Roman"/>
                <w:szCs w:val="21"/>
              </w:rPr>
              <w:t>GB 31604.34</w:t>
            </w:r>
            <w:r>
              <w:rPr>
                <w:rFonts w:hint="eastAsia" w:ascii="Times New Roman" w:hAnsi="Times New Roman" w:cs="Times New Roman"/>
                <w:szCs w:val="21"/>
                <w:lang w:val="en-US" w:eastAsia="zh-CN"/>
              </w:rPr>
              <w:t>-</w:t>
            </w:r>
            <w:r>
              <w:rPr>
                <w:rFonts w:hint="eastAsia" w:ascii="Times New Roman" w:hAnsi="Times New Roman" w:cs="Times New Roman"/>
                <w:szCs w:val="21"/>
              </w:rPr>
              <w:t>2016</w:t>
            </w:r>
          </w:p>
          <w:p w14:paraId="2383D1DD">
            <w:pPr>
              <w:jc w:val="center"/>
              <w:rPr>
                <w:rFonts w:hint="default" w:ascii="Times New Roman" w:hAnsi="Times New Roman" w:cs="Times New Roman"/>
                <w:szCs w:val="21"/>
                <w:lang w:val="en-US" w:eastAsia="zh-CN"/>
              </w:rPr>
            </w:pPr>
            <w:r>
              <w:rPr>
                <w:rFonts w:hint="eastAsia" w:ascii="Times New Roman" w:hAnsi="Times New Roman" w:cs="Times New Roman"/>
                <w:szCs w:val="21"/>
              </w:rPr>
              <w:t>GB 31604.49</w:t>
            </w:r>
            <w:r>
              <w:rPr>
                <w:rFonts w:hint="eastAsia" w:ascii="Times New Roman" w:hAnsi="Times New Roman" w:cs="Times New Roman"/>
                <w:szCs w:val="21"/>
                <w:lang w:val="en-US" w:eastAsia="zh-CN"/>
              </w:rPr>
              <w:t>-</w:t>
            </w:r>
            <w:r>
              <w:rPr>
                <w:rFonts w:hint="eastAsia" w:ascii="Times New Roman" w:hAnsi="Times New Roman" w:cs="Times New Roman"/>
                <w:szCs w:val="21"/>
              </w:rPr>
              <w:t>20</w:t>
            </w:r>
            <w:r>
              <w:rPr>
                <w:rFonts w:hint="eastAsia" w:ascii="Times New Roman" w:hAnsi="Times New Roman" w:cs="Times New Roman"/>
                <w:szCs w:val="21"/>
                <w:lang w:val="en-US" w:eastAsia="zh-CN"/>
              </w:rPr>
              <w:t>23</w:t>
            </w:r>
          </w:p>
        </w:tc>
      </w:tr>
      <w:tr w14:paraId="75C9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10D1803B">
            <w:pPr>
              <w:snapToGrid w:val="0"/>
              <w:spacing w:before="160" w:line="440" w:lineRule="exact"/>
              <w:jc w:val="center"/>
              <w:rPr>
                <w:rFonts w:ascii="Times New Roman" w:hAnsi="Times New Roman" w:eastAsia="黑体" w:cs="Times New Roman"/>
                <w:color w:val="000000"/>
              </w:rPr>
            </w:pPr>
            <w:r>
              <w:rPr>
                <w:rFonts w:ascii="Times New Roman" w:hAnsi="Times New Roman" w:eastAsia="黑体" w:cs="Times New Roman"/>
                <w:color w:val="000000"/>
              </w:rPr>
              <w:t>3</w:t>
            </w:r>
          </w:p>
        </w:tc>
        <w:tc>
          <w:tcPr>
            <w:tcW w:w="3445" w:type="dxa"/>
            <w:noWrap w:val="0"/>
            <w:vAlign w:val="center"/>
          </w:tcPr>
          <w:p w14:paraId="3345D250">
            <w:pPr>
              <w:adjustRightInd w:val="0"/>
              <w:snapToGrid w:val="0"/>
              <w:spacing w:before="62" w:beforeLines="20" w:after="62" w:afterLines="20"/>
              <w:jc w:val="center"/>
              <w:rPr>
                <w:color w:val="000000"/>
              </w:rPr>
            </w:pPr>
            <w:r>
              <w:rPr>
                <w:color w:val="000000"/>
              </w:rPr>
              <w:t>砷（As）</w:t>
            </w:r>
          </w:p>
        </w:tc>
        <w:tc>
          <w:tcPr>
            <w:tcW w:w="4820" w:type="dxa"/>
            <w:noWrap w:val="0"/>
            <w:vAlign w:val="center"/>
          </w:tcPr>
          <w:p w14:paraId="1B6D2664">
            <w:pPr>
              <w:jc w:val="center"/>
              <w:rPr>
                <w:rFonts w:hint="eastAsia" w:ascii="Times New Roman" w:hAnsi="Times New Roman" w:cs="Times New Roman"/>
                <w:szCs w:val="21"/>
              </w:rPr>
            </w:pPr>
            <w:r>
              <w:rPr>
                <w:rFonts w:hint="eastAsia" w:ascii="Times New Roman" w:hAnsi="Times New Roman" w:cs="Times New Roman"/>
                <w:szCs w:val="21"/>
              </w:rPr>
              <w:t>GB 31604.38</w:t>
            </w:r>
            <w:r>
              <w:rPr>
                <w:rFonts w:hint="eastAsia" w:ascii="Times New Roman" w:hAnsi="Times New Roman" w:cs="Times New Roman"/>
                <w:szCs w:val="21"/>
                <w:lang w:val="en-US" w:eastAsia="zh-CN"/>
              </w:rPr>
              <w:t>-</w:t>
            </w:r>
            <w:r>
              <w:rPr>
                <w:rFonts w:hint="eastAsia" w:ascii="Times New Roman" w:hAnsi="Times New Roman" w:cs="Times New Roman"/>
                <w:szCs w:val="21"/>
              </w:rPr>
              <w:t>2016</w:t>
            </w:r>
          </w:p>
          <w:p w14:paraId="51105918">
            <w:pPr>
              <w:jc w:val="center"/>
              <w:rPr>
                <w:rFonts w:hint="eastAsia" w:ascii="Times New Roman" w:hAnsi="Times New Roman" w:cs="Times New Roman"/>
                <w:szCs w:val="21"/>
              </w:rPr>
            </w:pPr>
            <w:r>
              <w:rPr>
                <w:rFonts w:hint="eastAsia" w:ascii="Times New Roman" w:hAnsi="Times New Roman" w:cs="Times New Roman"/>
                <w:szCs w:val="21"/>
              </w:rPr>
              <w:t>GB 31604.49</w:t>
            </w:r>
            <w:r>
              <w:rPr>
                <w:rFonts w:hint="eastAsia" w:ascii="Times New Roman" w:hAnsi="Times New Roman" w:cs="Times New Roman"/>
                <w:szCs w:val="21"/>
                <w:lang w:val="en-US" w:eastAsia="zh-CN"/>
              </w:rPr>
              <w:t>-</w:t>
            </w:r>
            <w:r>
              <w:rPr>
                <w:rFonts w:hint="eastAsia" w:ascii="Times New Roman" w:hAnsi="Times New Roman" w:cs="Times New Roman"/>
                <w:szCs w:val="21"/>
              </w:rPr>
              <w:t>20</w:t>
            </w:r>
            <w:r>
              <w:rPr>
                <w:rFonts w:hint="eastAsia" w:ascii="Times New Roman" w:hAnsi="Times New Roman" w:cs="Times New Roman"/>
                <w:szCs w:val="21"/>
                <w:lang w:val="en-US" w:eastAsia="zh-CN"/>
              </w:rPr>
              <w:t>23</w:t>
            </w:r>
          </w:p>
        </w:tc>
      </w:tr>
      <w:tr w14:paraId="0D9B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50972BB8">
            <w:pPr>
              <w:snapToGrid w:val="0"/>
              <w:spacing w:before="160" w:line="440" w:lineRule="exact"/>
              <w:jc w:val="center"/>
              <w:rPr>
                <w:rFonts w:ascii="Times New Roman" w:hAnsi="Times New Roman" w:eastAsia="黑体" w:cs="Times New Roman"/>
                <w:color w:val="000000"/>
              </w:rPr>
            </w:pPr>
            <w:r>
              <w:rPr>
                <w:rFonts w:ascii="Times New Roman" w:hAnsi="Times New Roman" w:eastAsia="黑体" w:cs="Times New Roman"/>
                <w:color w:val="000000"/>
              </w:rPr>
              <w:t>4</w:t>
            </w:r>
          </w:p>
        </w:tc>
        <w:tc>
          <w:tcPr>
            <w:tcW w:w="3445" w:type="dxa"/>
            <w:noWrap w:val="0"/>
            <w:vAlign w:val="center"/>
          </w:tcPr>
          <w:p w14:paraId="1C5D1BD3">
            <w:pPr>
              <w:adjustRightInd w:val="0"/>
              <w:snapToGrid w:val="0"/>
              <w:spacing w:before="62" w:beforeLines="20" w:after="62" w:afterLines="20"/>
              <w:jc w:val="center"/>
              <w:rPr>
                <w:color w:val="000000"/>
              </w:rPr>
            </w:pPr>
            <w:r>
              <w:rPr>
                <w:color w:val="000000"/>
              </w:rPr>
              <w:t>甲醛</w:t>
            </w:r>
          </w:p>
        </w:tc>
        <w:tc>
          <w:tcPr>
            <w:tcW w:w="4820" w:type="dxa"/>
            <w:noWrap w:val="0"/>
            <w:vAlign w:val="center"/>
          </w:tcPr>
          <w:p w14:paraId="596177CB">
            <w:pPr>
              <w:jc w:val="center"/>
              <w:rPr>
                <w:rFonts w:hint="eastAsia" w:ascii="Times New Roman" w:hAnsi="Times New Roman" w:cs="Times New Roman"/>
                <w:szCs w:val="21"/>
              </w:rPr>
            </w:pPr>
            <w:r>
              <w:rPr>
                <w:rFonts w:hint="eastAsia" w:ascii="Times New Roman" w:hAnsi="Times New Roman" w:cs="Times New Roman"/>
                <w:szCs w:val="21"/>
              </w:rPr>
              <w:t>GB 4806.8</w:t>
            </w:r>
            <w:r>
              <w:rPr>
                <w:rFonts w:hint="eastAsia" w:ascii="Times New Roman" w:hAnsi="Times New Roman" w:cs="Times New Roman"/>
                <w:szCs w:val="21"/>
                <w:lang w:val="en-US" w:eastAsia="zh-CN"/>
              </w:rPr>
              <w:t>-</w:t>
            </w:r>
            <w:r>
              <w:rPr>
                <w:rFonts w:hint="eastAsia" w:ascii="Times New Roman" w:hAnsi="Times New Roman" w:cs="Times New Roman"/>
                <w:szCs w:val="21"/>
              </w:rPr>
              <w:t>2022</w:t>
            </w:r>
          </w:p>
          <w:p w14:paraId="21792B71">
            <w:pPr>
              <w:jc w:val="center"/>
              <w:rPr>
                <w:rFonts w:hint="eastAsia" w:ascii="Times New Roman" w:hAnsi="Times New Roman" w:cs="Times New Roman"/>
                <w:szCs w:val="21"/>
              </w:rPr>
            </w:pPr>
            <w:r>
              <w:rPr>
                <w:rFonts w:hint="eastAsia" w:ascii="Times New Roman" w:hAnsi="Times New Roman" w:cs="Times New Roman"/>
                <w:szCs w:val="21"/>
              </w:rPr>
              <w:t>GB 31604.48</w:t>
            </w:r>
            <w:r>
              <w:rPr>
                <w:rFonts w:hint="eastAsia" w:ascii="Times New Roman" w:hAnsi="Times New Roman" w:cs="Times New Roman"/>
                <w:szCs w:val="21"/>
                <w:lang w:val="en-US" w:eastAsia="zh-CN"/>
              </w:rPr>
              <w:t>-</w:t>
            </w:r>
            <w:r>
              <w:rPr>
                <w:rFonts w:hint="eastAsia" w:ascii="Times New Roman" w:hAnsi="Times New Roman" w:cs="Times New Roman"/>
                <w:szCs w:val="21"/>
              </w:rPr>
              <w:t>2016</w:t>
            </w:r>
          </w:p>
        </w:tc>
      </w:tr>
      <w:tr w14:paraId="6E5B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00B9B5F3">
            <w:pPr>
              <w:snapToGrid w:val="0"/>
              <w:spacing w:before="160" w:line="440" w:lineRule="exact"/>
              <w:jc w:val="center"/>
              <w:rPr>
                <w:rFonts w:ascii="Times New Roman" w:hAnsi="Times New Roman" w:eastAsia="黑体" w:cs="Times New Roman"/>
                <w:color w:val="000000"/>
              </w:rPr>
            </w:pPr>
            <w:r>
              <w:rPr>
                <w:rFonts w:ascii="Times New Roman" w:hAnsi="Times New Roman" w:eastAsia="黑体" w:cs="Times New Roman"/>
                <w:color w:val="000000"/>
              </w:rPr>
              <w:t>5</w:t>
            </w:r>
          </w:p>
        </w:tc>
        <w:tc>
          <w:tcPr>
            <w:tcW w:w="3445" w:type="dxa"/>
            <w:noWrap w:val="0"/>
            <w:vAlign w:val="center"/>
          </w:tcPr>
          <w:p w14:paraId="0775BA68">
            <w:pPr>
              <w:adjustRightInd w:val="0"/>
              <w:snapToGrid w:val="0"/>
              <w:spacing w:before="62" w:beforeLines="20" w:after="62" w:afterLines="20"/>
              <w:jc w:val="center"/>
              <w:rPr>
                <w:color w:val="000000"/>
              </w:rPr>
            </w:pPr>
            <w:r>
              <w:rPr>
                <w:color w:val="000000"/>
              </w:rPr>
              <w:t>荧光性物质</w:t>
            </w:r>
          </w:p>
        </w:tc>
        <w:tc>
          <w:tcPr>
            <w:tcW w:w="4820" w:type="dxa"/>
            <w:noWrap w:val="0"/>
            <w:vAlign w:val="center"/>
          </w:tcPr>
          <w:p w14:paraId="3AE325BB">
            <w:pPr>
              <w:jc w:val="center"/>
              <w:rPr>
                <w:rFonts w:hint="eastAsia" w:ascii="Times New Roman" w:hAnsi="Times New Roman" w:cs="Times New Roman"/>
                <w:szCs w:val="21"/>
              </w:rPr>
            </w:pPr>
            <w:r>
              <w:rPr>
                <w:rFonts w:hint="eastAsia" w:ascii="Times New Roman" w:hAnsi="Times New Roman" w:cs="Times New Roman"/>
                <w:szCs w:val="21"/>
              </w:rPr>
              <w:t>GB 4806.8</w:t>
            </w:r>
            <w:r>
              <w:rPr>
                <w:rFonts w:hint="eastAsia" w:ascii="Times New Roman" w:hAnsi="Times New Roman" w:cs="Times New Roman"/>
                <w:szCs w:val="21"/>
                <w:lang w:val="en-US" w:eastAsia="zh-CN"/>
              </w:rPr>
              <w:t>-</w:t>
            </w:r>
            <w:r>
              <w:rPr>
                <w:rFonts w:hint="eastAsia" w:ascii="Times New Roman" w:hAnsi="Times New Roman" w:cs="Times New Roman"/>
                <w:szCs w:val="21"/>
              </w:rPr>
              <w:t>2022</w:t>
            </w:r>
          </w:p>
          <w:p w14:paraId="754DA612">
            <w:pPr>
              <w:jc w:val="center"/>
              <w:rPr>
                <w:rFonts w:hint="default" w:ascii="Times New Roman" w:hAnsi="Times New Roman" w:cs="Times New Roman"/>
                <w:szCs w:val="21"/>
                <w:lang w:val="en-US" w:eastAsia="zh-CN"/>
              </w:rPr>
            </w:pPr>
            <w:r>
              <w:rPr>
                <w:rFonts w:hint="eastAsia" w:ascii="Times New Roman" w:hAnsi="Times New Roman" w:cs="Times New Roman"/>
                <w:szCs w:val="21"/>
              </w:rPr>
              <w:t>GB 31604.47</w:t>
            </w:r>
            <w:r>
              <w:rPr>
                <w:rFonts w:hint="eastAsia" w:ascii="Times New Roman" w:hAnsi="Times New Roman" w:cs="Times New Roman"/>
                <w:szCs w:val="21"/>
                <w:lang w:val="en-US" w:eastAsia="zh-CN"/>
              </w:rPr>
              <w:t>-</w:t>
            </w:r>
            <w:r>
              <w:rPr>
                <w:rFonts w:hint="eastAsia" w:ascii="Times New Roman" w:hAnsi="Times New Roman" w:cs="Times New Roman"/>
                <w:szCs w:val="21"/>
              </w:rPr>
              <w:t>20</w:t>
            </w:r>
            <w:r>
              <w:rPr>
                <w:rFonts w:hint="eastAsia" w:ascii="Times New Roman" w:hAnsi="Times New Roman" w:cs="Times New Roman"/>
                <w:szCs w:val="21"/>
                <w:lang w:val="en-US" w:eastAsia="zh-CN"/>
              </w:rPr>
              <w:t>23</w:t>
            </w:r>
          </w:p>
        </w:tc>
      </w:tr>
      <w:tr w14:paraId="1726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3DC3D890">
            <w:pPr>
              <w:snapToGrid w:val="0"/>
              <w:spacing w:before="160" w:line="440" w:lineRule="exact"/>
              <w:jc w:val="center"/>
              <w:rPr>
                <w:rFonts w:ascii="Times New Roman" w:hAnsi="Times New Roman" w:eastAsia="黑体" w:cs="Times New Roman"/>
                <w:color w:val="000000"/>
              </w:rPr>
            </w:pPr>
            <w:r>
              <w:rPr>
                <w:rFonts w:ascii="Times New Roman" w:hAnsi="Times New Roman" w:eastAsia="黑体" w:cs="Times New Roman"/>
                <w:color w:val="000000"/>
              </w:rPr>
              <w:t>6</w:t>
            </w:r>
          </w:p>
        </w:tc>
        <w:tc>
          <w:tcPr>
            <w:tcW w:w="3445" w:type="dxa"/>
            <w:noWrap w:val="0"/>
            <w:vAlign w:val="center"/>
          </w:tcPr>
          <w:p w14:paraId="73B28420">
            <w:pPr>
              <w:adjustRightInd w:val="0"/>
              <w:snapToGrid w:val="0"/>
              <w:spacing w:before="62" w:beforeLines="20" w:after="62" w:afterLines="20"/>
              <w:jc w:val="center"/>
              <w:rPr>
                <w:color w:val="000000"/>
              </w:rPr>
            </w:pPr>
            <w:r>
              <w:rPr>
                <w:rFonts w:ascii="Times New Roman" w:hAnsi="Times New Roman" w:eastAsia="黑体" w:cs="Times New Roman"/>
                <w:color w:val="000000"/>
              </w:rPr>
              <w:t>1,3-</w:t>
            </w:r>
            <w:r>
              <w:rPr>
                <w:color w:val="000000"/>
              </w:rPr>
              <w:t>二氯</w:t>
            </w:r>
            <w:r>
              <w:rPr>
                <w:rFonts w:ascii="Times New Roman" w:hAnsi="Times New Roman" w:eastAsia="黑体" w:cs="Times New Roman"/>
                <w:color w:val="000000"/>
              </w:rPr>
              <w:t>-2-</w:t>
            </w:r>
            <w:r>
              <w:rPr>
                <w:color w:val="000000"/>
              </w:rPr>
              <w:t>丙醇</w:t>
            </w:r>
          </w:p>
        </w:tc>
        <w:tc>
          <w:tcPr>
            <w:tcW w:w="4820" w:type="dxa"/>
            <w:noWrap w:val="0"/>
            <w:vAlign w:val="center"/>
          </w:tcPr>
          <w:p w14:paraId="3D6AE309">
            <w:pPr>
              <w:jc w:val="center"/>
              <w:rPr>
                <w:rFonts w:hint="eastAsia" w:ascii="Times New Roman" w:hAnsi="Times New Roman" w:cs="Times New Roman"/>
                <w:szCs w:val="21"/>
              </w:rPr>
            </w:pPr>
            <w:r>
              <w:rPr>
                <w:rFonts w:hint="eastAsia" w:ascii="Times New Roman" w:hAnsi="Times New Roman" w:cs="Times New Roman"/>
                <w:szCs w:val="21"/>
              </w:rPr>
              <w:t>GB 4806.8</w:t>
            </w:r>
            <w:r>
              <w:rPr>
                <w:rFonts w:hint="eastAsia" w:ascii="Times New Roman" w:hAnsi="Times New Roman" w:cs="Times New Roman"/>
                <w:szCs w:val="21"/>
                <w:lang w:val="en-US" w:eastAsia="zh-CN"/>
              </w:rPr>
              <w:t>-</w:t>
            </w:r>
            <w:r>
              <w:rPr>
                <w:rFonts w:hint="eastAsia" w:ascii="Times New Roman" w:hAnsi="Times New Roman" w:cs="Times New Roman"/>
                <w:szCs w:val="21"/>
              </w:rPr>
              <w:t>2022</w:t>
            </w:r>
          </w:p>
        </w:tc>
      </w:tr>
      <w:tr w14:paraId="7405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3E00EC48">
            <w:pPr>
              <w:snapToGrid w:val="0"/>
              <w:spacing w:before="160" w:line="440" w:lineRule="exact"/>
              <w:jc w:val="center"/>
              <w:rPr>
                <w:rFonts w:ascii="Times New Roman" w:hAnsi="Times New Roman" w:eastAsia="黑体" w:cs="Times New Roman"/>
                <w:color w:val="000000"/>
              </w:rPr>
            </w:pPr>
            <w:r>
              <w:rPr>
                <w:rFonts w:ascii="Times New Roman" w:hAnsi="Times New Roman" w:eastAsia="黑体" w:cs="Times New Roman"/>
                <w:color w:val="000000"/>
              </w:rPr>
              <w:t>7</w:t>
            </w:r>
          </w:p>
        </w:tc>
        <w:tc>
          <w:tcPr>
            <w:tcW w:w="3445" w:type="dxa"/>
            <w:noWrap w:val="0"/>
            <w:vAlign w:val="center"/>
          </w:tcPr>
          <w:p w14:paraId="38050352">
            <w:pPr>
              <w:adjustRightInd w:val="0"/>
              <w:snapToGrid w:val="0"/>
              <w:spacing w:before="62" w:beforeLines="20" w:after="62" w:afterLines="20"/>
              <w:jc w:val="center"/>
              <w:rPr>
                <w:color w:val="000000"/>
              </w:rPr>
            </w:pPr>
            <w:r>
              <w:rPr>
                <w:rFonts w:ascii="Times New Roman" w:hAnsi="Times New Roman" w:eastAsia="黑体" w:cs="Times New Roman"/>
                <w:color w:val="000000"/>
              </w:rPr>
              <w:t>3-</w:t>
            </w:r>
            <w:r>
              <w:rPr>
                <w:color w:val="000000"/>
              </w:rPr>
              <w:t>氯</w:t>
            </w:r>
            <w:r>
              <w:rPr>
                <w:rFonts w:ascii="Times New Roman" w:hAnsi="Times New Roman" w:eastAsia="黑体" w:cs="Times New Roman"/>
                <w:color w:val="000000"/>
              </w:rPr>
              <w:t>-1,2-</w:t>
            </w:r>
            <w:r>
              <w:rPr>
                <w:color w:val="000000"/>
              </w:rPr>
              <w:t>丙二醇</w:t>
            </w:r>
          </w:p>
        </w:tc>
        <w:tc>
          <w:tcPr>
            <w:tcW w:w="4820" w:type="dxa"/>
            <w:noWrap w:val="0"/>
            <w:vAlign w:val="center"/>
          </w:tcPr>
          <w:p w14:paraId="3466EF15">
            <w:pPr>
              <w:jc w:val="center"/>
              <w:rPr>
                <w:rFonts w:hint="eastAsia" w:ascii="Times New Roman" w:hAnsi="Times New Roman" w:cs="Times New Roman"/>
                <w:szCs w:val="21"/>
              </w:rPr>
            </w:pPr>
            <w:r>
              <w:rPr>
                <w:rFonts w:hint="eastAsia" w:ascii="Times New Roman" w:hAnsi="Times New Roman" w:cs="Times New Roman"/>
                <w:szCs w:val="21"/>
              </w:rPr>
              <w:t>GB 4806.8</w:t>
            </w:r>
            <w:r>
              <w:rPr>
                <w:rFonts w:hint="eastAsia" w:ascii="Times New Roman" w:hAnsi="Times New Roman" w:cs="Times New Roman"/>
                <w:szCs w:val="21"/>
                <w:lang w:val="en-US" w:eastAsia="zh-CN"/>
              </w:rPr>
              <w:t>-</w:t>
            </w:r>
            <w:r>
              <w:rPr>
                <w:rFonts w:hint="eastAsia" w:ascii="Times New Roman" w:hAnsi="Times New Roman" w:cs="Times New Roman"/>
                <w:szCs w:val="21"/>
              </w:rPr>
              <w:t>2022</w:t>
            </w:r>
          </w:p>
        </w:tc>
      </w:tr>
      <w:tr w14:paraId="25A6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1C2E3806">
            <w:pPr>
              <w:snapToGrid w:val="0"/>
              <w:spacing w:before="160" w:line="440" w:lineRule="exact"/>
              <w:jc w:val="center"/>
              <w:rPr>
                <w:rFonts w:ascii="Times New Roman" w:hAnsi="Times New Roman" w:eastAsia="黑体" w:cs="Times New Roman"/>
                <w:color w:val="000000"/>
              </w:rPr>
            </w:pPr>
            <w:r>
              <w:rPr>
                <w:rFonts w:ascii="Times New Roman" w:hAnsi="Times New Roman" w:eastAsia="黑体" w:cs="Times New Roman"/>
                <w:color w:val="000000"/>
              </w:rPr>
              <w:t>8</w:t>
            </w:r>
          </w:p>
        </w:tc>
        <w:tc>
          <w:tcPr>
            <w:tcW w:w="3445" w:type="dxa"/>
            <w:noWrap w:val="0"/>
            <w:vAlign w:val="center"/>
          </w:tcPr>
          <w:p w14:paraId="7948E459">
            <w:pPr>
              <w:adjustRightInd w:val="0"/>
              <w:snapToGrid w:val="0"/>
              <w:spacing w:before="62" w:beforeLines="20" w:after="62" w:afterLines="20"/>
              <w:jc w:val="center"/>
              <w:rPr>
                <w:color w:val="000000"/>
              </w:rPr>
            </w:pPr>
            <w:r>
              <w:rPr>
                <w:color w:val="000000"/>
              </w:rPr>
              <w:t>总迁移量</w:t>
            </w:r>
          </w:p>
        </w:tc>
        <w:tc>
          <w:tcPr>
            <w:tcW w:w="4820" w:type="dxa"/>
            <w:noWrap w:val="0"/>
            <w:vAlign w:val="center"/>
          </w:tcPr>
          <w:p w14:paraId="34A63B97">
            <w:pPr>
              <w:jc w:val="center"/>
              <w:rPr>
                <w:rFonts w:hint="eastAsia" w:ascii="Times New Roman" w:hAnsi="Times New Roman" w:cs="Times New Roman"/>
                <w:szCs w:val="21"/>
              </w:rPr>
            </w:pPr>
            <w:r>
              <w:rPr>
                <w:rFonts w:hint="eastAsia" w:ascii="Times New Roman" w:hAnsi="Times New Roman" w:cs="Times New Roman"/>
                <w:szCs w:val="21"/>
              </w:rPr>
              <w:t>GB 31604.8</w:t>
            </w:r>
            <w:r>
              <w:rPr>
                <w:rFonts w:hint="eastAsia" w:ascii="Times New Roman" w:hAnsi="Times New Roman" w:cs="Times New Roman"/>
                <w:szCs w:val="21"/>
                <w:lang w:val="en-US" w:eastAsia="zh-CN"/>
              </w:rPr>
              <w:t>-</w:t>
            </w:r>
            <w:r>
              <w:rPr>
                <w:rFonts w:hint="eastAsia" w:ascii="Times New Roman" w:hAnsi="Times New Roman" w:cs="Times New Roman"/>
                <w:szCs w:val="21"/>
              </w:rPr>
              <w:t>2021</w:t>
            </w:r>
          </w:p>
        </w:tc>
      </w:tr>
      <w:tr w14:paraId="7B68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1F296AFC">
            <w:pPr>
              <w:snapToGrid w:val="0"/>
              <w:spacing w:before="160" w:line="440" w:lineRule="exact"/>
              <w:jc w:val="center"/>
              <w:rPr>
                <w:rFonts w:hint="eastAsia" w:ascii="Times New Roman" w:hAnsi="Times New Roman" w:eastAsia="黑体" w:cs="Times New Roman"/>
                <w:color w:val="000000"/>
                <w:lang w:eastAsia="zh-CN"/>
              </w:rPr>
            </w:pPr>
            <w:r>
              <w:rPr>
                <w:rFonts w:hint="eastAsia" w:ascii="Times New Roman" w:hAnsi="Times New Roman" w:eastAsia="黑体" w:cs="Times New Roman"/>
                <w:color w:val="000000"/>
                <w:lang w:val="en-US" w:eastAsia="zh-CN"/>
              </w:rPr>
              <w:t>9</w:t>
            </w:r>
          </w:p>
        </w:tc>
        <w:tc>
          <w:tcPr>
            <w:tcW w:w="3445" w:type="dxa"/>
            <w:noWrap w:val="0"/>
            <w:vAlign w:val="center"/>
          </w:tcPr>
          <w:p w14:paraId="6F57BA42">
            <w:pPr>
              <w:adjustRightInd w:val="0"/>
              <w:snapToGrid w:val="0"/>
              <w:spacing w:before="62" w:beforeLines="20" w:after="62" w:afterLines="20"/>
              <w:jc w:val="center"/>
              <w:rPr>
                <w:color w:val="000000"/>
              </w:rPr>
            </w:pPr>
            <w:r>
              <w:rPr>
                <w:color w:val="000000"/>
              </w:rPr>
              <w:t>重金属（以Pb计）</w:t>
            </w:r>
          </w:p>
        </w:tc>
        <w:tc>
          <w:tcPr>
            <w:tcW w:w="4820" w:type="dxa"/>
            <w:noWrap w:val="0"/>
            <w:vAlign w:val="center"/>
          </w:tcPr>
          <w:p w14:paraId="431761C7">
            <w:pPr>
              <w:jc w:val="center"/>
              <w:rPr>
                <w:rFonts w:hint="eastAsia" w:ascii="Times New Roman" w:hAnsi="Times New Roman" w:cs="Times New Roman"/>
                <w:szCs w:val="21"/>
              </w:rPr>
            </w:pPr>
            <w:r>
              <w:rPr>
                <w:rFonts w:hint="eastAsia" w:ascii="Times New Roman" w:hAnsi="Times New Roman" w:cs="Times New Roman"/>
                <w:szCs w:val="21"/>
              </w:rPr>
              <w:t>GB 31604.9</w:t>
            </w:r>
            <w:r>
              <w:rPr>
                <w:rFonts w:hint="eastAsia" w:ascii="Times New Roman" w:hAnsi="Times New Roman" w:cs="Times New Roman"/>
                <w:szCs w:val="21"/>
                <w:lang w:val="en-US" w:eastAsia="zh-CN"/>
              </w:rPr>
              <w:t>-</w:t>
            </w:r>
            <w:r>
              <w:rPr>
                <w:rFonts w:hint="eastAsia" w:ascii="Times New Roman" w:hAnsi="Times New Roman" w:cs="Times New Roman"/>
                <w:szCs w:val="21"/>
              </w:rPr>
              <w:t>2016</w:t>
            </w:r>
          </w:p>
        </w:tc>
      </w:tr>
      <w:tr w14:paraId="4595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4825C9E5">
            <w:pPr>
              <w:snapToGrid w:val="0"/>
              <w:spacing w:before="160" w:line="440" w:lineRule="exact"/>
              <w:jc w:val="center"/>
              <w:rPr>
                <w:rFonts w:hint="eastAsia" w:ascii="Times New Roman" w:hAnsi="Times New Roman" w:eastAsia="黑体" w:cs="Times New Roman"/>
                <w:color w:val="000000"/>
                <w:lang w:eastAsia="zh-CN"/>
              </w:rPr>
            </w:pPr>
            <w:r>
              <w:rPr>
                <w:rFonts w:ascii="Times New Roman" w:hAnsi="Times New Roman" w:eastAsia="黑体" w:cs="Times New Roman"/>
                <w:color w:val="000000"/>
              </w:rPr>
              <w:t>1</w:t>
            </w:r>
            <w:r>
              <w:rPr>
                <w:rFonts w:hint="eastAsia" w:ascii="Times New Roman" w:hAnsi="Times New Roman" w:eastAsia="黑体" w:cs="Times New Roman"/>
                <w:color w:val="000000"/>
                <w:lang w:val="en-US" w:eastAsia="zh-CN"/>
              </w:rPr>
              <w:t>0</w:t>
            </w:r>
          </w:p>
        </w:tc>
        <w:tc>
          <w:tcPr>
            <w:tcW w:w="3445" w:type="dxa"/>
            <w:noWrap w:val="0"/>
            <w:vAlign w:val="center"/>
          </w:tcPr>
          <w:p w14:paraId="62ECB8EC">
            <w:pPr>
              <w:adjustRightInd w:val="0"/>
              <w:snapToGrid w:val="0"/>
              <w:spacing w:before="62" w:beforeLines="20" w:after="62" w:afterLines="20"/>
              <w:jc w:val="center"/>
              <w:rPr>
                <w:color w:val="000000"/>
              </w:rPr>
            </w:pPr>
            <w:r>
              <w:rPr>
                <w:color w:val="000000"/>
              </w:rPr>
              <w:t>大肠菌群</w:t>
            </w:r>
          </w:p>
        </w:tc>
        <w:tc>
          <w:tcPr>
            <w:tcW w:w="4820" w:type="dxa"/>
            <w:noWrap w:val="0"/>
            <w:vAlign w:val="center"/>
          </w:tcPr>
          <w:p w14:paraId="5ACA1537">
            <w:pPr>
              <w:jc w:val="center"/>
              <w:rPr>
                <w:rFonts w:hint="eastAsia" w:ascii="Times New Roman" w:hAnsi="Times New Roman" w:cs="Times New Roman"/>
                <w:szCs w:val="21"/>
              </w:rPr>
            </w:pPr>
            <w:r>
              <w:rPr>
                <w:rFonts w:hint="eastAsia" w:ascii="Times New Roman" w:hAnsi="Times New Roman" w:cs="Times New Roman"/>
                <w:szCs w:val="21"/>
              </w:rPr>
              <w:t>GB 14934</w:t>
            </w:r>
            <w:r>
              <w:rPr>
                <w:rFonts w:hint="eastAsia" w:ascii="Times New Roman" w:hAnsi="Times New Roman" w:cs="Times New Roman"/>
                <w:szCs w:val="21"/>
                <w:lang w:val="en-US" w:eastAsia="zh-CN"/>
              </w:rPr>
              <w:t>-</w:t>
            </w:r>
            <w:r>
              <w:rPr>
                <w:rFonts w:hint="eastAsia" w:ascii="Times New Roman" w:hAnsi="Times New Roman" w:cs="Times New Roman"/>
                <w:szCs w:val="21"/>
              </w:rPr>
              <w:t>2016 附录B</w:t>
            </w:r>
          </w:p>
        </w:tc>
      </w:tr>
      <w:tr w14:paraId="2658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0F46CBCB">
            <w:pPr>
              <w:snapToGrid w:val="0"/>
              <w:spacing w:before="160" w:line="440" w:lineRule="exact"/>
              <w:jc w:val="center"/>
              <w:rPr>
                <w:rFonts w:hint="eastAsia" w:ascii="Times New Roman" w:hAnsi="Times New Roman" w:eastAsia="黑体" w:cs="Times New Roman"/>
                <w:color w:val="000000"/>
                <w:lang w:eastAsia="zh-CN"/>
              </w:rPr>
            </w:pPr>
            <w:r>
              <w:rPr>
                <w:rFonts w:ascii="Times New Roman" w:hAnsi="Times New Roman" w:eastAsia="黑体" w:cs="Times New Roman"/>
                <w:color w:val="000000"/>
              </w:rPr>
              <w:t>1</w:t>
            </w:r>
            <w:r>
              <w:rPr>
                <w:rFonts w:hint="eastAsia" w:ascii="Times New Roman" w:hAnsi="Times New Roman" w:eastAsia="黑体" w:cs="Times New Roman"/>
                <w:color w:val="000000"/>
                <w:lang w:val="en-US" w:eastAsia="zh-CN"/>
              </w:rPr>
              <w:t>1</w:t>
            </w:r>
          </w:p>
        </w:tc>
        <w:tc>
          <w:tcPr>
            <w:tcW w:w="3445" w:type="dxa"/>
            <w:noWrap w:val="0"/>
            <w:vAlign w:val="center"/>
          </w:tcPr>
          <w:p w14:paraId="34DAB129">
            <w:pPr>
              <w:adjustRightInd w:val="0"/>
              <w:snapToGrid w:val="0"/>
              <w:spacing w:before="62" w:beforeLines="20" w:after="62" w:afterLines="20"/>
              <w:jc w:val="center"/>
              <w:rPr>
                <w:color w:val="000000"/>
              </w:rPr>
            </w:pPr>
            <w:r>
              <w:rPr>
                <w:color w:val="000000"/>
              </w:rPr>
              <w:t>沙门氏菌</w:t>
            </w:r>
          </w:p>
        </w:tc>
        <w:tc>
          <w:tcPr>
            <w:tcW w:w="4820" w:type="dxa"/>
            <w:noWrap w:val="0"/>
            <w:vAlign w:val="center"/>
          </w:tcPr>
          <w:p w14:paraId="5DDBC3E2">
            <w:pPr>
              <w:jc w:val="center"/>
              <w:rPr>
                <w:rFonts w:hint="eastAsia" w:ascii="Times New Roman" w:hAnsi="Times New Roman" w:cs="Times New Roman"/>
                <w:szCs w:val="21"/>
              </w:rPr>
            </w:pPr>
            <w:r>
              <w:rPr>
                <w:rFonts w:hint="eastAsia" w:ascii="Times New Roman" w:hAnsi="Times New Roman" w:cs="Times New Roman"/>
                <w:szCs w:val="21"/>
              </w:rPr>
              <w:t>GB 14934</w:t>
            </w:r>
            <w:r>
              <w:rPr>
                <w:rFonts w:hint="eastAsia" w:ascii="Times New Roman" w:hAnsi="Times New Roman" w:cs="Times New Roman"/>
                <w:szCs w:val="21"/>
                <w:lang w:val="en-US" w:eastAsia="zh-CN"/>
              </w:rPr>
              <w:t>-</w:t>
            </w:r>
            <w:r>
              <w:rPr>
                <w:rFonts w:hint="eastAsia" w:ascii="Times New Roman" w:hAnsi="Times New Roman" w:cs="Times New Roman"/>
                <w:szCs w:val="21"/>
              </w:rPr>
              <w:t>2016 附录C</w:t>
            </w:r>
          </w:p>
        </w:tc>
      </w:tr>
      <w:tr w14:paraId="7268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7EFAA15D">
            <w:pPr>
              <w:snapToGrid w:val="0"/>
              <w:spacing w:before="160" w:line="440" w:lineRule="exact"/>
              <w:jc w:val="center"/>
              <w:rPr>
                <w:rFonts w:hint="eastAsia" w:ascii="Times New Roman" w:hAnsi="Times New Roman" w:eastAsia="黑体" w:cs="Times New Roman"/>
                <w:color w:val="000000"/>
                <w:lang w:eastAsia="zh-CN"/>
              </w:rPr>
            </w:pPr>
            <w:r>
              <w:rPr>
                <w:rFonts w:ascii="Times New Roman" w:hAnsi="Times New Roman" w:eastAsia="黑体" w:cs="Times New Roman"/>
                <w:color w:val="000000"/>
              </w:rPr>
              <w:t>1</w:t>
            </w:r>
            <w:r>
              <w:rPr>
                <w:rFonts w:hint="eastAsia" w:ascii="Times New Roman" w:hAnsi="Times New Roman" w:eastAsia="黑体" w:cs="Times New Roman"/>
                <w:color w:val="000000"/>
                <w:lang w:val="en-US" w:eastAsia="zh-CN"/>
              </w:rPr>
              <w:t>2</w:t>
            </w:r>
          </w:p>
        </w:tc>
        <w:tc>
          <w:tcPr>
            <w:tcW w:w="3445" w:type="dxa"/>
            <w:noWrap w:val="0"/>
            <w:vAlign w:val="center"/>
          </w:tcPr>
          <w:p w14:paraId="1AD8A08F">
            <w:pPr>
              <w:adjustRightInd w:val="0"/>
              <w:snapToGrid w:val="0"/>
              <w:spacing w:before="62" w:beforeLines="20" w:after="62" w:afterLines="20"/>
              <w:jc w:val="center"/>
              <w:rPr>
                <w:color w:val="000000"/>
              </w:rPr>
            </w:pPr>
            <w:r>
              <w:rPr>
                <w:color w:val="000000"/>
              </w:rPr>
              <w:t>霉菌</w:t>
            </w:r>
          </w:p>
        </w:tc>
        <w:tc>
          <w:tcPr>
            <w:tcW w:w="4820" w:type="dxa"/>
            <w:noWrap w:val="0"/>
            <w:vAlign w:val="center"/>
          </w:tcPr>
          <w:p w14:paraId="42BBEFE1">
            <w:pPr>
              <w:jc w:val="center"/>
              <w:rPr>
                <w:rFonts w:hint="eastAsia" w:ascii="Times New Roman" w:hAnsi="Times New Roman" w:cs="Times New Roman"/>
                <w:szCs w:val="21"/>
              </w:rPr>
            </w:pPr>
            <w:r>
              <w:rPr>
                <w:rFonts w:hint="eastAsia" w:ascii="Times New Roman" w:hAnsi="Times New Roman" w:cs="Times New Roman"/>
                <w:szCs w:val="21"/>
              </w:rPr>
              <w:t>GB 4806.8</w:t>
            </w:r>
            <w:r>
              <w:rPr>
                <w:rFonts w:hint="eastAsia" w:ascii="Times New Roman" w:hAnsi="Times New Roman" w:cs="Times New Roman"/>
                <w:szCs w:val="21"/>
                <w:lang w:val="en-US" w:eastAsia="zh-CN"/>
              </w:rPr>
              <w:t>-</w:t>
            </w:r>
            <w:r>
              <w:rPr>
                <w:rFonts w:hint="eastAsia" w:ascii="Times New Roman" w:hAnsi="Times New Roman" w:cs="Times New Roman"/>
                <w:szCs w:val="21"/>
              </w:rPr>
              <w:t>2022</w:t>
            </w:r>
          </w:p>
          <w:p w14:paraId="63CD2648">
            <w:pPr>
              <w:jc w:val="center"/>
              <w:rPr>
                <w:rFonts w:hint="eastAsia" w:ascii="Times New Roman" w:hAnsi="Times New Roman" w:cs="Times New Roman"/>
                <w:szCs w:val="21"/>
              </w:rPr>
            </w:pPr>
            <w:r>
              <w:rPr>
                <w:rFonts w:hint="eastAsia" w:ascii="Times New Roman" w:hAnsi="Times New Roman" w:cs="Times New Roman"/>
                <w:szCs w:val="21"/>
              </w:rPr>
              <w:t>GB 4789.15</w:t>
            </w:r>
            <w:r>
              <w:rPr>
                <w:rFonts w:hint="eastAsia" w:ascii="Times New Roman" w:hAnsi="Times New Roman" w:cs="Times New Roman"/>
                <w:szCs w:val="21"/>
                <w:lang w:val="en-US" w:eastAsia="zh-CN"/>
              </w:rPr>
              <w:t>-</w:t>
            </w:r>
            <w:r>
              <w:rPr>
                <w:rFonts w:hint="eastAsia" w:ascii="Times New Roman" w:hAnsi="Times New Roman" w:cs="Times New Roman"/>
                <w:szCs w:val="21"/>
              </w:rPr>
              <w:t>2016</w:t>
            </w:r>
          </w:p>
        </w:tc>
      </w:tr>
    </w:tbl>
    <w:p w14:paraId="076DB70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rPr>
          <w:szCs w:val="21"/>
        </w:rPr>
      </w:pPr>
    </w:p>
    <w:p w14:paraId="208D65B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rPr>
          <w:szCs w:val="21"/>
        </w:rPr>
      </w:pPr>
      <w:r>
        <w:rPr>
          <w:szCs w:val="21"/>
        </w:rPr>
        <w:t>执行</w:t>
      </w:r>
      <w:r>
        <w:rPr>
          <w:rFonts w:hint="eastAsia"/>
          <w:szCs w:val="21"/>
        </w:rPr>
        <w:t>其他标准</w:t>
      </w:r>
      <w:r>
        <w:rPr>
          <w:szCs w:val="21"/>
        </w:rPr>
        <w:t>的产品，检验项目参照上述内容执行。</w:t>
      </w:r>
    </w:p>
    <w:p w14:paraId="35297A77">
      <w:pPr>
        <w:keepNext w:val="0"/>
        <w:keepLines w:val="0"/>
        <w:pageBreakBefore w:val="0"/>
        <w:widowControl w:val="0"/>
        <w:kinsoku/>
        <w:wordWrap/>
        <w:overflowPunct/>
        <w:topLinePunct w:val="0"/>
        <w:autoSpaceDE/>
        <w:autoSpaceDN/>
        <w:bidi w:val="0"/>
        <w:snapToGrid w:val="0"/>
        <w:spacing w:line="440" w:lineRule="exact"/>
        <w:ind w:firstLine="359" w:firstLineChars="171"/>
        <w:rPr>
          <w:rFonts w:hint="eastAsia"/>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1ACE4851">
      <w:pPr>
        <w:keepNext w:val="0"/>
        <w:keepLines w:val="0"/>
        <w:pageBreakBefore w:val="0"/>
        <w:widowControl w:val="0"/>
        <w:kinsoku/>
        <w:wordWrap/>
        <w:overflowPunct/>
        <w:topLinePunct w:val="0"/>
        <w:autoSpaceDE/>
        <w:autoSpaceDN/>
        <w:bidi w:val="0"/>
        <w:snapToGrid w:val="0"/>
        <w:spacing w:line="440" w:lineRule="exact"/>
        <w:ind w:firstLine="359" w:firstLineChars="171"/>
        <w:textAlignment w:val="auto"/>
        <w:rPr>
          <w:rFonts w:ascii="Times New Roman"/>
          <w:color w:val="000000"/>
          <w:sz w:val="21"/>
          <w:szCs w:val="21"/>
        </w:rPr>
      </w:pPr>
      <w:r>
        <w:rPr>
          <w:rFonts w:hint="eastAsia"/>
          <w:color w:val="000000"/>
          <w:szCs w:val="21"/>
        </w:rPr>
        <w:t>复检时所检测的样品为备用样品，</w:t>
      </w:r>
      <w:r>
        <w:rPr>
          <w:rFonts w:ascii="Times New Roman"/>
          <w:color w:val="000000"/>
          <w:sz w:val="21"/>
          <w:szCs w:val="21"/>
        </w:rPr>
        <w:t>依据GB 4789.1—2016 《食品安全国家标准 食品微生物学检验 总则》第7.3条规定“检验结果报告后，剩余样品和同批产品不进行微生物项目的复检”，微生物指标不合格不进行复检。</w:t>
      </w:r>
    </w:p>
    <w:p w14:paraId="793CA09C">
      <w:pPr>
        <w:keepNext w:val="0"/>
        <w:keepLines w:val="0"/>
        <w:pageBreakBefore w:val="0"/>
        <w:widowControl w:val="0"/>
        <w:kinsoku/>
        <w:wordWrap/>
        <w:overflowPunct/>
        <w:topLinePunct w:val="0"/>
        <w:autoSpaceDE/>
        <w:autoSpaceDN/>
        <w:bidi w:val="0"/>
        <w:snapToGrid w:val="0"/>
        <w:spacing w:line="440" w:lineRule="exact"/>
        <w:ind w:firstLine="359" w:firstLineChars="171"/>
        <w:textAlignment w:val="auto"/>
        <w:rPr>
          <w:rFonts w:ascii="Times New Roman" w:hAnsi="Times New Roman" w:cs="Times New Roman"/>
          <w:color w:val="000000"/>
        </w:rPr>
      </w:pPr>
    </w:p>
    <w:p w14:paraId="30F1E912">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eastAsia="黑体" w:cs="Times New Roman"/>
          <w:color w:val="000000"/>
        </w:rPr>
      </w:pPr>
      <w:r>
        <w:rPr>
          <w:rFonts w:ascii="Times New Roman" w:hAnsi="Times New Roman" w:eastAsia="黑体" w:cs="Times New Roman"/>
          <w:color w:val="000000"/>
        </w:rPr>
        <w:t>3 判定规则</w:t>
      </w:r>
    </w:p>
    <w:p w14:paraId="4BC2CE68">
      <w:pPr>
        <w:keepNext w:val="0"/>
        <w:keepLines w:val="0"/>
        <w:pageBreakBefore w:val="0"/>
        <w:widowControl w:val="0"/>
        <w:kinsoku/>
        <w:wordWrap/>
        <w:overflowPunct/>
        <w:topLinePunct w:val="0"/>
        <w:autoSpaceDE/>
        <w:autoSpaceDN/>
        <w:bidi w:val="0"/>
        <w:snapToGrid w:val="0"/>
        <w:spacing w:line="440" w:lineRule="exact"/>
        <w:textAlignment w:val="auto"/>
        <w:rPr>
          <w:rFonts w:ascii="Times New Roman" w:hAnsi="Times New Roman" w:cs="Times New Roman"/>
          <w:color w:val="000000"/>
        </w:rPr>
      </w:pPr>
      <w:r>
        <w:rPr>
          <w:rFonts w:ascii="Times New Roman" w:hAnsi="Times New Roman" w:cs="Times New Roman"/>
          <w:color w:val="000000"/>
        </w:rPr>
        <w:t>3.1依据标准</w:t>
      </w:r>
    </w:p>
    <w:p w14:paraId="19CEA2A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Times New Roman" w:hAnsi="Times New Roman" w:cs="Times New Roman"/>
          <w:color w:val="auto"/>
        </w:rPr>
      </w:pPr>
      <w:r>
        <w:rPr>
          <w:rFonts w:ascii="Times New Roman" w:hAnsi="Times New Roman" w:cs="Times New Roman"/>
          <w:color w:val="auto"/>
        </w:rPr>
        <w:t>GB 4806.8</w:t>
      </w:r>
      <w:r>
        <w:rPr>
          <w:rFonts w:hint="eastAsia" w:ascii="Times New Roman" w:hAnsi="Times New Roman" w:cs="Times New Roman"/>
          <w:color w:val="auto"/>
          <w:lang w:val="en-US" w:eastAsia="zh-CN"/>
        </w:rPr>
        <w:t>-</w:t>
      </w:r>
      <w:r>
        <w:rPr>
          <w:rFonts w:ascii="Times New Roman" w:hAnsi="Times New Roman" w:cs="Times New Roman"/>
          <w:color w:val="auto"/>
        </w:rPr>
        <w:t>20</w:t>
      </w:r>
      <w:r>
        <w:rPr>
          <w:rFonts w:hint="eastAsia" w:ascii="Times New Roman" w:hAnsi="Times New Roman" w:cs="Times New Roman"/>
          <w:color w:val="auto"/>
          <w:lang w:val="en-US" w:eastAsia="zh-CN"/>
        </w:rPr>
        <w:t>22</w:t>
      </w:r>
      <w:r>
        <w:rPr>
          <w:rFonts w:ascii="Times New Roman" w:hAnsi="Times New Roman" w:cs="Times New Roman"/>
          <w:color w:val="auto"/>
        </w:rPr>
        <w:t xml:space="preserve"> 食品安全国家标准 食品接触用纸和纸板材料及制品</w:t>
      </w:r>
    </w:p>
    <w:p w14:paraId="3B18F475">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ascii="Times New Roman" w:hAnsi="Times New Roman" w:eastAsia="宋体" w:cs="Times New Roman"/>
          <w:color w:val="000000"/>
        </w:rPr>
      </w:pPr>
      <w:r>
        <w:rPr>
          <w:rFonts w:ascii="Times New Roman" w:hAnsi="Times New Roman" w:eastAsia="宋体" w:cs="Times New Roman"/>
          <w:color w:val="000000"/>
        </w:rPr>
        <w:t>现行有效的</w:t>
      </w:r>
      <w:r>
        <w:rPr>
          <w:rFonts w:hint="eastAsia" w:ascii="Times New Roman" w:hAnsi="Times New Roman" w:eastAsia="宋体" w:cs="Times New Roman"/>
          <w:color w:val="000000"/>
        </w:rPr>
        <w:t>其他</w:t>
      </w:r>
      <w:r>
        <w:rPr>
          <w:rFonts w:ascii="Times New Roman" w:hAnsi="Times New Roman" w:eastAsia="宋体" w:cs="Times New Roman"/>
          <w:color w:val="000000"/>
        </w:rPr>
        <w:t>标准及产品明示质量要求</w:t>
      </w:r>
    </w:p>
    <w:p w14:paraId="5C16AEB6">
      <w:pPr>
        <w:keepNext w:val="0"/>
        <w:keepLines w:val="0"/>
        <w:pageBreakBefore w:val="0"/>
        <w:widowControl w:val="0"/>
        <w:kinsoku/>
        <w:wordWrap/>
        <w:overflowPunct/>
        <w:topLinePunct w:val="0"/>
        <w:autoSpaceDE/>
        <w:autoSpaceDN/>
        <w:bidi w:val="0"/>
        <w:snapToGrid w:val="0"/>
        <w:spacing w:line="440" w:lineRule="exact"/>
        <w:textAlignment w:val="auto"/>
        <w:rPr>
          <w:rFonts w:ascii="Times New Roman" w:hAnsi="Times New Roman" w:cs="Times New Roman"/>
          <w:color w:val="000000"/>
        </w:rPr>
      </w:pPr>
    </w:p>
    <w:p w14:paraId="77D0384C">
      <w:pPr>
        <w:adjustRightInd w:val="0"/>
        <w:snapToGrid w:val="0"/>
        <w:spacing w:line="440" w:lineRule="exact"/>
        <w:jc w:val="left"/>
        <w:rPr>
          <w:rFonts w:hint="eastAsia" w:hAnsi="宋体"/>
        </w:rPr>
      </w:pPr>
      <w:r>
        <w:rPr>
          <w:rFonts w:hint="eastAsia" w:ascii="Times New Roman" w:hAnsi="Times New Roman" w:cs="Times New Roman"/>
          <w:color w:val="auto"/>
        </w:rPr>
        <w:t>3.2</w:t>
      </w:r>
      <w:r>
        <w:rPr>
          <w:rFonts w:hint="eastAsia" w:hAnsi="宋体"/>
        </w:rPr>
        <w:t>判定原则</w:t>
      </w:r>
    </w:p>
    <w:p w14:paraId="0E146437">
      <w:pPr>
        <w:adjustRightInd w:val="0"/>
        <w:snapToGrid w:val="0"/>
        <w:spacing w:line="440" w:lineRule="exact"/>
        <w:ind w:firstLine="420" w:firstLineChars="200"/>
        <w:jc w:val="left"/>
        <w:rPr>
          <w:rFonts w:hint="eastAsia" w:hAnsi="宋体"/>
        </w:rPr>
      </w:pPr>
      <w:r>
        <w:rPr>
          <w:rFonts w:hint="eastAsia" w:hAnsi="宋体"/>
        </w:rPr>
        <w:t>若被检产品明示的质量要求高于本细则中检验项目依据的标准要求时，应按被检产品明示的质量要求判定。</w:t>
      </w:r>
    </w:p>
    <w:p w14:paraId="2910E305">
      <w:pPr>
        <w:adjustRightInd w:val="0"/>
        <w:snapToGrid w:val="0"/>
        <w:spacing w:line="440" w:lineRule="exact"/>
        <w:ind w:firstLine="420" w:firstLineChars="200"/>
        <w:jc w:val="left"/>
        <w:rPr>
          <w:rFonts w:hint="eastAsia" w:hAnsi="宋体"/>
        </w:rPr>
      </w:pPr>
      <w:r>
        <w:rPr>
          <w:rFonts w:hint="eastAsia" w:hAnsi="宋体"/>
        </w:rPr>
        <w:t>若被检产品明示的质量要求低于本细则中检验项目依据的强制性标准要求时，应按照强制性标准要求判定。</w:t>
      </w:r>
    </w:p>
    <w:p w14:paraId="765B3D71">
      <w:pPr>
        <w:adjustRightInd w:val="0"/>
        <w:snapToGrid w:val="0"/>
        <w:spacing w:line="440" w:lineRule="exact"/>
        <w:ind w:firstLine="420" w:firstLineChars="200"/>
        <w:jc w:val="left"/>
        <w:rPr>
          <w:rFonts w:hint="eastAsia" w:hAnsi="宋体"/>
        </w:rPr>
      </w:pPr>
      <w:r>
        <w:rPr>
          <w:rFonts w:hint="eastAsia" w:hAnsi="宋体"/>
        </w:rPr>
        <w:t>若被检产品明示的质量要求低于或包含本细则中检验项目依据的推荐性标准要求时，应以被检产品明示的质量要求判定。但应在检验报告中注明该项目的实测值以及推荐性标准的标准值。</w:t>
      </w:r>
    </w:p>
    <w:p w14:paraId="0DBE9C17">
      <w:pPr>
        <w:adjustRightInd w:val="0"/>
        <w:snapToGrid w:val="0"/>
        <w:spacing w:line="440" w:lineRule="exact"/>
        <w:ind w:firstLine="420" w:firstLineChars="200"/>
        <w:jc w:val="left"/>
        <w:rPr>
          <w:rFonts w:hint="eastAsia" w:hAnsi="宋体"/>
        </w:rPr>
      </w:pPr>
      <w:r>
        <w:rPr>
          <w:rFonts w:hint="eastAsia" w:hAnsi="宋体"/>
        </w:rPr>
        <w:t>若被检产品明示的质量要求缺少本细则中检验项目依据的强制性标准要求时，应按照强制性标准要求判定。</w:t>
      </w:r>
    </w:p>
    <w:p w14:paraId="5FE75EB1">
      <w:pPr>
        <w:adjustRightInd w:val="0"/>
        <w:snapToGrid w:val="0"/>
        <w:spacing w:line="440" w:lineRule="exact"/>
        <w:ind w:firstLine="420" w:firstLineChars="200"/>
        <w:jc w:val="left"/>
        <w:rPr>
          <w:rFonts w:hAnsi="宋体"/>
        </w:rPr>
      </w:pPr>
      <w:r>
        <w:rPr>
          <w:rFonts w:hint="eastAsia" w:hAnsi="宋体"/>
        </w:rPr>
        <w:t>若被检产品明示的质量要求缺少本细则中检验项目依据的推荐性标准要求时，该项目不参与判定。但应在检验报告中注明该项目的实测值以及推荐性标准的标准值。</w:t>
      </w:r>
    </w:p>
    <w:p w14:paraId="4EDC4AAA">
      <w:pPr>
        <w:adjustRightInd w:val="0"/>
        <w:snapToGrid w:val="0"/>
        <w:spacing w:line="440" w:lineRule="exact"/>
        <w:jc w:val="left"/>
        <w:rPr>
          <w:rFonts w:hint="eastAsia" w:hAnsi="宋体"/>
        </w:rPr>
      </w:pPr>
    </w:p>
    <w:p w14:paraId="198FE08C">
      <w:pPr>
        <w:adjustRightInd w:val="0"/>
        <w:snapToGrid w:val="0"/>
        <w:spacing w:line="440" w:lineRule="exact"/>
        <w:jc w:val="left"/>
        <w:rPr>
          <w:rFonts w:hint="eastAsia" w:hAnsi="宋体"/>
        </w:rPr>
      </w:pPr>
      <w:r>
        <w:rPr>
          <w:rFonts w:hint="eastAsia" w:ascii="Times New Roman" w:hAnsi="Times New Roman" w:cs="Times New Roman"/>
          <w:color w:val="auto"/>
        </w:rPr>
        <w:t>3.3</w:t>
      </w:r>
      <w:r>
        <w:rPr>
          <w:rFonts w:hAnsi="宋体"/>
        </w:rPr>
        <w:t xml:space="preserve"> </w:t>
      </w:r>
      <w:r>
        <w:rPr>
          <w:rFonts w:hint="eastAsia" w:hAnsi="宋体"/>
        </w:rPr>
        <w:t>综合结论判定</w:t>
      </w:r>
    </w:p>
    <w:p w14:paraId="0B80D547">
      <w:pPr>
        <w:adjustRightInd w:val="0"/>
        <w:snapToGrid w:val="0"/>
        <w:spacing w:line="440" w:lineRule="exact"/>
        <w:ind w:firstLine="420" w:firstLineChars="200"/>
        <w:rPr>
          <w:rFonts w:hint="eastAsia"/>
          <w:color w:val="000000"/>
          <w:szCs w:val="21"/>
        </w:rPr>
      </w:pPr>
      <w:r>
        <w:rPr>
          <w:rFonts w:hint="eastAsia"/>
          <w:color w:val="000000"/>
          <w:szCs w:val="21"/>
        </w:rPr>
        <w:t>经检验，检验项目中任一项或一项以上不合格，判定被抽查产品为“不合格”。</w:t>
      </w:r>
    </w:p>
    <w:p w14:paraId="44474A84">
      <w:pPr>
        <w:adjustRightInd w:val="0"/>
        <w:snapToGrid w:val="0"/>
        <w:spacing w:line="440" w:lineRule="exact"/>
        <w:ind w:firstLine="420" w:firstLineChars="200"/>
        <w:rPr>
          <w:rFonts w:hint="eastAsia"/>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6792FC4C">
      <w:pPr>
        <w:adjustRightInd w:val="0"/>
        <w:snapToGrid w:val="0"/>
        <w:spacing w:line="440" w:lineRule="exact"/>
        <w:ind w:firstLine="420" w:firstLineChars="200"/>
        <w:rPr>
          <w:rFonts w:hint="eastAsia"/>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14:paraId="00137BED">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ascii="宋体" w:hAnsi="宋体"/>
          <w:color w:val="000000"/>
          <w:szCs w:val="21"/>
        </w:rPr>
      </w:pPr>
    </w:p>
    <w:p w14:paraId="61B9ABED">
      <w:pPr>
        <w:keepNext w:val="0"/>
        <w:keepLines w:val="0"/>
        <w:pageBreakBefore w:val="0"/>
        <w:widowControl w:val="0"/>
        <w:kinsoku/>
        <w:wordWrap/>
        <w:overflowPunct/>
        <w:topLinePunct w:val="0"/>
        <w:autoSpaceDE/>
        <w:autoSpaceDN/>
        <w:bidi w:val="0"/>
        <w:spacing w:line="440" w:lineRule="exact"/>
        <w:textAlignment w:val="auto"/>
        <w:rPr>
          <w:rFonts w:hint="eastAsia" w:ascii="黑体" w:hAnsi="黑体" w:eastAsia="黑体"/>
          <w:color w:val="000000"/>
          <w:szCs w:val="21"/>
        </w:rPr>
      </w:pPr>
      <w:r>
        <w:rPr>
          <w:rFonts w:hint="eastAsia" w:ascii="Times New Roman" w:hAnsi="Times New Roman" w:cs="Times New Roman"/>
          <w:color w:val="auto"/>
        </w:rPr>
        <w:t>4</w:t>
      </w:r>
      <w:r>
        <w:rPr>
          <w:rFonts w:hint="eastAsia" w:ascii="黑体" w:hAnsi="黑体" w:eastAsia="黑体"/>
          <w:color w:val="000000"/>
          <w:szCs w:val="21"/>
        </w:rPr>
        <w:t xml:space="preserve"> 附则</w:t>
      </w:r>
    </w:p>
    <w:p w14:paraId="2A03401D">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default" w:ascii="宋体" w:hAnsi="宋体" w:eastAsia="宋体"/>
          <w:color w:val="000000"/>
          <w:szCs w:val="21"/>
          <w:lang w:val="en-US" w:eastAsia="zh-CN"/>
        </w:rPr>
      </w:pPr>
      <w:r>
        <w:rPr>
          <w:rFonts w:hint="eastAsia" w:ascii="宋体" w:hAnsi="宋体"/>
          <w:color w:val="000000"/>
          <w:szCs w:val="21"/>
        </w:rPr>
        <w:t>本细则</w:t>
      </w:r>
      <w:r>
        <w:rPr>
          <w:rFonts w:hint="eastAsia" w:ascii="宋体" w:hAnsi="宋体"/>
          <w:color w:val="000000"/>
          <w:szCs w:val="21"/>
          <w:lang w:val="en-US" w:eastAsia="zh-CN"/>
        </w:rPr>
        <w:t>首次发布。</w:t>
      </w:r>
    </w:p>
    <w:p w14:paraId="2183090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Times New Roman" w:hAnsi="Times New Roman" w:cs="Times New Roman"/>
          <w:color w:val="000000"/>
        </w:rPr>
      </w:pPr>
    </w:p>
    <w:sectPr>
      <w:footerReference r:id="rId3" w:type="default"/>
      <w:pgSz w:w="11906" w:h="16838"/>
      <w:pgMar w:top="1985" w:right="1474" w:bottom="1644" w:left="1474"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89D521-2298-44B0-BF9D-56584D3A4A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script"/>
    <w:pitch w:val="default"/>
    <w:sig w:usb0="00000001" w:usb1="080E0000" w:usb2="00000000" w:usb3="00000000" w:csb0="00040000" w:csb1="00000000"/>
    <w:embedRegular r:id="rId2" w:fontKey="{909A6132-DAD6-4E66-BE9A-B3C6271B497B}"/>
  </w:font>
  <w:font w:name="方正仿宋简体">
    <w:panose1 w:val="02000000000000000000"/>
    <w:charset w:val="86"/>
    <w:family w:val="script"/>
    <w:pitch w:val="default"/>
    <w:sig w:usb0="A00002BF" w:usb1="184F6CFA" w:usb2="00000012" w:usb3="00000000" w:csb0="00040001" w:csb1="00000000"/>
    <w:embedRegular r:id="rId3" w:fontKey="{01F47329-163A-42EA-8FB8-212D3A07F9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5697">
    <w:pPr>
      <w:pStyle w:val="6"/>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p w14:paraId="1DFCCDB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GZjZTM3YTNjNmU3MGQzZTQ5MTExN2U4MjZjY2UifQ=="/>
    <w:docVar w:name="KSO_WPS_MARK_KEY" w:val="fb19fd95-d4fe-49b7-955b-9c9eacc55140"/>
  </w:docVars>
  <w:rsids>
    <w:rsidRoot w:val="001E3443"/>
    <w:rsid w:val="00043430"/>
    <w:rsid w:val="000A2874"/>
    <w:rsid w:val="000A56E2"/>
    <w:rsid w:val="000C2594"/>
    <w:rsid w:val="000D04CA"/>
    <w:rsid w:val="000E0CC0"/>
    <w:rsid w:val="00113FBE"/>
    <w:rsid w:val="00130AB6"/>
    <w:rsid w:val="00162504"/>
    <w:rsid w:val="001E3443"/>
    <w:rsid w:val="0020204B"/>
    <w:rsid w:val="0021277B"/>
    <w:rsid w:val="0024582F"/>
    <w:rsid w:val="00251C14"/>
    <w:rsid w:val="002B5082"/>
    <w:rsid w:val="002C1903"/>
    <w:rsid w:val="002C7009"/>
    <w:rsid w:val="002F6274"/>
    <w:rsid w:val="00322439"/>
    <w:rsid w:val="00326645"/>
    <w:rsid w:val="00356AE1"/>
    <w:rsid w:val="003D4887"/>
    <w:rsid w:val="003D6DF2"/>
    <w:rsid w:val="004E45AA"/>
    <w:rsid w:val="00510516"/>
    <w:rsid w:val="00593F48"/>
    <w:rsid w:val="005B3CAB"/>
    <w:rsid w:val="005E34E6"/>
    <w:rsid w:val="005E5680"/>
    <w:rsid w:val="005E632C"/>
    <w:rsid w:val="00605E22"/>
    <w:rsid w:val="0068106E"/>
    <w:rsid w:val="00714FC7"/>
    <w:rsid w:val="007429D1"/>
    <w:rsid w:val="00807F42"/>
    <w:rsid w:val="0081150C"/>
    <w:rsid w:val="00837F24"/>
    <w:rsid w:val="0086284D"/>
    <w:rsid w:val="00884606"/>
    <w:rsid w:val="008A6E90"/>
    <w:rsid w:val="008B6C09"/>
    <w:rsid w:val="008B7B47"/>
    <w:rsid w:val="008C7CA4"/>
    <w:rsid w:val="00902387"/>
    <w:rsid w:val="009366B8"/>
    <w:rsid w:val="00946234"/>
    <w:rsid w:val="00953717"/>
    <w:rsid w:val="00987140"/>
    <w:rsid w:val="009A5117"/>
    <w:rsid w:val="009D60ED"/>
    <w:rsid w:val="009F2EF2"/>
    <w:rsid w:val="00A50717"/>
    <w:rsid w:val="00AA4371"/>
    <w:rsid w:val="00AF3C28"/>
    <w:rsid w:val="00B027D7"/>
    <w:rsid w:val="00B07723"/>
    <w:rsid w:val="00B46901"/>
    <w:rsid w:val="00B658A9"/>
    <w:rsid w:val="00BA1817"/>
    <w:rsid w:val="00BD45C8"/>
    <w:rsid w:val="00BF34D2"/>
    <w:rsid w:val="00C16879"/>
    <w:rsid w:val="00CB4778"/>
    <w:rsid w:val="00D1182B"/>
    <w:rsid w:val="00D4428B"/>
    <w:rsid w:val="00D46A99"/>
    <w:rsid w:val="00D56CE1"/>
    <w:rsid w:val="00D57DA7"/>
    <w:rsid w:val="00D63A4A"/>
    <w:rsid w:val="00D92669"/>
    <w:rsid w:val="00DE0387"/>
    <w:rsid w:val="00E202B2"/>
    <w:rsid w:val="00E66E18"/>
    <w:rsid w:val="00E81DB6"/>
    <w:rsid w:val="00EA3DE4"/>
    <w:rsid w:val="00EF5298"/>
    <w:rsid w:val="00EF7E42"/>
    <w:rsid w:val="00F127CB"/>
    <w:rsid w:val="00F346AE"/>
    <w:rsid w:val="00F5503C"/>
    <w:rsid w:val="00FE21C0"/>
    <w:rsid w:val="02D74DE3"/>
    <w:rsid w:val="06D957A5"/>
    <w:rsid w:val="08680557"/>
    <w:rsid w:val="09EE6531"/>
    <w:rsid w:val="0A5F36BA"/>
    <w:rsid w:val="0B1659B9"/>
    <w:rsid w:val="0BCF2D16"/>
    <w:rsid w:val="0D9B1EFD"/>
    <w:rsid w:val="0FB927FA"/>
    <w:rsid w:val="100C136B"/>
    <w:rsid w:val="10F22FF4"/>
    <w:rsid w:val="124859A5"/>
    <w:rsid w:val="13C773FA"/>
    <w:rsid w:val="14AB28FA"/>
    <w:rsid w:val="15E1046E"/>
    <w:rsid w:val="1666503C"/>
    <w:rsid w:val="16776152"/>
    <w:rsid w:val="16B659FA"/>
    <w:rsid w:val="181156C6"/>
    <w:rsid w:val="1AC85A38"/>
    <w:rsid w:val="1BB71133"/>
    <w:rsid w:val="1D49386E"/>
    <w:rsid w:val="218923F5"/>
    <w:rsid w:val="21A064BA"/>
    <w:rsid w:val="2284663F"/>
    <w:rsid w:val="23131BDE"/>
    <w:rsid w:val="254A0093"/>
    <w:rsid w:val="26191A4E"/>
    <w:rsid w:val="2B5F098D"/>
    <w:rsid w:val="2C18281E"/>
    <w:rsid w:val="2FDA6409"/>
    <w:rsid w:val="32391589"/>
    <w:rsid w:val="32FE1849"/>
    <w:rsid w:val="38853EBE"/>
    <w:rsid w:val="3B2F38C9"/>
    <w:rsid w:val="3EE95F8A"/>
    <w:rsid w:val="3EEE1B91"/>
    <w:rsid w:val="40BF340E"/>
    <w:rsid w:val="438700C4"/>
    <w:rsid w:val="43B531B7"/>
    <w:rsid w:val="447541B2"/>
    <w:rsid w:val="464278AD"/>
    <w:rsid w:val="47965578"/>
    <w:rsid w:val="48972279"/>
    <w:rsid w:val="49361572"/>
    <w:rsid w:val="498C0C76"/>
    <w:rsid w:val="4A4E61B4"/>
    <w:rsid w:val="51064BF1"/>
    <w:rsid w:val="52B55C95"/>
    <w:rsid w:val="537A3527"/>
    <w:rsid w:val="55865969"/>
    <w:rsid w:val="56400EC9"/>
    <w:rsid w:val="57042F2A"/>
    <w:rsid w:val="571964FF"/>
    <w:rsid w:val="58A77761"/>
    <w:rsid w:val="5B414FAB"/>
    <w:rsid w:val="5DD64A11"/>
    <w:rsid w:val="5E6B43EC"/>
    <w:rsid w:val="60BA57F4"/>
    <w:rsid w:val="624C5753"/>
    <w:rsid w:val="64AC6B49"/>
    <w:rsid w:val="64AF62B5"/>
    <w:rsid w:val="653A7EB8"/>
    <w:rsid w:val="664A0B1C"/>
    <w:rsid w:val="66D95F5A"/>
    <w:rsid w:val="6944085B"/>
    <w:rsid w:val="6B625B3B"/>
    <w:rsid w:val="6C1E5310"/>
    <w:rsid w:val="6E902609"/>
    <w:rsid w:val="73E426E5"/>
    <w:rsid w:val="74024E0C"/>
    <w:rsid w:val="74341478"/>
    <w:rsid w:val="751E55D2"/>
    <w:rsid w:val="7B5F19F8"/>
    <w:rsid w:val="7B906B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5"/>
    <w:autoRedefine/>
    <w:semiHidden/>
    <w:qFormat/>
    <w:locked/>
    <w:uiPriority w:val="99"/>
    <w:pPr>
      <w:shd w:val="clear" w:color="auto" w:fill="000080"/>
    </w:pPr>
    <w:rPr>
      <w:rFonts w:ascii="Times New Roman" w:hAnsi="Times New Roman" w:cs="Times New Roman"/>
      <w:kern w:val="0"/>
      <w:sz w:val="0"/>
      <w:szCs w:val="0"/>
    </w:rPr>
  </w:style>
  <w:style w:type="paragraph" w:styleId="3">
    <w:name w:val="annotation text"/>
    <w:basedOn w:val="1"/>
    <w:link w:val="16"/>
    <w:autoRedefine/>
    <w:unhideWhenUsed/>
    <w:qFormat/>
    <w:locked/>
    <w:uiPriority w:val="99"/>
    <w:pPr>
      <w:jc w:val="left"/>
    </w:pPr>
    <w:rPr>
      <w:rFonts w:cs="Times New Roman"/>
    </w:rPr>
  </w:style>
  <w:style w:type="paragraph" w:styleId="4">
    <w:name w:val="Plain Text"/>
    <w:basedOn w:val="1"/>
    <w:qFormat/>
    <w:locked/>
    <w:uiPriority w:val="0"/>
    <w:rPr>
      <w:rFonts w:ascii="宋体" w:hAnsi="Courier New"/>
      <w:szCs w:val="21"/>
    </w:rPr>
  </w:style>
  <w:style w:type="paragraph" w:styleId="5">
    <w:name w:val="Balloon Text"/>
    <w:basedOn w:val="1"/>
    <w:link w:val="14"/>
    <w:autoRedefine/>
    <w:semiHidden/>
    <w:qFormat/>
    <w:uiPriority w:val="99"/>
    <w:rPr>
      <w:rFonts w:cs="Times New Roman"/>
      <w:sz w:val="18"/>
      <w:szCs w:val="18"/>
    </w:rPr>
  </w:style>
  <w:style w:type="paragraph" w:styleId="6">
    <w:name w:val="footer"/>
    <w:basedOn w:val="1"/>
    <w:link w:val="13"/>
    <w:autoRedefine/>
    <w:qFormat/>
    <w:uiPriority w:val="99"/>
    <w:pPr>
      <w:tabs>
        <w:tab w:val="center" w:pos="4153"/>
        <w:tab w:val="right" w:pos="8306"/>
      </w:tabs>
      <w:snapToGrid w:val="0"/>
      <w:jc w:val="left"/>
    </w:pPr>
    <w:rPr>
      <w:rFonts w:cs="Times New Roman"/>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8">
    <w:name w:val="annotation subject"/>
    <w:basedOn w:val="3"/>
    <w:next w:val="3"/>
    <w:link w:val="17"/>
    <w:autoRedefine/>
    <w:semiHidden/>
    <w:unhideWhenUsed/>
    <w:qFormat/>
    <w:locked/>
    <w:uiPriority w:val="99"/>
    <w:rPr>
      <w:b/>
      <w:bCs/>
    </w:rPr>
  </w:style>
  <w:style w:type="character" w:styleId="11">
    <w:name w:val="annotation reference"/>
    <w:autoRedefine/>
    <w:semiHidden/>
    <w:unhideWhenUsed/>
    <w:qFormat/>
    <w:locked/>
    <w:uiPriority w:val="99"/>
    <w:rPr>
      <w:sz w:val="21"/>
      <w:szCs w:val="21"/>
    </w:rPr>
  </w:style>
  <w:style w:type="character" w:customStyle="1" w:styleId="12">
    <w:name w:val="页眉 字符"/>
    <w:link w:val="7"/>
    <w:autoRedefine/>
    <w:qFormat/>
    <w:locked/>
    <w:uiPriority w:val="99"/>
    <w:rPr>
      <w:rFonts w:ascii="Calibri" w:hAnsi="Calibri" w:cs="Calibri"/>
      <w:kern w:val="2"/>
      <w:sz w:val="18"/>
      <w:szCs w:val="18"/>
    </w:rPr>
  </w:style>
  <w:style w:type="character" w:customStyle="1" w:styleId="13">
    <w:name w:val="页脚 字符"/>
    <w:link w:val="6"/>
    <w:autoRedefine/>
    <w:qFormat/>
    <w:locked/>
    <w:uiPriority w:val="99"/>
    <w:rPr>
      <w:rFonts w:ascii="Calibri" w:hAnsi="Calibri" w:cs="Calibri"/>
      <w:kern w:val="2"/>
      <w:sz w:val="18"/>
      <w:szCs w:val="18"/>
    </w:rPr>
  </w:style>
  <w:style w:type="character" w:customStyle="1" w:styleId="14">
    <w:name w:val="批注框文本 字符"/>
    <w:link w:val="5"/>
    <w:autoRedefine/>
    <w:qFormat/>
    <w:locked/>
    <w:uiPriority w:val="99"/>
    <w:rPr>
      <w:rFonts w:ascii="Calibri" w:hAnsi="Calibri" w:cs="Calibri"/>
      <w:kern w:val="2"/>
      <w:sz w:val="18"/>
      <w:szCs w:val="18"/>
    </w:rPr>
  </w:style>
  <w:style w:type="character" w:customStyle="1" w:styleId="15">
    <w:name w:val="文档结构图 字符"/>
    <w:link w:val="2"/>
    <w:autoRedefine/>
    <w:semiHidden/>
    <w:qFormat/>
    <w:uiPriority w:val="99"/>
    <w:rPr>
      <w:rFonts w:cs="Calibri"/>
      <w:sz w:val="0"/>
      <w:szCs w:val="0"/>
    </w:rPr>
  </w:style>
  <w:style w:type="character" w:customStyle="1" w:styleId="16">
    <w:name w:val="批注文字 字符"/>
    <w:link w:val="3"/>
    <w:autoRedefine/>
    <w:qFormat/>
    <w:uiPriority w:val="99"/>
    <w:rPr>
      <w:rFonts w:ascii="Calibri" w:hAnsi="Calibri" w:cs="Calibri"/>
      <w:kern w:val="2"/>
      <w:sz w:val="21"/>
      <w:szCs w:val="21"/>
    </w:rPr>
  </w:style>
  <w:style w:type="character" w:customStyle="1" w:styleId="17">
    <w:name w:val="批注主题 字符"/>
    <w:link w:val="8"/>
    <w:autoRedefine/>
    <w:semiHidden/>
    <w:qFormat/>
    <w:uiPriority w:val="99"/>
    <w:rPr>
      <w:rFonts w:ascii="Calibri" w:hAnsi="Calibri" w:cs="Calibri"/>
      <w:b/>
      <w:bCs/>
      <w:kern w:val="2"/>
      <w:sz w:val="21"/>
      <w:szCs w:val="21"/>
    </w:rPr>
  </w:style>
  <w:style w:type="paragraph" w:customStyle="1" w:styleId="18">
    <w:name w:val="修订1"/>
    <w:autoRedefine/>
    <w:hidden/>
    <w:semiHidden/>
    <w:qFormat/>
    <w:uiPriority w:val="99"/>
    <w:rPr>
      <w:rFonts w:ascii="Calibri" w:hAnsi="Calibri" w:eastAsia="宋体" w:cs="Calibri"/>
      <w:kern w:val="2"/>
      <w:sz w:val="21"/>
      <w:szCs w:val="21"/>
      <w:lang w:val="en-US" w:eastAsia="zh-CN" w:bidi="ar-SA"/>
    </w:rPr>
  </w:style>
  <w:style w:type="paragraph" w:customStyle="1" w:styleId="19">
    <w:name w:val="Revision"/>
    <w:autoRedefine/>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3842-8C35-48ED-9197-A06F97F0902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1025</Words>
  <Characters>1275</Characters>
  <Lines>27</Lines>
  <Paragraphs>7</Paragraphs>
  <TotalTime>6</TotalTime>
  <ScaleCrop>false</ScaleCrop>
  <LinksUpToDate>false</LinksUpToDate>
  <CharactersWithSpaces>1305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renketina</cp:lastModifiedBy>
  <dcterms:modified xsi:type="dcterms:W3CDTF">2025-05-27T03:25:33Z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B87B9385D80F4D609A4A4598821538ED_13</vt:lpwstr>
  </property>
  <property fmtid="{D5CDD505-2E9C-101B-9397-08002B2CF9AE}" pid="4" name="KSOTemplateDocerSaveRecord">
    <vt:lpwstr>eyJoZGlkIjoiZjk0ODA0MjBlZDZhYjY0NzJkODczMTUzNTE0MDg3YWQiLCJ1c2VySWQiOiIzMDk4MTEzMDYifQ==</vt:lpwstr>
  </property>
</Properties>
</file>