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6CBA93">
      <w:pPr>
        <w:jc w:val="center"/>
        <w:rPr>
          <w:rFonts w:ascii="方正小标宋简体" w:eastAsia="方正小标宋简体"/>
          <w:sz w:val="36"/>
          <w:szCs w:val="36"/>
        </w:rPr>
      </w:pPr>
      <w:r>
        <w:rPr>
          <w:rFonts w:hint="eastAsia" w:ascii="方正小标宋简体" w:eastAsia="方正小标宋简体"/>
          <w:sz w:val="36"/>
          <w:szCs w:val="36"/>
        </w:rPr>
        <w:t>202</w:t>
      </w:r>
      <w:r>
        <w:rPr>
          <w:rFonts w:hint="eastAsia" w:ascii="方正小标宋简体" w:eastAsia="方正小标宋简体"/>
          <w:sz w:val="36"/>
          <w:szCs w:val="36"/>
          <w:lang w:val="en-US" w:eastAsia="zh-CN"/>
        </w:rPr>
        <w:t>5</w:t>
      </w:r>
      <w:r>
        <w:rPr>
          <w:rFonts w:hint="eastAsia" w:ascii="方正小标宋简体" w:eastAsia="方正小标宋简体"/>
          <w:sz w:val="36"/>
          <w:szCs w:val="36"/>
        </w:rPr>
        <w:t>年</w:t>
      </w:r>
      <w:r>
        <w:rPr>
          <w:rFonts w:hint="eastAsia" w:ascii="方正小标宋简体" w:eastAsia="方正小标宋简体"/>
          <w:sz w:val="36"/>
          <w:szCs w:val="36"/>
          <w:lang w:val="en-US" w:eastAsia="zh-CN"/>
        </w:rPr>
        <w:t>路桥区鞋底</w:t>
      </w:r>
      <w:r>
        <w:rPr>
          <w:rFonts w:hint="eastAsia" w:ascii="方正小标宋简体" w:eastAsia="方正小标宋简体"/>
          <w:sz w:val="36"/>
          <w:szCs w:val="36"/>
        </w:rPr>
        <w:t>风险监测实施细则</w:t>
      </w:r>
    </w:p>
    <w:p w14:paraId="1B8AAE72">
      <w:pPr>
        <w:snapToGrid w:val="0"/>
        <w:spacing w:line="500" w:lineRule="exact"/>
        <w:rPr>
          <w:rFonts w:hint="eastAsia" w:ascii="仿宋" w:hAnsi="仿宋" w:eastAsia="仿宋" w:cs="Arial"/>
          <w:b/>
          <w:bCs/>
          <w:sz w:val="28"/>
          <w:szCs w:val="28"/>
        </w:rPr>
      </w:pPr>
    </w:p>
    <w:p w14:paraId="3B7FE8E3">
      <w:pPr>
        <w:snapToGrid w:val="0"/>
        <w:spacing w:line="500" w:lineRule="exact"/>
        <w:rPr>
          <w:rFonts w:hint="eastAsia" w:cs="Arial" w:asciiTheme="minorEastAsia" w:hAnsiTheme="minorEastAsia"/>
          <w:b/>
          <w:bCs/>
          <w:szCs w:val="21"/>
        </w:rPr>
      </w:pPr>
      <w:r>
        <w:rPr>
          <w:rFonts w:hint="eastAsia" w:cs="Arial" w:asciiTheme="minorEastAsia" w:hAnsiTheme="minorEastAsia"/>
          <w:b/>
          <w:bCs/>
          <w:szCs w:val="21"/>
        </w:rPr>
        <w:t>1.抽样方法及数量</w:t>
      </w:r>
    </w:p>
    <w:p w14:paraId="216C2FE5">
      <w:pPr>
        <w:spacing w:line="500" w:lineRule="exact"/>
        <w:ind w:firstLine="420" w:firstLineChars="200"/>
        <w:rPr>
          <w:rFonts w:hint="eastAsia" w:cs="Arial" w:asciiTheme="minorEastAsia" w:hAnsiTheme="minorEastAsia"/>
          <w:szCs w:val="21"/>
        </w:rPr>
      </w:pPr>
      <w:r>
        <w:rPr>
          <w:rFonts w:hint="eastAsia" w:cs="Arial" w:asciiTheme="minorEastAsia" w:hAnsiTheme="minorEastAsia"/>
          <w:szCs w:val="21"/>
        </w:rPr>
        <w:t>以随机抽样的方式在被抽样生产者、销售者的待销产品中抽取。</w:t>
      </w:r>
    </w:p>
    <w:p w14:paraId="054984D0">
      <w:pPr>
        <w:spacing w:line="500" w:lineRule="exact"/>
        <w:ind w:firstLine="420" w:firstLineChars="200"/>
        <w:rPr>
          <w:rFonts w:hint="eastAsia" w:cs="Arial" w:asciiTheme="minorEastAsia" w:hAnsiTheme="minorEastAsia"/>
          <w:szCs w:val="21"/>
        </w:rPr>
      </w:pPr>
      <w:r>
        <w:rPr>
          <w:rFonts w:hint="eastAsia" w:cs="Arial" w:asciiTheme="minorEastAsia" w:hAnsiTheme="minorEastAsia"/>
          <w:szCs w:val="21"/>
        </w:rPr>
        <w:t>随机数一般可使用随机数表等方法产生。</w:t>
      </w:r>
    </w:p>
    <w:p w14:paraId="0F4AA0F7">
      <w:pPr>
        <w:spacing w:line="500" w:lineRule="exact"/>
        <w:ind w:firstLine="420" w:firstLineChars="200"/>
        <w:rPr>
          <w:rFonts w:hint="eastAsia" w:cs="Arial" w:asciiTheme="minorEastAsia" w:hAnsiTheme="minorEastAsia"/>
          <w:szCs w:val="21"/>
        </w:rPr>
      </w:pPr>
      <w:r>
        <w:rPr>
          <w:rFonts w:hint="eastAsia" w:cs="Arial" w:asciiTheme="minorEastAsia" w:hAnsiTheme="minorEastAsia"/>
          <w:szCs w:val="21"/>
        </w:rPr>
        <w:t>随机抽取同一生产者按照同一标准生产的同一货号、同一规格型号</w:t>
      </w:r>
      <w:r>
        <w:rPr>
          <w:rFonts w:hint="eastAsia" w:cs="Arial" w:asciiTheme="minorEastAsia" w:hAnsiTheme="minorEastAsia"/>
          <w:szCs w:val="21"/>
          <w:lang w:eastAsia="zh-CN"/>
        </w:rPr>
        <w:t>（</w:t>
      </w:r>
      <w:r>
        <w:rPr>
          <w:rFonts w:hint="eastAsia" w:cs="Arial" w:asciiTheme="minorEastAsia" w:hAnsiTheme="minorEastAsia"/>
          <w:szCs w:val="21"/>
          <w:lang w:val="en-US" w:eastAsia="zh-CN"/>
        </w:rPr>
        <w:t>鞋号大于170</w:t>
      </w:r>
      <w:r>
        <w:rPr>
          <w:rFonts w:hint="eastAsia" w:cs="Arial" w:asciiTheme="minorEastAsia" w:hAnsiTheme="minorEastAsia"/>
          <w:szCs w:val="21"/>
          <w:lang w:eastAsia="zh-CN"/>
        </w:rPr>
        <w:t>）</w:t>
      </w:r>
      <w:r>
        <w:rPr>
          <w:rFonts w:hint="eastAsia" w:cs="Arial" w:asciiTheme="minorEastAsia" w:hAnsiTheme="minorEastAsia"/>
          <w:szCs w:val="21"/>
        </w:rPr>
        <w:t>、同一颜色的产品3份。其中2份作为检样，1份作为备样。</w:t>
      </w:r>
    </w:p>
    <w:p w14:paraId="4D91D5E6">
      <w:pPr>
        <w:spacing w:line="500" w:lineRule="exact"/>
        <w:ind w:firstLine="420" w:firstLineChars="200"/>
        <w:rPr>
          <w:rFonts w:hint="eastAsia" w:cs="Arial" w:asciiTheme="minorEastAsia" w:hAnsiTheme="minorEastAsia"/>
          <w:szCs w:val="21"/>
        </w:rPr>
      </w:pPr>
    </w:p>
    <w:p w14:paraId="15B297C8">
      <w:pPr>
        <w:snapToGrid w:val="0"/>
        <w:spacing w:line="500" w:lineRule="exact"/>
        <w:rPr>
          <w:rFonts w:hint="eastAsia" w:cs="Arial" w:asciiTheme="minorEastAsia" w:hAnsiTheme="minorEastAsia"/>
          <w:b/>
          <w:bCs/>
          <w:szCs w:val="21"/>
        </w:rPr>
      </w:pPr>
      <w:r>
        <w:rPr>
          <w:rFonts w:hint="eastAsia" w:cs="Arial" w:asciiTheme="minorEastAsia" w:hAnsiTheme="minorEastAsia"/>
          <w:b/>
          <w:bCs/>
          <w:szCs w:val="21"/>
        </w:rPr>
        <w:t>2.检验依据</w:t>
      </w:r>
    </w:p>
    <w:p w14:paraId="3BC22677">
      <w:pPr>
        <w:snapToGrid w:val="0"/>
        <w:spacing w:line="276" w:lineRule="auto"/>
        <w:jc w:val="center"/>
        <w:rPr>
          <w:rFonts w:hint="eastAsia" w:cs="Arial" w:asciiTheme="minorEastAsia" w:hAnsiTheme="minorEastAsia"/>
          <w:szCs w:val="21"/>
        </w:rPr>
      </w:pPr>
      <w:r>
        <w:rPr>
          <w:rFonts w:hint="eastAsia" w:cs="Arial" w:asciiTheme="minorEastAsia" w:hAnsiTheme="minorEastAsia"/>
          <w:szCs w:val="21"/>
        </w:rPr>
        <w:t xml:space="preserve">表1 </w:t>
      </w:r>
      <w:r>
        <w:rPr>
          <w:rFonts w:hint="eastAsia" w:cs="Arial" w:asciiTheme="minorEastAsia" w:hAnsiTheme="minorEastAsia"/>
          <w:szCs w:val="21"/>
          <w:lang w:val="en-US" w:eastAsia="zh-CN"/>
        </w:rPr>
        <w:t>鞋底</w:t>
      </w:r>
    </w:p>
    <w:tbl>
      <w:tblPr>
        <w:tblStyle w:val="4"/>
        <w:tblW w:w="318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7"/>
        <w:gridCol w:w="2595"/>
        <w:gridCol w:w="2080"/>
      </w:tblGrid>
      <w:tr w14:paraId="20568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9" w:type="pct"/>
            <w:tcBorders>
              <w:top w:val="single" w:color="auto" w:sz="4" w:space="0"/>
              <w:left w:val="single" w:color="auto" w:sz="4" w:space="0"/>
              <w:bottom w:val="single" w:color="auto" w:sz="4" w:space="0"/>
              <w:right w:val="single" w:color="auto" w:sz="4" w:space="0"/>
            </w:tcBorders>
            <w:vAlign w:val="center"/>
          </w:tcPr>
          <w:p w14:paraId="4C5A6971">
            <w:pPr>
              <w:adjustRightInd w:val="0"/>
              <w:snapToGrid w:val="0"/>
              <w:spacing w:line="276" w:lineRule="auto"/>
              <w:jc w:val="center"/>
              <w:rPr>
                <w:szCs w:val="21"/>
              </w:rPr>
            </w:pPr>
            <w:r>
              <w:rPr>
                <w:rFonts w:hint="eastAsia"/>
                <w:szCs w:val="21"/>
              </w:rPr>
              <w:t>序号</w:t>
            </w:r>
          </w:p>
        </w:tc>
        <w:tc>
          <w:tcPr>
            <w:tcW w:w="2392" w:type="pct"/>
            <w:tcBorders>
              <w:top w:val="single" w:color="auto" w:sz="4" w:space="0"/>
              <w:left w:val="single" w:color="auto" w:sz="4" w:space="0"/>
              <w:bottom w:val="single" w:color="auto" w:sz="4" w:space="0"/>
              <w:right w:val="single" w:color="auto" w:sz="4" w:space="0"/>
            </w:tcBorders>
            <w:vAlign w:val="center"/>
          </w:tcPr>
          <w:p w14:paraId="438BF096">
            <w:pPr>
              <w:adjustRightInd w:val="0"/>
              <w:snapToGrid w:val="0"/>
              <w:spacing w:line="276" w:lineRule="auto"/>
              <w:jc w:val="center"/>
              <w:rPr>
                <w:szCs w:val="21"/>
              </w:rPr>
            </w:pPr>
            <w:r>
              <w:rPr>
                <w:rFonts w:hint="eastAsia"/>
                <w:szCs w:val="21"/>
              </w:rPr>
              <w:t>检验项目</w:t>
            </w:r>
          </w:p>
        </w:tc>
        <w:tc>
          <w:tcPr>
            <w:tcW w:w="1917" w:type="pct"/>
            <w:tcBorders>
              <w:top w:val="single" w:color="auto" w:sz="4" w:space="0"/>
              <w:left w:val="single" w:color="auto" w:sz="4" w:space="0"/>
              <w:bottom w:val="single" w:color="auto" w:sz="4" w:space="0"/>
              <w:right w:val="single" w:color="auto" w:sz="4" w:space="0"/>
            </w:tcBorders>
            <w:vAlign w:val="center"/>
          </w:tcPr>
          <w:p w14:paraId="6A9990D8">
            <w:pPr>
              <w:adjustRightInd w:val="0"/>
              <w:snapToGrid w:val="0"/>
              <w:spacing w:line="276" w:lineRule="auto"/>
              <w:jc w:val="center"/>
              <w:rPr>
                <w:szCs w:val="21"/>
              </w:rPr>
            </w:pPr>
            <w:r>
              <w:rPr>
                <w:rFonts w:hint="eastAsia"/>
                <w:szCs w:val="21"/>
              </w:rPr>
              <w:t>检验方法</w:t>
            </w:r>
          </w:p>
        </w:tc>
      </w:tr>
      <w:tr w14:paraId="0C258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9" w:type="pct"/>
            <w:tcBorders>
              <w:top w:val="single" w:color="auto" w:sz="4" w:space="0"/>
              <w:left w:val="single" w:color="auto" w:sz="4" w:space="0"/>
              <w:bottom w:val="single" w:color="auto" w:sz="4" w:space="0"/>
              <w:right w:val="single" w:color="auto" w:sz="4" w:space="0"/>
            </w:tcBorders>
            <w:vAlign w:val="center"/>
          </w:tcPr>
          <w:p w14:paraId="336A485B">
            <w:pPr>
              <w:pStyle w:val="9"/>
              <w:numPr>
                <w:ilvl w:val="0"/>
                <w:numId w:val="1"/>
              </w:numPr>
              <w:adjustRightInd w:val="0"/>
              <w:snapToGrid w:val="0"/>
              <w:spacing w:line="276" w:lineRule="auto"/>
              <w:ind w:firstLineChars="0"/>
              <w:jc w:val="center"/>
              <w:rPr>
                <w:szCs w:val="21"/>
              </w:rPr>
            </w:pPr>
          </w:p>
        </w:tc>
        <w:tc>
          <w:tcPr>
            <w:tcW w:w="2392" w:type="pct"/>
            <w:tcBorders>
              <w:top w:val="single" w:color="auto" w:sz="4" w:space="0"/>
              <w:left w:val="single" w:color="auto" w:sz="4" w:space="0"/>
              <w:bottom w:val="single" w:color="auto" w:sz="4" w:space="0"/>
              <w:right w:val="single" w:color="auto" w:sz="4" w:space="0"/>
            </w:tcBorders>
            <w:vAlign w:val="center"/>
          </w:tcPr>
          <w:p w14:paraId="0F668B20">
            <w:pPr>
              <w:adjustRightInd w:val="0"/>
              <w:snapToGrid w:val="0"/>
              <w:spacing w:line="276" w:lineRule="auto"/>
              <w:jc w:val="center"/>
              <w:rPr>
                <w:szCs w:val="21"/>
              </w:rPr>
            </w:pPr>
            <w:r>
              <w:rPr>
                <w:rFonts w:hint="eastAsia"/>
                <w:szCs w:val="21"/>
              </w:rPr>
              <w:t>耐磨性能</w:t>
            </w:r>
          </w:p>
        </w:tc>
        <w:tc>
          <w:tcPr>
            <w:tcW w:w="1917" w:type="pct"/>
            <w:tcBorders>
              <w:top w:val="single" w:color="auto" w:sz="4" w:space="0"/>
              <w:left w:val="single" w:color="auto" w:sz="4" w:space="0"/>
              <w:bottom w:val="single" w:color="auto" w:sz="4" w:space="0"/>
              <w:right w:val="single" w:color="auto" w:sz="4" w:space="0"/>
            </w:tcBorders>
            <w:vAlign w:val="center"/>
          </w:tcPr>
          <w:p w14:paraId="6BF409B6">
            <w:pPr>
              <w:adjustRightInd w:val="0"/>
              <w:snapToGrid w:val="0"/>
              <w:spacing w:line="276" w:lineRule="auto"/>
              <w:jc w:val="center"/>
              <w:rPr>
                <w:rFonts w:hint="default" w:eastAsiaTheme="minorEastAsia"/>
                <w:szCs w:val="21"/>
                <w:lang w:val="en-US" w:eastAsia="zh-CN"/>
              </w:rPr>
            </w:pPr>
            <w:r>
              <w:rPr>
                <w:rFonts w:hint="eastAsia"/>
                <w:szCs w:val="21"/>
              </w:rPr>
              <w:t>GB/T 3903.2</w:t>
            </w:r>
            <w:r>
              <w:rPr>
                <w:rFonts w:hint="eastAsia"/>
                <w:szCs w:val="21"/>
                <w:lang w:val="en-US" w:eastAsia="zh-CN"/>
              </w:rPr>
              <w:t>-2017</w:t>
            </w:r>
          </w:p>
        </w:tc>
      </w:tr>
      <w:tr w14:paraId="0CE35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9" w:type="pct"/>
            <w:tcBorders>
              <w:top w:val="single" w:color="auto" w:sz="4" w:space="0"/>
              <w:left w:val="single" w:color="auto" w:sz="4" w:space="0"/>
              <w:bottom w:val="single" w:color="auto" w:sz="4" w:space="0"/>
              <w:right w:val="single" w:color="auto" w:sz="4" w:space="0"/>
            </w:tcBorders>
            <w:vAlign w:val="center"/>
          </w:tcPr>
          <w:p w14:paraId="3CCF2818">
            <w:pPr>
              <w:pStyle w:val="9"/>
              <w:numPr>
                <w:ilvl w:val="0"/>
                <w:numId w:val="1"/>
              </w:numPr>
              <w:adjustRightInd w:val="0"/>
              <w:snapToGrid w:val="0"/>
              <w:spacing w:line="276" w:lineRule="auto"/>
              <w:ind w:firstLineChars="0"/>
              <w:jc w:val="center"/>
              <w:rPr>
                <w:szCs w:val="21"/>
              </w:rPr>
            </w:pPr>
          </w:p>
        </w:tc>
        <w:tc>
          <w:tcPr>
            <w:tcW w:w="2392" w:type="pct"/>
            <w:tcBorders>
              <w:top w:val="single" w:color="auto" w:sz="4" w:space="0"/>
              <w:left w:val="single" w:color="auto" w:sz="4" w:space="0"/>
              <w:bottom w:val="single" w:color="auto" w:sz="4" w:space="0"/>
              <w:right w:val="single" w:color="auto" w:sz="4" w:space="0"/>
            </w:tcBorders>
            <w:vAlign w:val="center"/>
          </w:tcPr>
          <w:p w14:paraId="72420186">
            <w:pPr>
              <w:adjustRightInd w:val="0"/>
              <w:snapToGrid w:val="0"/>
              <w:spacing w:line="276" w:lineRule="auto"/>
              <w:jc w:val="center"/>
              <w:rPr>
                <w:szCs w:val="21"/>
              </w:rPr>
            </w:pPr>
            <w:r>
              <w:rPr>
                <w:rFonts w:hint="eastAsia"/>
                <w:szCs w:val="21"/>
              </w:rPr>
              <w:t>邻苯二甲酸酯</w:t>
            </w:r>
          </w:p>
        </w:tc>
        <w:tc>
          <w:tcPr>
            <w:tcW w:w="1917" w:type="pct"/>
            <w:tcBorders>
              <w:top w:val="single" w:color="auto" w:sz="4" w:space="0"/>
              <w:left w:val="single" w:color="auto" w:sz="4" w:space="0"/>
              <w:bottom w:val="single" w:color="auto" w:sz="4" w:space="0"/>
              <w:right w:val="single" w:color="auto" w:sz="4" w:space="0"/>
            </w:tcBorders>
            <w:vAlign w:val="center"/>
          </w:tcPr>
          <w:p w14:paraId="69416597">
            <w:pPr>
              <w:adjustRightInd w:val="0"/>
              <w:snapToGrid w:val="0"/>
              <w:spacing w:line="276" w:lineRule="auto"/>
              <w:jc w:val="center"/>
              <w:rPr>
                <w:rFonts w:hint="default" w:eastAsiaTheme="minorEastAsia"/>
                <w:szCs w:val="21"/>
                <w:lang w:val="en-US" w:eastAsia="zh-CN"/>
              </w:rPr>
            </w:pPr>
            <w:r>
              <w:rPr>
                <w:rFonts w:hint="eastAsia"/>
                <w:szCs w:val="21"/>
              </w:rPr>
              <w:t>GB/T 32440.1</w:t>
            </w:r>
            <w:r>
              <w:rPr>
                <w:rFonts w:hint="eastAsia"/>
                <w:szCs w:val="21"/>
                <w:lang w:val="en-US" w:eastAsia="zh-CN"/>
              </w:rPr>
              <w:t>-2023</w:t>
            </w:r>
          </w:p>
        </w:tc>
      </w:tr>
    </w:tbl>
    <w:p w14:paraId="38819257">
      <w:pPr>
        <w:spacing w:line="500" w:lineRule="exact"/>
        <w:ind w:firstLine="420" w:firstLineChars="200"/>
        <w:rPr>
          <w:rFonts w:hint="eastAsia" w:cs="Arial" w:asciiTheme="minorEastAsia" w:hAnsiTheme="minorEastAsia"/>
          <w:szCs w:val="21"/>
        </w:rPr>
      </w:pPr>
      <w:r>
        <w:rPr>
          <w:rFonts w:hint="eastAsia" w:cs="Arial" w:asciiTheme="minorEastAsia" w:hAnsiTheme="minorEastAsia"/>
          <w:szCs w:val="21"/>
        </w:rPr>
        <w:t>执行企业标准、团体标准、地方标准的产品，检验项目参照上述内容执行。</w:t>
      </w:r>
    </w:p>
    <w:p w14:paraId="5DD7F516">
      <w:pPr>
        <w:spacing w:line="500" w:lineRule="exact"/>
        <w:ind w:firstLine="420" w:firstLineChars="200"/>
        <w:rPr>
          <w:rFonts w:hint="eastAsia" w:cs="Arial" w:asciiTheme="minorEastAsia" w:hAnsiTheme="minorEastAsia"/>
          <w:szCs w:val="21"/>
        </w:rPr>
      </w:pPr>
      <w:r>
        <w:rPr>
          <w:rFonts w:hint="eastAsia" w:cs="Arial" w:asciiTheme="minorEastAsia" w:hAnsiTheme="minorEastAsia"/>
          <w:szCs w:val="21"/>
        </w:rPr>
        <w:t>凡是注日期的文件，其随后所有的修改单（不包括勘误的内容）或修订版不适用于本细则。凡是不注日期的文件，其最新版本适用于本细则。</w:t>
      </w:r>
    </w:p>
    <w:p w14:paraId="0D9020BC">
      <w:pPr>
        <w:spacing w:line="500" w:lineRule="exact"/>
        <w:ind w:firstLine="420" w:firstLineChars="200"/>
        <w:rPr>
          <w:rFonts w:hint="eastAsia" w:cs="Arial" w:asciiTheme="minorEastAsia" w:hAnsiTheme="minorEastAsia"/>
          <w:szCs w:val="21"/>
        </w:rPr>
      </w:pPr>
      <w:r>
        <w:rPr>
          <w:rFonts w:hint="eastAsia" w:cs="Arial" w:asciiTheme="minorEastAsia" w:hAnsiTheme="minorEastAsia"/>
          <w:szCs w:val="21"/>
        </w:rPr>
        <w:t>复检时所检测的样品为备用样品。</w:t>
      </w:r>
    </w:p>
    <w:p w14:paraId="10F9F782">
      <w:pPr>
        <w:snapToGrid w:val="0"/>
        <w:spacing w:line="500" w:lineRule="exact"/>
        <w:rPr>
          <w:rFonts w:hint="eastAsia" w:cs="Arial" w:asciiTheme="minorEastAsia" w:hAnsiTheme="minorEastAsia"/>
          <w:b/>
          <w:bCs/>
          <w:szCs w:val="21"/>
        </w:rPr>
      </w:pPr>
    </w:p>
    <w:p w14:paraId="496FE53A">
      <w:pPr>
        <w:snapToGrid w:val="0"/>
        <w:spacing w:line="500" w:lineRule="exact"/>
        <w:rPr>
          <w:rFonts w:hint="eastAsia" w:cs="Arial" w:asciiTheme="minorEastAsia" w:hAnsiTheme="minorEastAsia"/>
          <w:b/>
          <w:bCs/>
          <w:szCs w:val="21"/>
        </w:rPr>
      </w:pPr>
      <w:r>
        <w:rPr>
          <w:rFonts w:hint="eastAsia" w:cs="Arial" w:asciiTheme="minorEastAsia" w:hAnsiTheme="minorEastAsia"/>
          <w:b/>
          <w:bCs/>
          <w:szCs w:val="21"/>
        </w:rPr>
        <w:t>3.判定原则</w:t>
      </w:r>
    </w:p>
    <w:p w14:paraId="4CFCA4B2">
      <w:pPr>
        <w:spacing w:line="500" w:lineRule="exact"/>
        <w:rPr>
          <w:rFonts w:hint="eastAsia" w:cs="Arial" w:asciiTheme="minorEastAsia" w:hAnsiTheme="minorEastAsia"/>
          <w:szCs w:val="21"/>
        </w:rPr>
      </w:pPr>
      <w:r>
        <w:rPr>
          <w:rFonts w:hint="eastAsia" w:cs="Arial" w:asciiTheme="minorEastAsia" w:hAnsiTheme="minorEastAsia"/>
          <w:szCs w:val="21"/>
        </w:rPr>
        <w:t>3.1判定依据</w:t>
      </w:r>
    </w:p>
    <w:p w14:paraId="669E469D">
      <w:pPr>
        <w:spacing w:line="500" w:lineRule="exact"/>
        <w:ind w:firstLine="420" w:firstLineChars="200"/>
        <w:rPr>
          <w:rFonts w:hint="eastAsia" w:cs="Arial" w:asciiTheme="minorEastAsia" w:hAnsiTheme="minorEastAsia"/>
          <w:szCs w:val="21"/>
        </w:rPr>
      </w:pPr>
      <w:r>
        <w:rPr>
          <w:rFonts w:hint="eastAsia" w:cs="Arial" w:asciiTheme="minorEastAsia" w:hAnsiTheme="minorEastAsia"/>
          <w:szCs w:val="21"/>
        </w:rPr>
        <w:t>G</w:t>
      </w:r>
      <w:r>
        <w:rPr>
          <w:rFonts w:cs="Arial" w:asciiTheme="minorEastAsia" w:hAnsiTheme="minorEastAsia"/>
          <w:szCs w:val="21"/>
        </w:rPr>
        <w:t>B 30585-20</w:t>
      </w:r>
      <w:r>
        <w:rPr>
          <w:rFonts w:hint="eastAsia" w:cs="Arial" w:asciiTheme="minorEastAsia" w:hAnsiTheme="minorEastAsia"/>
          <w:szCs w:val="21"/>
        </w:rPr>
        <w:t>24 童鞋安全技术规范</w:t>
      </w:r>
    </w:p>
    <w:p w14:paraId="62686F98">
      <w:pPr>
        <w:spacing w:line="500" w:lineRule="exact"/>
        <w:ind w:firstLine="420" w:firstLineChars="200"/>
        <w:rPr>
          <w:rFonts w:hint="eastAsia" w:cs="Arial" w:asciiTheme="minorEastAsia" w:hAnsiTheme="minorEastAsia"/>
          <w:szCs w:val="21"/>
        </w:rPr>
      </w:pPr>
      <w:r>
        <w:rPr>
          <w:rFonts w:hint="eastAsia" w:cs="Arial" w:asciiTheme="minorEastAsia" w:hAnsiTheme="minorEastAsia"/>
          <w:szCs w:val="21"/>
        </w:rPr>
        <w:t>GB 25038-2024 鞋类通用安全要求</w:t>
      </w:r>
    </w:p>
    <w:p w14:paraId="1790BCC6">
      <w:pPr>
        <w:spacing w:line="500" w:lineRule="exact"/>
        <w:ind w:firstLine="420" w:firstLineChars="200"/>
        <w:rPr>
          <w:rFonts w:hint="eastAsia" w:cs="Arial" w:asciiTheme="minorEastAsia" w:hAnsiTheme="minorEastAsia"/>
          <w:szCs w:val="21"/>
        </w:rPr>
      </w:pPr>
      <w:r>
        <w:rPr>
          <w:rFonts w:hint="eastAsia" w:cs="Arial" w:asciiTheme="minorEastAsia" w:hAnsiTheme="minorEastAsia"/>
          <w:szCs w:val="21"/>
        </w:rPr>
        <w:t>QB/T 2956-2017 鞋类外底 等</w:t>
      </w:r>
    </w:p>
    <w:p w14:paraId="67376F52">
      <w:pPr>
        <w:spacing w:line="500" w:lineRule="exact"/>
        <w:ind w:firstLine="420" w:firstLineChars="200"/>
        <w:rPr>
          <w:rFonts w:hint="eastAsia" w:cs="Arial" w:asciiTheme="minorEastAsia" w:hAnsiTheme="minorEastAsia"/>
          <w:szCs w:val="21"/>
        </w:rPr>
      </w:pPr>
      <w:r>
        <w:rPr>
          <w:rFonts w:hint="eastAsia" w:cs="Arial" w:asciiTheme="minorEastAsia" w:hAnsiTheme="minorEastAsia"/>
          <w:szCs w:val="21"/>
        </w:rPr>
        <w:t>现行有效的国家标准、行业标准、地方标准、团体标准、企业标准及产品明示质量要求。</w:t>
      </w:r>
    </w:p>
    <w:p w14:paraId="5A1F9449">
      <w:pPr>
        <w:spacing w:line="500" w:lineRule="exact"/>
        <w:rPr>
          <w:rFonts w:hint="eastAsia" w:cs="Arial" w:asciiTheme="minorEastAsia" w:hAnsiTheme="minorEastAsia"/>
          <w:szCs w:val="21"/>
        </w:rPr>
      </w:pPr>
      <w:r>
        <w:rPr>
          <w:rFonts w:hint="eastAsia" w:cs="Arial" w:asciiTheme="minorEastAsia" w:hAnsiTheme="minorEastAsia"/>
          <w:szCs w:val="21"/>
        </w:rPr>
        <w:t>3.2判定原则</w:t>
      </w:r>
    </w:p>
    <w:p w14:paraId="3A09ED01">
      <w:pPr>
        <w:spacing w:line="500" w:lineRule="exact"/>
        <w:ind w:firstLine="420" w:firstLineChars="200"/>
        <w:rPr>
          <w:rFonts w:hint="eastAsia" w:cs="Arial" w:asciiTheme="minorEastAsia" w:hAnsiTheme="minorEastAsia"/>
          <w:szCs w:val="21"/>
        </w:rPr>
      </w:pPr>
      <w:bookmarkStart w:id="0" w:name="_Hlk33514746"/>
      <w:r>
        <w:rPr>
          <w:rFonts w:hint="eastAsia" w:cs="Arial" w:asciiTheme="minorEastAsia" w:hAnsiTheme="minorEastAsia"/>
          <w:szCs w:val="21"/>
        </w:rPr>
        <w:t>若被检产品明示的质量要求高于本细则中检验项目依据的标准要求时，应按被检产品明示的质量要求判定。</w:t>
      </w:r>
    </w:p>
    <w:p w14:paraId="29D60F3D">
      <w:pPr>
        <w:spacing w:line="500" w:lineRule="exact"/>
        <w:ind w:firstLine="420" w:firstLineChars="200"/>
        <w:rPr>
          <w:rFonts w:hint="eastAsia" w:cs="Arial" w:asciiTheme="minorEastAsia" w:hAnsiTheme="minorEastAsia"/>
          <w:szCs w:val="21"/>
        </w:rPr>
      </w:pPr>
      <w:r>
        <w:rPr>
          <w:rFonts w:hint="eastAsia" w:cs="Arial" w:asciiTheme="minorEastAsia" w:hAnsiTheme="minorEastAsia"/>
          <w:szCs w:val="21"/>
        </w:rPr>
        <w:t>若被检产品明示的质量要求低于本细则中检验项目依据的强制性标准要求时，应按照强制性标准要求判定。</w:t>
      </w:r>
      <w:bookmarkStart w:id="1" w:name="_GoBack"/>
      <w:bookmarkEnd w:id="1"/>
    </w:p>
    <w:p w14:paraId="141362C4">
      <w:pPr>
        <w:spacing w:line="500" w:lineRule="exact"/>
        <w:ind w:firstLine="420" w:firstLineChars="200"/>
        <w:rPr>
          <w:rFonts w:hint="eastAsia" w:cs="Arial" w:asciiTheme="minorEastAsia" w:hAnsiTheme="minorEastAsia"/>
          <w:szCs w:val="21"/>
        </w:rPr>
      </w:pPr>
      <w:r>
        <w:rPr>
          <w:rFonts w:hint="eastAsia" w:cs="Arial" w:asciiTheme="minorEastAsia" w:hAnsiTheme="minorEastAsia"/>
          <w:szCs w:val="21"/>
        </w:rPr>
        <w:t>若被检产品明示的质量要求低于或包含本细则中检验项目依据的推荐性标准要求时，应以被检产品明示的质量要求判定。</w:t>
      </w:r>
    </w:p>
    <w:p w14:paraId="46C0B73E">
      <w:pPr>
        <w:spacing w:line="500" w:lineRule="exact"/>
        <w:ind w:firstLine="420" w:firstLineChars="200"/>
        <w:rPr>
          <w:rFonts w:hint="eastAsia" w:cs="Arial" w:asciiTheme="minorEastAsia" w:hAnsiTheme="minorEastAsia"/>
          <w:szCs w:val="21"/>
        </w:rPr>
      </w:pPr>
      <w:r>
        <w:rPr>
          <w:rFonts w:hint="eastAsia" w:cs="Arial" w:asciiTheme="minorEastAsia" w:hAnsiTheme="minorEastAsia"/>
          <w:szCs w:val="21"/>
        </w:rPr>
        <w:t>若被检产品明示的质量要求缺少本细则中检验项目依据的强制性标准要求时，应按照强制性标准要求判定。</w:t>
      </w:r>
    </w:p>
    <w:p w14:paraId="6A42AEA5">
      <w:pPr>
        <w:spacing w:line="500" w:lineRule="exact"/>
        <w:ind w:firstLine="420" w:firstLineChars="200"/>
        <w:rPr>
          <w:rFonts w:hint="eastAsia" w:cs="Arial" w:asciiTheme="minorEastAsia" w:hAnsiTheme="minorEastAsia"/>
          <w:szCs w:val="21"/>
        </w:rPr>
      </w:pPr>
      <w:r>
        <w:rPr>
          <w:rFonts w:hint="eastAsia" w:cs="Arial" w:asciiTheme="minorEastAsia" w:hAnsiTheme="minorEastAsia"/>
          <w:szCs w:val="21"/>
        </w:rPr>
        <w:t>若被检产品明示的质量要求缺少本细则中检验项目依据的推荐性标准要求时，该项目不参与判定。</w:t>
      </w:r>
      <w:bookmarkEnd w:id="0"/>
    </w:p>
    <w:p w14:paraId="0687A1C9">
      <w:pPr>
        <w:adjustRightInd w:val="0"/>
        <w:snapToGrid w:val="0"/>
        <w:spacing w:line="440" w:lineRule="exact"/>
        <w:rPr>
          <w:szCs w:val="21"/>
        </w:rPr>
      </w:pPr>
      <w:r>
        <w:rPr>
          <w:rFonts w:hint="eastAsia"/>
          <w:szCs w:val="21"/>
        </w:rPr>
        <w:t>3.3 综合结论判定</w:t>
      </w:r>
    </w:p>
    <w:p w14:paraId="4A94E9F8">
      <w:pPr>
        <w:spacing w:line="500" w:lineRule="exact"/>
        <w:ind w:firstLine="420" w:firstLineChars="200"/>
        <w:rPr>
          <w:rFonts w:hint="eastAsia" w:cs="Arial" w:asciiTheme="minorEastAsia" w:hAnsiTheme="minorEastAsia"/>
          <w:szCs w:val="21"/>
        </w:rPr>
      </w:pPr>
      <w:r>
        <w:rPr>
          <w:rFonts w:hint="eastAsia" w:cs="Arial" w:asciiTheme="minorEastAsia" w:hAnsiTheme="minorEastAsia"/>
          <w:szCs w:val="21"/>
        </w:rPr>
        <w:t>检样中一个或一个以上项目出现不符合执行要求判定的，则检验结论为“存在质量安全风险”。</w:t>
      </w:r>
    </w:p>
    <w:p w14:paraId="29081234">
      <w:pPr>
        <w:spacing w:line="500" w:lineRule="exact"/>
        <w:ind w:firstLine="420" w:firstLineChars="200"/>
        <w:rPr>
          <w:rFonts w:hint="eastAsia" w:ascii="仿宋" w:hAnsi="仿宋" w:eastAsia="仿宋" w:cs="Arial"/>
          <w:sz w:val="28"/>
          <w:szCs w:val="28"/>
        </w:rPr>
      </w:pPr>
      <w:r>
        <w:rPr>
          <w:rFonts w:hint="eastAsia" w:cs="Arial" w:asciiTheme="minorEastAsia" w:hAnsiTheme="minorEastAsia"/>
          <w:szCs w:val="21"/>
        </w:rPr>
        <w:t>所检主要项目的检验结果符合本实施细则要求的，检验结论为“所检项目符合本次风险监控要求”。</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09078F"/>
    <w:multiLevelType w:val="multilevel"/>
    <w:tmpl w:val="5C09078F"/>
    <w:lvl w:ilvl="0" w:tentative="0">
      <w:start w:val="1"/>
      <w:numFmt w:val="decimal"/>
      <w:lvlText w:val="%1"/>
      <w:lvlJc w:val="left"/>
      <w:pPr>
        <w:ind w:left="440" w:hanging="44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CAC"/>
    <w:rsid w:val="000078EF"/>
    <w:rsid w:val="00044032"/>
    <w:rsid w:val="0005238A"/>
    <w:rsid w:val="00087737"/>
    <w:rsid w:val="000B128B"/>
    <w:rsid w:val="000F1AD5"/>
    <w:rsid w:val="000F489A"/>
    <w:rsid w:val="0010212C"/>
    <w:rsid w:val="00120192"/>
    <w:rsid w:val="00132B4E"/>
    <w:rsid w:val="00190612"/>
    <w:rsid w:val="001B68D7"/>
    <w:rsid w:val="001F3375"/>
    <w:rsid w:val="001F7648"/>
    <w:rsid w:val="00223087"/>
    <w:rsid w:val="00253AA0"/>
    <w:rsid w:val="002544D1"/>
    <w:rsid w:val="002606EE"/>
    <w:rsid w:val="0026532A"/>
    <w:rsid w:val="00271B61"/>
    <w:rsid w:val="002951C4"/>
    <w:rsid w:val="00297AB2"/>
    <w:rsid w:val="002A6EBF"/>
    <w:rsid w:val="002C4117"/>
    <w:rsid w:val="002D7869"/>
    <w:rsid w:val="002E7B76"/>
    <w:rsid w:val="00307D40"/>
    <w:rsid w:val="00314FDB"/>
    <w:rsid w:val="00315C31"/>
    <w:rsid w:val="003408CF"/>
    <w:rsid w:val="00366F9C"/>
    <w:rsid w:val="00367CC2"/>
    <w:rsid w:val="00383B47"/>
    <w:rsid w:val="00391ED3"/>
    <w:rsid w:val="003974C9"/>
    <w:rsid w:val="003B5DD7"/>
    <w:rsid w:val="003D6CAC"/>
    <w:rsid w:val="003E25E3"/>
    <w:rsid w:val="00443158"/>
    <w:rsid w:val="00473D7A"/>
    <w:rsid w:val="00496AC2"/>
    <w:rsid w:val="004A26C8"/>
    <w:rsid w:val="004A7204"/>
    <w:rsid w:val="004D199D"/>
    <w:rsid w:val="004E0F51"/>
    <w:rsid w:val="004E3FAC"/>
    <w:rsid w:val="00512C50"/>
    <w:rsid w:val="00525318"/>
    <w:rsid w:val="00543AD8"/>
    <w:rsid w:val="0057057F"/>
    <w:rsid w:val="00587952"/>
    <w:rsid w:val="00594BB5"/>
    <w:rsid w:val="005A19C7"/>
    <w:rsid w:val="005A1A8A"/>
    <w:rsid w:val="005A36C7"/>
    <w:rsid w:val="005C5C84"/>
    <w:rsid w:val="005D564B"/>
    <w:rsid w:val="005F0514"/>
    <w:rsid w:val="00611ACD"/>
    <w:rsid w:val="00615E75"/>
    <w:rsid w:val="00633234"/>
    <w:rsid w:val="00652626"/>
    <w:rsid w:val="00656543"/>
    <w:rsid w:val="00661C78"/>
    <w:rsid w:val="00675034"/>
    <w:rsid w:val="00690630"/>
    <w:rsid w:val="006939F7"/>
    <w:rsid w:val="006A0A19"/>
    <w:rsid w:val="006A2537"/>
    <w:rsid w:val="006C4911"/>
    <w:rsid w:val="006C78E8"/>
    <w:rsid w:val="006D6538"/>
    <w:rsid w:val="00702646"/>
    <w:rsid w:val="007455BC"/>
    <w:rsid w:val="007C5353"/>
    <w:rsid w:val="007C77A7"/>
    <w:rsid w:val="007D53DE"/>
    <w:rsid w:val="007E4AF0"/>
    <w:rsid w:val="007F252C"/>
    <w:rsid w:val="00805E9E"/>
    <w:rsid w:val="00812664"/>
    <w:rsid w:val="00817D06"/>
    <w:rsid w:val="00831950"/>
    <w:rsid w:val="00835D83"/>
    <w:rsid w:val="00842D5F"/>
    <w:rsid w:val="0085144D"/>
    <w:rsid w:val="00864224"/>
    <w:rsid w:val="008708DF"/>
    <w:rsid w:val="008724CA"/>
    <w:rsid w:val="0088526C"/>
    <w:rsid w:val="00892B1F"/>
    <w:rsid w:val="008B4AE1"/>
    <w:rsid w:val="008C0694"/>
    <w:rsid w:val="00930C48"/>
    <w:rsid w:val="00932A48"/>
    <w:rsid w:val="009352B2"/>
    <w:rsid w:val="00943ABA"/>
    <w:rsid w:val="00981D6E"/>
    <w:rsid w:val="00981F0F"/>
    <w:rsid w:val="009863CB"/>
    <w:rsid w:val="009B6930"/>
    <w:rsid w:val="009C0B15"/>
    <w:rsid w:val="009D5F91"/>
    <w:rsid w:val="009F25FA"/>
    <w:rsid w:val="00A00ED8"/>
    <w:rsid w:val="00A2507F"/>
    <w:rsid w:val="00A31BF7"/>
    <w:rsid w:val="00A42A8E"/>
    <w:rsid w:val="00A625AC"/>
    <w:rsid w:val="00A741AF"/>
    <w:rsid w:val="00AC2B67"/>
    <w:rsid w:val="00AE030E"/>
    <w:rsid w:val="00B442F6"/>
    <w:rsid w:val="00B71EB3"/>
    <w:rsid w:val="00B92C87"/>
    <w:rsid w:val="00BC1C53"/>
    <w:rsid w:val="00BE55CD"/>
    <w:rsid w:val="00BE6888"/>
    <w:rsid w:val="00C04F5B"/>
    <w:rsid w:val="00C3148A"/>
    <w:rsid w:val="00C3280A"/>
    <w:rsid w:val="00C560D7"/>
    <w:rsid w:val="00C92835"/>
    <w:rsid w:val="00CA1F42"/>
    <w:rsid w:val="00CA3681"/>
    <w:rsid w:val="00CC1C4D"/>
    <w:rsid w:val="00CC2DD4"/>
    <w:rsid w:val="00CC5283"/>
    <w:rsid w:val="00CE29F0"/>
    <w:rsid w:val="00CE7106"/>
    <w:rsid w:val="00D17EE8"/>
    <w:rsid w:val="00D23349"/>
    <w:rsid w:val="00D27E46"/>
    <w:rsid w:val="00D34CB4"/>
    <w:rsid w:val="00D42038"/>
    <w:rsid w:val="00D46125"/>
    <w:rsid w:val="00D56F46"/>
    <w:rsid w:val="00D85A7A"/>
    <w:rsid w:val="00DD78BE"/>
    <w:rsid w:val="00DE57D4"/>
    <w:rsid w:val="00DE67D7"/>
    <w:rsid w:val="00DF6118"/>
    <w:rsid w:val="00E241B9"/>
    <w:rsid w:val="00E425ED"/>
    <w:rsid w:val="00E46609"/>
    <w:rsid w:val="00E64C79"/>
    <w:rsid w:val="00E74A0D"/>
    <w:rsid w:val="00E96D56"/>
    <w:rsid w:val="00EA5DCC"/>
    <w:rsid w:val="00F05CDB"/>
    <w:rsid w:val="00F20119"/>
    <w:rsid w:val="00F2740D"/>
    <w:rsid w:val="00F4257D"/>
    <w:rsid w:val="00F42D99"/>
    <w:rsid w:val="00F43F70"/>
    <w:rsid w:val="00F51089"/>
    <w:rsid w:val="00F7045D"/>
    <w:rsid w:val="00F710D7"/>
    <w:rsid w:val="00FC2390"/>
    <w:rsid w:val="00FE1DE2"/>
    <w:rsid w:val="4EEE04B9"/>
    <w:rsid w:val="5F840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tabs>
        <w:tab w:val="center" w:pos="4153"/>
        <w:tab w:val="right" w:pos="8306"/>
      </w:tabs>
      <w:snapToGrid w:val="0"/>
      <w:jc w:val="center"/>
    </w:pPr>
    <w:rPr>
      <w:sz w:val="18"/>
      <w:szCs w:val="18"/>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qFormat/>
    <w:uiPriority w:val="99"/>
    <w:rPr>
      <w:sz w:val="18"/>
      <w:szCs w:val="18"/>
    </w:rPr>
  </w:style>
  <w:style w:type="character" w:customStyle="1" w:styleId="8">
    <w:name w:val="页脚 字符"/>
    <w:basedOn w:val="6"/>
    <w:link w:val="2"/>
    <w:qFormat/>
    <w:uiPriority w:val="99"/>
    <w:rPr>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5F80E5-48BB-42CF-AED3-7EE75838470C}">
  <ds:schemaRefs/>
</ds:datastoreItem>
</file>

<file path=docProps/app.xml><?xml version="1.0" encoding="utf-8"?>
<Properties xmlns="http://schemas.openxmlformats.org/officeDocument/2006/extended-properties" xmlns:vt="http://schemas.openxmlformats.org/officeDocument/2006/docPropsVTypes">
  <Template>Normal</Template>
  <Company>ZQJWL</Company>
  <Pages>2</Pages>
  <Words>1178</Words>
  <Characters>1627</Characters>
  <Lines>13</Lines>
  <Paragraphs>3</Paragraphs>
  <TotalTime>37</TotalTime>
  <ScaleCrop>false</ScaleCrop>
  <LinksUpToDate>false</LinksUpToDate>
  <CharactersWithSpaces>1697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2024-08-29T09:09:00Z</dcterms:created>
  <dc:creator>晨</dc:creator>
  <cp:lastModifiedBy>徐晨</cp:lastModifiedBy>
  <dcterms:modified xsi:type="dcterms:W3CDTF">2025-06-10T01:43:24Z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eyJoZGlkIjoiMTFiZTllYTM3NWJiNGJhODAxMzg1YzY3MDNkMTg2ZjIiLCJ1c2VySWQiOiIxNjg2MjUyNTE0In0=</vt:lpwstr>
  </property>
  <property fmtid="{D5CDD505-2E9C-101B-9397-08002B2CF9AE}" pid="3" name="KSOProductBuildVer">
    <vt:lpwstr>2052-12.1.0.20784</vt:lpwstr>
  </property>
  <property fmtid="{D5CDD505-2E9C-101B-9397-08002B2CF9AE}" pid="4" name="ICV">
    <vt:lpwstr>037DB945F47F433D8A28DDF780BE0AF3_12</vt:lpwstr>
  </property>
</Properties>
</file>