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97E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乐清市产业政策奖补资金兑现管理办法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征求意见稿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》的起草说明</w:t>
      </w:r>
    </w:p>
    <w:bookmarkEnd w:id="0"/>
    <w:p w14:paraId="4325BAB1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</w:p>
    <w:p w14:paraId="7F97CDE1">
      <w:pPr>
        <w:spacing w:line="560" w:lineRule="exact"/>
        <w:ind w:firstLine="640" w:firstLineChars="200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现就</w:t>
      </w:r>
      <w:r>
        <w:rPr>
          <w:rFonts w:hint="default" w:ascii="Times New Roman" w:hAnsi="Times New Roman" w:cs="Times New Roman"/>
          <w:kern w:val="0"/>
        </w:rPr>
        <w:t>《乐清市产业政策奖补资金兑现管理办法</w:t>
      </w:r>
      <w:r>
        <w:rPr>
          <w:rFonts w:hint="default" w:ascii="Times New Roman" w:hAnsi="Times New Roman" w:cs="Times New Roman"/>
          <w:kern w:val="0"/>
          <w:lang w:eastAsia="zh-CN"/>
        </w:rPr>
        <w:t>（</w:t>
      </w:r>
      <w:r>
        <w:rPr>
          <w:rFonts w:hint="default" w:ascii="Times New Roman" w:hAnsi="Times New Roman" w:cs="Times New Roman"/>
          <w:kern w:val="0"/>
        </w:rPr>
        <w:t>征求意见稿</w:t>
      </w:r>
      <w:r>
        <w:rPr>
          <w:rFonts w:hint="default" w:ascii="Times New Roman" w:hAnsi="Times New Roman" w:cs="Times New Roman"/>
          <w:kern w:val="0"/>
          <w:lang w:eastAsia="zh-CN"/>
        </w:rPr>
        <w:t>）</w:t>
      </w:r>
      <w:r>
        <w:rPr>
          <w:rFonts w:hint="default" w:ascii="Times New Roman" w:hAnsi="Times New Roman" w:cs="Times New Roman"/>
          <w:kern w:val="0"/>
        </w:rPr>
        <w:t>》</w:t>
      </w:r>
      <w:r>
        <w:rPr>
          <w:rFonts w:hint="default" w:ascii="Times New Roman" w:hAnsi="Times New Roman" w:cs="Times New Roman"/>
          <w:kern w:val="0"/>
        </w:rPr>
        <w:t>有关情况说明如下：</w:t>
      </w:r>
    </w:p>
    <w:p w14:paraId="6AA18954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一</w:t>
      </w:r>
      <w:r>
        <w:rPr>
          <w:rFonts w:hint="default" w:ascii="Times New Roman" w:hAnsi="Times New Roman" w:eastAsia="黑体" w:cs="Times New Roman"/>
          <w:kern w:val="0"/>
        </w:rPr>
        <w:t>、</w:t>
      </w:r>
      <w:r>
        <w:rPr>
          <w:rFonts w:hint="default" w:ascii="Times New Roman" w:hAnsi="Times New Roman" w:eastAsia="黑体" w:cs="Times New Roman"/>
          <w:kern w:val="0"/>
        </w:rPr>
        <w:t>文件制定背景</w:t>
      </w:r>
    </w:p>
    <w:p w14:paraId="03F32C0A">
      <w:pPr>
        <w:spacing w:line="560" w:lineRule="exact"/>
        <w:ind w:firstLine="640" w:firstLineChars="200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《乐清市产业政策奖补资金兑现管理办法》（乐政办发</w:t>
      </w:r>
      <w:r>
        <w:rPr>
          <w:rFonts w:hint="default" w:ascii="Times New Roman" w:hAnsi="Times New Roman" w:cs="Times New Roman"/>
          <w:kern w:val="0"/>
          <w:lang w:eastAsia="zh-CN"/>
        </w:rPr>
        <w:t>〔2020〕28号</w:t>
      </w:r>
      <w:r>
        <w:rPr>
          <w:rFonts w:hint="default" w:ascii="Times New Roman" w:hAnsi="Times New Roman" w:cs="Times New Roman"/>
          <w:kern w:val="0"/>
        </w:rPr>
        <w:t>）于</w:t>
      </w:r>
      <w:r>
        <w:rPr>
          <w:rFonts w:hint="default" w:ascii="Times New Roman" w:hAnsi="Times New Roman" w:cs="Times New Roman"/>
          <w:kern w:val="0"/>
        </w:rPr>
        <w:t>2020</w:t>
      </w:r>
      <w:r>
        <w:rPr>
          <w:rFonts w:hint="default" w:ascii="Times New Roman" w:hAnsi="Times New Roman" w:cs="Times New Roman"/>
          <w:kern w:val="0"/>
        </w:rPr>
        <w:t>年</w:t>
      </w:r>
      <w:r>
        <w:rPr>
          <w:rFonts w:hint="default" w:ascii="Times New Roman" w:hAnsi="Times New Roman" w:cs="Times New Roman"/>
          <w:kern w:val="0"/>
        </w:rPr>
        <w:t>10</w:t>
      </w:r>
      <w:r>
        <w:rPr>
          <w:rFonts w:hint="default" w:ascii="Times New Roman" w:hAnsi="Times New Roman" w:cs="Times New Roman"/>
          <w:kern w:val="0"/>
        </w:rPr>
        <w:t>月制定实施以来，对规范我市产业政策奖补资金兑现，优化我市营商环境、推动我市经济高质量发展起到了推动作用。</w:t>
      </w:r>
      <w:r>
        <w:rPr>
          <w:rFonts w:hint="default" w:ascii="Times New Roman" w:hAnsi="Times New Roman" w:cs="Times New Roman"/>
          <w:kern w:val="0"/>
        </w:rPr>
        <w:t>2023</w:t>
      </w:r>
      <w:r>
        <w:rPr>
          <w:rFonts w:hint="default" w:ascii="Times New Roman" w:hAnsi="Times New Roman" w:cs="Times New Roman"/>
          <w:kern w:val="0"/>
        </w:rPr>
        <w:t>年</w:t>
      </w:r>
      <w:r>
        <w:rPr>
          <w:rFonts w:hint="default" w:ascii="Times New Roman" w:hAnsi="Times New Roman" w:cs="Times New Roman"/>
          <w:kern w:val="0"/>
        </w:rPr>
        <w:t>1</w:t>
      </w:r>
      <w:r>
        <w:rPr>
          <w:rFonts w:hint="default" w:ascii="Times New Roman" w:hAnsi="Times New Roman" w:cs="Times New Roman"/>
          <w:kern w:val="0"/>
        </w:rPr>
        <w:t>月温州市出台了最新产业政策奖补资金兑现管理办法，根据该办法精神，结合我市实际情况，为进一步规范我市产业政策的统筹管理和执行，提高资金兑现的质效，对《乐清市产业政策奖补资金兑现管理办法》进行修订完善。</w:t>
      </w:r>
    </w:p>
    <w:p w14:paraId="3BA9738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二</w:t>
      </w:r>
      <w:r>
        <w:rPr>
          <w:rFonts w:hint="default" w:ascii="Times New Roman" w:hAnsi="Times New Roman" w:eastAsia="黑体" w:cs="Times New Roman"/>
          <w:kern w:val="0"/>
        </w:rPr>
        <w:t>、文件制定过程</w:t>
      </w:r>
    </w:p>
    <w:p w14:paraId="7937DF17"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:kern w:val="0"/>
        </w:rPr>
      </w:pPr>
      <w:r>
        <w:rPr>
          <w:rFonts w:hint="default" w:ascii="Times New Roman" w:hAnsi="Times New Roman" w:cs="Times New Roman"/>
          <w:kern w:val="0"/>
        </w:rPr>
        <w:t>该文件</w:t>
      </w:r>
      <w:r>
        <w:rPr>
          <w:rFonts w:hint="default" w:ascii="Times New Roman" w:hAnsi="Times New Roman" w:cs="Times New Roman"/>
          <w:kern w:val="0"/>
        </w:rPr>
        <w:t>于2023</w:t>
      </w:r>
      <w:r>
        <w:rPr>
          <w:rFonts w:hint="default" w:ascii="Times New Roman" w:hAnsi="Times New Roman" w:cs="Times New Roman"/>
          <w:kern w:val="0"/>
        </w:rPr>
        <w:t>年</w:t>
      </w:r>
      <w:r>
        <w:rPr>
          <w:rFonts w:hint="default" w:ascii="Times New Roman" w:hAnsi="Times New Roman" w:cs="Times New Roman"/>
          <w:kern w:val="0"/>
        </w:rPr>
        <w:t>2</w:t>
      </w:r>
      <w:r>
        <w:rPr>
          <w:rFonts w:hint="default" w:ascii="Times New Roman" w:hAnsi="Times New Roman" w:cs="Times New Roman"/>
          <w:kern w:val="0"/>
        </w:rPr>
        <w:t>月</w:t>
      </w:r>
      <w:r>
        <w:rPr>
          <w:rFonts w:hint="default" w:ascii="Times New Roman" w:hAnsi="Times New Roman" w:cs="Times New Roman"/>
          <w:kern w:val="0"/>
        </w:rPr>
        <w:t>初</w:t>
      </w:r>
      <w:r>
        <w:rPr>
          <w:rFonts w:hint="default" w:ascii="Times New Roman" w:hAnsi="Times New Roman" w:cs="Times New Roman"/>
          <w:kern w:val="0"/>
        </w:rPr>
        <w:t>开始由</w:t>
      </w:r>
      <w:r>
        <w:rPr>
          <w:rFonts w:hint="default" w:ascii="Times New Roman" w:hAnsi="Times New Roman" w:cs="Times New Roman"/>
          <w:kern w:val="0"/>
        </w:rPr>
        <w:t>乐清市财政局对我市产业政策奖补资金兑现管理办法进行修订，形成初稿。2月下旬经局内相关业务科室对修订内容的</w:t>
      </w:r>
      <w:r>
        <w:rPr>
          <w:rFonts w:hint="default" w:ascii="Times New Roman" w:hAnsi="Times New Roman" w:cs="Times New Roman"/>
          <w:kern w:val="0"/>
        </w:rPr>
        <w:t>必要性、可行性</w:t>
      </w:r>
      <w:r>
        <w:rPr>
          <w:rFonts w:hint="default" w:ascii="Times New Roman" w:hAnsi="Times New Roman" w:cs="Times New Roman"/>
          <w:kern w:val="0"/>
        </w:rPr>
        <w:t>等进行</w:t>
      </w:r>
      <w:r>
        <w:rPr>
          <w:rFonts w:hint="default" w:ascii="Times New Roman" w:hAnsi="Times New Roman" w:cs="Times New Roman"/>
          <w:kern w:val="0"/>
        </w:rPr>
        <w:t>调研论证</w:t>
      </w:r>
      <w:r>
        <w:rPr>
          <w:rFonts w:hint="default" w:ascii="Times New Roman" w:hAnsi="Times New Roman" w:cs="Times New Roman"/>
          <w:kern w:val="0"/>
        </w:rPr>
        <w:t>，对管理办法进行修改完善</w:t>
      </w:r>
      <w:r>
        <w:rPr>
          <w:rFonts w:hint="default" w:ascii="Times New Roman" w:hAnsi="Times New Roman" w:cs="Times New Roman"/>
          <w:kern w:val="0"/>
        </w:rPr>
        <w:t>。</w:t>
      </w:r>
      <w:r>
        <w:rPr>
          <w:rFonts w:hint="default" w:ascii="Times New Roman" w:hAnsi="Times New Roman" w:cs="Times New Roman"/>
          <w:kern w:val="0"/>
        </w:rPr>
        <w:t>2022</w:t>
      </w:r>
      <w:r>
        <w:rPr>
          <w:rFonts w:hint="default" w:ascii="Times New Roman" w:hAnsi="Times New Roman" w:cs="Times New Roman"/>
          <w:kern w:val="0"/>
        </w:rPr>
        <w:t>年</w:t>
      </w:r>
      <w:r>
        <w:rPr>
          <w:rFonts w:hint="default" w:ascii="Times New Roman" w:hAnsi="Times New Roman" w:cs="Times New Roman"/>
          <w:color w:val="000000" w:themeColor="text1"/>
          <w:kern w:val="0"/>
        </w:rPr>
        <w:t>3</w:t>
      </w:r>
      <w:r>
        <w:rPr>
          <w:rFonts w:hint="default" w:ascii="Times New Roman" w:hAnsi="Times New Roman" w:cs="Times New Roman"/>
          <w:color w:val="000000" w:themeColor="text1"/>
          <w:kern w:val="0"/>
        </w:rPr>
        <w:t>月</w:t>
      </w:r>
      <w:r>
        <w:rPr>
          <w:rFonts w:hint="default" w:ascii="Times New Roman" w:hAnsi="Times New Roman" w:cs="Times New Roman"/>
          <w:color w:val="000000" w:themeColor="text1"/>
          <w:kern w:val="0"/>
        </w:rPr>
        <w:t>17</w:t>
      </w:r>
      <w:r>
        <w:rPr>
          <w:rFonts w:hint="default" w:ascii="Times New Roman" w:hAnsi="Times New Roman" w:cs="Times New Roman"/>
          <w:color w:val="000000" w:themeColor="text1"/>
          <w:kern w:val="0"/>
        </w:rPr>
        <w:t>日</w:t>
      </w:r>
      <w:r>
        <w:rPr>
          <w:rFonts w:hint="default" w:ascii="Times New Roman" w:hAnsi="Times New Roman" w:cs="Times New Roman"/>
          <w:color w:val="000000" w:themeColor="text1"/>
          <w:kern w:val="0"/>
        </w:rPr>
        <w:t>至2022</w:t>
      </w:r>
      <w:r>
        <w:rPr>
          <w:rFonts w:hint="default" w:ascii="Times New Roman" w:hAnsi="Times New Roman" w:cs="Times New Roman"/>
          <w:color w:val="000000" w:themeColor="text1"/>
          <w:kern w:val="0"/>
        </w:rPr>
        <w:t>年</w:t>
      </w:r>
      <w:r>
        <w:rPr>
          <w:rFonts w:hint="default" w:ascii="Times New Roman" w:hAnsi="Times New Roman" w:cs="Times New Roman"/>
          <w:color w:val="000000" w:themeColor="text1"/>
          <w:kern w:val="0"/>
        </w:rPr>
        <w:t>3</w:t>
      </w:r>
      <w:r>
        <w:rPr>
          <w:rFonts w:hint="default" w:ascii="Times New Roman" w:hAnsi="Times New Roman" w:cs="Times New Roman"/>
          <w:color w:val="000000" w:themeColor="text1"/>
          <w:kern w:val="0"/>
        </w:rPr>
        <w:t>月</w:t>
      </w:r>
      <w:r>
        <w:rPr>
          <w:rFonts w:hint="default" w:ascii="Times New Roman" w:hAnsi="Times New Roman" w:cs="Times New Roman"/>
          <w:color w:val="000000" w:themeColor="text1"/>
          <w:kern w:val="0"/>
        </w:rPr>
        <w:t>21</w:t>
      </w:r>
      <w:r>
        <w:rPr>
          <w:rFonts w:hint="default" w:ascii="Times New Roman" w:hAnsi="Times New Roman" w:cs="Times New Roman"/>
          <w:color w:val="000000" w:themeColor="text1"/>
          <w:kern w:val="0"/>
        </w:rPr>
        <w:t>日</w:t>
      </w:r>
      <w:r>
        <w:rPr>
          <w:rFonts w:hint="default" w:ascii="Times New Roman" w:hAnsi="Times New Roman" w:cs="Times New Roman"/>
          <w:kern w:val="0"/>
        </w:rPr>
        <w:t>发给相关部门（单位）</w:t>
      </w:r>
      <w:r>
        <w:rPr>
          <w:rFonts w:hint="default" w:ascii="Times New Roman" w:hAnsi="Times New Roman" w:cs="Times New Roman"/>
          <w:kern w:val="0"/>
        </w:rPr>
        <w:t>征求意见</w:t>
      </w:r>
      <w:r>
        <w:rPr>
          <w:rFonts w:hint="default" w:ascii="Times New Roman" w:hAnsi="Times New Roman" w:cs="Times New Roman"/>
          <w:color w:val="000000" w:themeColor="text1"/>
          <w:kern w:val="0"/>
        </w:rPr>
        <w:t>。</w:t>
      </w:r>
    </w:p>
    <w:p w14:paraId="109EA52D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kern w:val="0"/>
        </w:rPr>
        <w:t>三</w:t>
      </w:r>
      <w:r>
        <w:rPr>
          <w:rFonts w:hint="default" w:ascii="Times New Roman" w:hAnsi="Times New Roman" w:eastAsia="黑体" w:cs="Times New Roman"/>
          <w:kern w:val="0"/>
        </w:rPr>
        <w:t>、</w:t>
      </w:r>
      <w:r>
        <w:rPr>
          <w:rFonts w:hint="default" w:ascii="Times New Roman" w:hAnsi="Times New Roman" w:eastAsia="黑体" w:cs="Times New Roman"/>
          <w:kern w:val="0"/>
        </w:rPr>
        <w:t>本办法</w:t>
      </w:r>
      <w:r>
        <w:rPr>
          <w:rFonts w:hint="default" w:ascii="Times New Roman" w:hAnsi="Times New Roman" w:eastAsia="黑体" w:cs="Times New Roman"/>
        </w:rPr>
        <w:t>修订涉及主要内容</w:t>
      </w:r>
    </w:p>
    <w:p w14:paraId="2E4BA6C5">
      <w:pPr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 xml:space="preserve">    1.对享受奖补对象资格条件进一步明确。</w:t>
      </w:r>
      <w:r>
        <w:rPr>
          <w:rFonts w:hint="default" w:ascii="Times New Roman" w:hAnsi="Times New Roman" w:eastAsia="黑体" w:cs="Times New Roman"/>
        </w:rPr>
        <w:t>一是</w:t>
      </w:r>
      <w:r>
        <w:rPr>
          <w:rFonts w:hint="default" w:ascii="Times New Roman" w:hAnsi="Times New Roman" w:cs="Times New Roman"/>
        </w:rPr>
        <w:t>明确除产业政策有明确规定外，“亩均论英雄”综合评价B类、C类</w:t>
      </w:r>
      <w:r>
        <w:rPr>
          <w:rFonts w:hint="default" w:ascii="Times New Roman" w:hAnsi="Times New Roman" w:cs="Times New Roman"/>
          <w:color w:val="000000"/>
        </w:rPr>
        <w:t>申报单位，按规定不得申报享受市区产业政策奖补资金。</w:t>
      </w:r>
      <w:r>
        <w:rPr>
          <w:rFonts w:hint="default" w:ascii="Times New Roman" w:hAnsi="Times New Roman" w:eastAsia="黑体" w:cs="Times New Roman"/>
        </w:rPr>
        <w:t>二是</w:t>
      </w:r>
      <w:r>
        <w:rPr>
          <w:rFonts w:hint="default" w:ascii="Times New Roman" w:hAnsi="Times New Roman" w:cs="Times New Roman"/>
        </w:rPr>
        <w:t>考虑政策的导向性，详</w:t>
      </w:r>
      <w:r>
        <w:rPr>
          <w:rFonts w:hint="default" w:ascii="Times New Roman" w:hAnsi="Times New Roman" w:cs="Times New Roman"/>
          <w:color w:val="000000"/>
        </w:rPr>
        <w:t>细</w:t>
      </w:r>
      <w:r>
        <w:rPr>
          <w:rFonts w:hint="default" w:ascii="Times New Roman" w:hAnsi="Times New Roman" w:cs="Times New Roman"/>
          <w:color w:val="000000"/>
          <w:lang w:eastAsia="zh-CN"/>
        </w:rPr>
        <w:t>列举</w:t>
      </w:r>
      <w:r>
        <w:rPr>
          <w:rFonts w:hint="default" w:ascii="Times New Roman" w:hAnsi="Times New Roman" w:cs="Times New Roman"/>
          <w:color w:val="000000"/>
        </w:rPr>
        <w:t>不符合享受资金奖补的具体情况。</w:t>
      </w:r>
    </w:p>
    <w:p w14:paraId="2A0436B5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2.完善资金兑付直达快速机制。</w:t>
      </w:r>
      <w:r>
        <w:rPr>
          <w:rFonts w:hint="default" w:ascii="Times New Roman" w:hAnsi="Times New Roman" w:cs="Times New Roman"/>
          <w:b/>
        </w:rPr>
        <w:t>一是</w:t>
      </w:r>
      <w:r>
        <w:rPr>
          <w:rFonts w:hint="default" w:ascii="Times New Roman" w:hAnsi="Times New Roman" w:cs="Times New Roman"/>
        </w:rPr>
        <w:t>办理时限有所缩短，数据核校类项目办理由25个工作日改为23个工作日；</w:t>
      </w:r>
      <w:r>
        <w:rPr>
          <w:rFonts w:hint="default" w:ascii="Times New Roman" w:hAnsi="Times New Roman" w:cs="Times New Roman"/>
          <w:b/>
        </w:rPr>
        <w:t>二是</w:t>
      </w:r>
      <w:r>
        <w:rPr>
          <w:rFonts w:hint="default" w:ascii="Times New Roman" w:hAnsi="Times New Roman" w:cs="Times New Roman"/>
        </w:rPr>
        <w:t>办理流程有所简化，取消财务分管领导线下在审批单上签字审批环节；</w:t>
      </w:r>
      <w:r>
        <w:rPr>
          <w:rFonts w:hint="default" w:ascii="Times New Roman" w:hAnsi="Times New Roman" w:cs="Times New Roman"/>
          <w:b/>
        </w:rPr>
        <w:t>三是</w:t>
      </w:r>
      <w:r>
        <w:rPr>
          <w:rFonts w:hint="default" w:ascii="Times New Roman" w:hAnsi="Times New Roman" w:cs="Times New Roman"/>
        </w:rPr>
        <w:t>资格定补类项目、大数据批量匹配的数据核校类项目可以“免申即享”，查重无异后，可不公示直接审核通过；</w:t>
      </w:r>
      <w:r>
        <w:rPr>
          <w:rFonts w:hint="default" w:ascii="Times New Roman" w:hAnsi="Times New Roman" w:cs="Times New Roman"/>
          <w:b/>
        </w:rPr>
        <w:t>四是</w:t>
      </w:r>
      <w:r>
        <w:rPr>
          <w:rFonts w:hint="default" w:ascii="Times New Roman" w:hAnsi="Times New Roman" w:cs="Times New Roman"/>
        </w:rPr>
        <w:t>出台新产业政策，要求在政策生效后15个工作日内编制申报指南并纳入兑现系统。</w:t>
      </w:r>
    </w:p>
    <w:p w14:paraId="57FD47BE">
      <w:pPr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eastAsia="楷体_GB2312" w:cs="Times New Roman"/>
        </w:rPr>
        <w:t>3.明确几个时间点，提升办法的可操性。</w:t>
      </w:r>
      <w:r>
        <w:rPr>
          <w:rFonts w:hint="default" w:ascii="Times New Roman" w:hAnsi="Times New Roman" w:cs="Times New Roman"/>
          <w:b/>
        </w:rPr>
        <w:t>一是</w:t>
      </w:r>
      <w:r>
        <w:rPr>
          <w:rFonts w:hint="default" w:ascii="Times New Roman" w:hAnsi="Times New Roman" w:cs="Times New Roman"/>
        </w:rPr>
        <w:t>审查遴选类项目按实际需求办理最长时间由50个工作日改为60个工作日，数据核校类项目须出具审计报告的项目允许再增加25个工作日；</w:t>
      </w:r>
      <w:r>
        <w:rPr>
          <w:rFonts w:hint="default" w:ascii="Times New Roman" w:hAnsi="Times New Roman" w:cs="Times New Roman"/>
          <w:b/>
        </w:rPr>
        <w:t>二是</w:t>
      </w:r>
      <w:r>
        <w:rPr>
          <w:rFonts w:hint="default" w:ascii="Times New Roman" w:hAnsi="Times New Roman" w:cs="Times New Roman"/>
        </w:rPr>
        <w:t>需纳入“三重一大”集体研究决策程序的事项，办理时限可再延长15个工作日；</w:t>
      </w:r>
      <w:r>
        <w:rPr>
          <w:rFonts w:hint="default" w:ascii="Times New Roman" w:hAnsi="Times New Roman" w:cs="Times New Roman"/>
          <w:b/>
        </w:rPr>
        <w:t>三是</w:t>
      </w:r>
      <w:r>
        <w:rPr>
          <w:rFonts w:hint="default" w:ascii="Times New Roman" w:hAnsi="Times New Roman" w:cs="Times New Roman"/>
        </w:rPr>
        <w:t>奖补兑现办理时限均从申报截止到资金拨付确认计算。</w:t>
      </w:r>
    </w:p>
    <w:p w14:paraId="395FA12E">
      <w:pPr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eastAsia="楷体_GB2312" w:cs="Times New Roman"/>
        </w:rPr>
        <w:t>4.完善奖补资金总量控制规定。</w:t>
      </w:r>
      <w:r>
        <w:rPr>
          <w:rFonts w:hint="default" w:ascii="Times New Roman" w:hAnsi="Times New Roman" w:cs="Times New Roman"/>
          <w:b/>
        </w:rPr>
        <w:t>一是</w:t>
      </w:r>
      <w:r>
        <w:rPr>
          <w:rFonts w:hint="default" w:ascii="Times New Roman" w:hAnsi="Times New Roman" w:cs="Times New Roman"/>
        </w:rPr>
        <w:t>新增奖补项目原则上应纳入总量控制，具体是否纳入总量控制由主管部门会同财政部门评估后确定，并在产业政策条款中逐一明确。</w:t>
      </w:r>
      <w:r>
        <w:rPr>
          <w:rFonts w:hint="default" w:ascii="Times New Roman" w:hAnsi="Times New Roman" w:cs="Times New Roman"/>
          <w:b/>
        </w:rPr>
        <w:t>二是</w:t>
      </w:r>
      <w:r>
        <w:rPr>
          <w:rFonts w:hint="default" w:ascii="Times New Roman" w:hAnsi="Times New Roman" w:cs="Times New Roman"/>
        </w:rPr>
        <w:t>在计算企业地方综合贡献度时，明确入库增值税包含出口退税、免抵税额。</w:t>
      </w:r>
      <w:r>
        <w:rPr>
          <w:rFonts w:hint="default" w:ascii="Times New Roman" w:hAnsi="Times New Roman" w:cs="Times New Roman"/>
          <w:b/>
        </w:rPr>
        <w:t>三是</w:t>
      </w:r>
      <w:r>
        <w:rPr>
          <w:rFonts w:hint="default" w:ascii="Times New Roman" w:hAnsi="Times New Roman" w:cs="Times New Roman"/>
        </w:rPr>
        <w:t>试行跨年兑现管理。申报主体因总量控制不能全额兑现奖补的，超出地方综合贡献度部分可在次年总量控制范围内兑现，申报主体连续两年只能有一次跨年兑现。</w:t>
      </w:r>
    </w:p>
    <w:p w14:paraId="6AF44CEB">
      <w:pPr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eastAsia="楷体_GB2312" w:cs="Times New Roman"/>
        </w:rPr>
        <w:t>5. 提出定期修订我市产业政策，与本办法并行。</w:t>
      </w:r>
      <w:r>
        <w:rPr>
          <w:rFonts w:hint="default" w:ascii="Times New Roman" w:hAnsi="Times New Roman" w:cs="Times New Roman"/>
        </w:rPr>
        <w:t>产业政策执行期原则上不超过三年，到期后应结合绩效评价结果及时修订完善。对政策文件未规定时效且执行期已超三年的，原则上不再预算安排，主管部门应及时修订或废止。</w:t>
      </w:r>
    </w:p>
    <w:p w14:paraId="646CBC06">
      <w:pPr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eastAsia="楷体_GB2312" w:cs="Times New Roman"/>
        </w:rPr>
        <w:t>6.完善奖补资金预算追加流程。</w:t>
      </w:r>
      <w:r>
        <w:rPr>
          <w:rFonts w:hint="default" w:ascii="Times New Roman" w:hAnsi="Times New Roman" w:cs="Times New Roman"/>
        </w:rPr>
        <w:t xml:space="preserve">对于实际兑付资金大于年度预算的，主管部门应先在部门年度预算内统筹调配，确需追加的，主管部门应在奖补项目公示前10个工作日按照相关程序提起资金追加，确保奖补资金及时足额兑付到位。 </w:t>
      </w:r>
    </w:p>
    <w:p w14:paraId="41E2D15D">
      <w:pPr>
        <w:spacing w:line="54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楷体_GB2312" w:cs="Times New Roman"/>
        </w:rPr>
        <w:t xml:space="preserve">    7.其他。</w:t>
      </w:r>
      <w:r>
        <w:rPr>
          <w:rFonts w:hint="default" w:ascii="Times New Roman" w:hAnsi="Times New Roman" w:cs="Times New Roman"/>
          <w:color w:val="000000"/>
        </w:rPr>
        <w:t>在惠企政策“直通车”系统企业申领单笔奖补资金低于5000元的不予兑付。</w:t>
      </w:r>
    </w:p>
    <w:p w14:paraId="5BA7C8A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四</w:t>
      </w:r>
      <w:r>
        <w:rPr>
          <w:rFonts w:hint="default" w:ascii="Times New Roman" w:hAnsi="Times New Roman" w:eastAsia="黑体" w:cs="Times New Roman"/>
          <w:kern w:val="0"/>
        </w:rPr>
        <w:t>、文件施行日期及有效期说明</w:t>
      </w:r>
    </w:p>
    <w:p w14:paraId="7DE56FDF"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</w:rPr>
      </w:pPr>
      <w:r>
        <w:rPr>
          <w:rFonts w:hint="default" w:ascii="Times New Roman" w:hAnsi="Times New Roman" w:cs="Times New Roman"/>
          <w:kern w:val="0"/>
        </w:rPr>
        <w:t>该文件</w:t>
      </w:r>
      <w:r>
        <w:rPr>
          <w:rFonts w:hint="default" w:ascii="Times New Roman" w:hAnsi="Times New Roman" w:cs="Times New Roman"/>
          <w:kern w:val="0"/>
        </w:rPr>
        <w:t>自</w:t>
      </w:r>
      <w:r>
        <w:rPr>
          <w:rFonts w:hint="default" w:ascii="Times New Roman" w:hAnsi="Times New Roman" w:cs="Times New Roman"/>
        </w:rPr>
        <w:t>印发之日起实施，有效期至2025年12月31日。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4"/>
        <w:szCs w:val="24"/>
      </w:rPr>
      <w:id w:val="700196"/>
      <w:docPartObj>
        <w:docPartGallery w:val="autotext"/>
      </w:docPartObj>
    </w:sdtPr>
    <w:sdtContent>
      <w:p w14:paraId="00DD0E5A">
        <w:pPr>
          <w:pStyle w:val="2"/>
          <w:jc w:val="center"/>
        </w:pPr>
        <w:r>
          <w:rPr>
            <w:rFonts w:hint="eastAsia" w:asciiTheme="minorEastAsia" w:hAnsiTheme="minorEastAsia" w:eastAsiaTheme="minorEastAsia" w:cs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4"/>
            <w:szCs w:val="24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4"/>
            <w:szCs w:val="24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4"/>
            <w:szCs w:val="24"/>
            <w:lang w:val="zh-CN"/>
          </w:rPr>
          <w:t>3</w:t>
        </w:r>
        <w:r>
          <w:rPr>
            <w:rFonts w:hint="eastAsia" w:asciiTheme="minorEastAsia" w:hAnsiTheme="minorEastAsia" w:eastAsiaTheme="minorEastAsia" w:cstheme="minorEastAsia"/>
            <w:sz w:val="24"/>
            <w:szCs w:val="24"/>
            <w:lang w:val="zh-CN"/>
          </w:rPr>
          <w:fldChar w:fldCharType="end"/>
        </w:r>
      </w:p>
    </w:sdtContent>
  </w:sdt>
  <w:p w14:paraId="192A0A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BEE"/>
    <w:rsid w:val="00030142"/>
    <w:rsid w:val="00043DC8"/>
    <w:rsid w:val="00081D00"/>
    <w:rsid w:val="001378F3"/>
    <w:rsid w:val="001C1EED"/>
    <w:rsid w:val="001D26B1"/>
    <w:rsid w:val="001D41E3"/>
    <w:rsid w:val="00206F65"/>
    <w:rsid w:val="0029066F"/>
    <w:rsid w:val="002A7BEE"/>
    <w:rsid w:val="002F43A0"/>
    <w:rsid w:val="00312279"/>
    <w:rsid w:val="003406EE"/>
    <w:rsid w:val="00344691"/>
    <w:rsid w:val="00364749"/>
    <w:rsid w:val="003C4026"/>
    <w:rsid w:val="00475E0A"/>
    <w:rsid w:val="00484381"/>
    <w:rsid w:val="004964D0"/>
    <w:rsid w:val="004E5C49"/>
    <w:rsid w:val="004F0DC2"/>
    <w:rsid w:val="00500CE0"/>
    <w:rsid w:val="00537DC9"/>
    <w:rsid w:val="0056103C"/>
    <w:rsid w:val="0058607A"/>
    <w:rsid w:val="00642E8C"/>
    <w:rsid w:val="006E4C50"/>
    <w:rsid w:val="007036CC"/>
    <w:rsid w:val="00733976"/>
    <w:rsid w:val="00743394"/>
    <w:rsid w:val="007A2472"/>
    <w:rsid w:val="007A4A18"/>
    <w:rsid w:val="00813DEF"/>
    <w:rsid w:val="008A4FA4"/>
    <w:rsid w:val="008B2263"/>
    <w:rsid w:val="008D3E93"/>
    <w:rsid w:val="008E64BB"/>
    <w:rsid w:val="008F09E5"/>
    <w:rsid w:val="008F559A"/>
    <w:rsid w:val="009157D1"/>
    <w:rsid w:val="00A701E4"/>
    <w:rsid w:val="00A932F6"/>
    <w:rsid w:val="00AA1F54"/>
    <w:rsid w:val="00AA2AAD"/>
    <w:rsid w:val="00B454C1"/>
    <w:rsid w:val="00C05FB7"/>
    <w:rsid w:val="00C13D05"/>
    <w:rsid w:val="00C70B4D"/>
    <w:rsid w:val="00CC223A"/>
    <w:rsid w:val="00D8612A"/>
    <w:rsid w:val="00D87342"/>
    <w:rsid w:val="00D93E5D"/>
    <w:rsid w:val="00D942CA"/>
    <w:rsid w:val="00E0171A"/>
    <w:rsid w:val="00E53C5D"/>
    <w:rsid w:val="00E7374C"/>
    <w:rsid w:val="00E81E73"/>
    <w:rsid w:val="00EE741D"/>
    <w:rsid w:val="00F17634"/>
    <w:rsid w:val="00F43E02"/>
    <w:rsid w:val="00F448D4"/>
    <w:rsid w:val="00F579CE"/>
    <w:rsid w:val="00F81830"/>
    <w:rsid w:val="00FA02B7"/>
    <w:rsid w:val="00FE6FAE"/>
    <w:rsid w:val="174A4926"/>
    <w:rsid w:val="2E2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1E51-52F4-4BD4-AB82-536A53819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3</Pages>
  <Words>1279</Words>
  <Characters>1324</Characters>
  <Lines>9</Lines>
  <Paragraphs>2</Paragraphs>
  <TotalTime>1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2022-05-24T06:26:00Z</dcterms:created>
  <dc:creator>111</dc:creator>
  <cp:lastModifiedBy>倪陈依</cp:lastModifiedBy>
  <cp:lastPrinted>2023-03-22T00:49:00Z</cp:lastPrinted>
  <dcterms:modified xsi:type="dcterms:W3CDTF">2025-05-06T01:41:44Z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eyJoZGlkIjoiZjIzMDAzY2E1YTRmMDMyNmI5MDZiYzQzNWJiZTdkZjUiLCJ1c2VySWQiOiIzNzgzMzg5ODYifQ==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D182E3FE791641C1BB8FB526AA3EAC7A_12</vt:lpwstr>
  </property>
</Properties>
</file>