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9"/>
        <w:keepNext w:val="0"/>
        <w:keepLines w:val="0"/>
        <w:pageBreakBefore w:val="0"/>
        <w:widowControl w:val="0"/>
        <w:kinsoku/>
        <w:wordWrap/>
        <w:overflowPunct/>
        <w:autoSpaceDE/>
        <w:autoSpaceDN/>
        <w:bidi w:val="0"/>
        <w:spacing w:line="560" w:lineRule="exact"/>
        <w:textAlignment w:val="auto"/>
        <w:rPr>
          <w:rFonts w:hint="eastAsia"/>
          <w:lang w:val="en-US" w:eastAsia="zh-CN"/>
        </w:rPr>
      </w:pPr>
    </w:p>
    <w:p>
      <w:pPr>
        <w:pStyle w:val="9"/>
        <w:keepNext w:val="0"/>
        <w:keepLines w:val="0"/>
        <w:pageBreakBefore w:val="0"/>
        <w:widowControl w:val="0"/>
        <w:kinsoku/>
        <w:wordWrap/>
        <w:overflowPunct/>
        <w:bidi w:val="0"/>
        <w:spacing w:line="600" w:lineRule="exact"/>
        <w:ind w:left="0" w:leftChars="0" w:firstLine="0" w:firstLineChars="0"/>
        <w:jc w:val="center"/>
        <w:textAlignment w:val="auto"/>
        <w:rPr>
          <w:rFonts w:hint="default" w:ascii="Times New Roman" w:hAnsi="Times New Roman" w:eastAsia="方正小标宋简体" w:cs="Times New Roman"/>
          <w:snapToGrid/>
          <w:color w:val="auto"/>
          <w:kern w:val="2"/>
          <w:sz w:val="44"/>
          <w:szCs w:val="44"/>
          <w:lang w:val="en" w:eastAsia="zh-CN" w:bidi="ar-SA"/>
        </w:rPr>
      </w:pPr>
      <w:r>
        <w:rPr>
          <w:rFonts w:hint="eastAsia" w:ascii="Times New Roman" w:hAnsi="Times New Roman" w:eastAsia="方正小标宋简体" w:cs="Times New Roman"/>
          <w:snapToGrid/>
          <w:color w:val="auto"/>
          <w:kern w:val="2"/>
          <w:sz w:val="44"/>
          <w:szCs w:val="44"/>
          <w:lang w:val="en" w:eastAsia="zh-CN" w:bidi="ar-SA"/>
        </w:rPr>
        <w:t>青田县</w:t>
      </w:r>
      <w:r>
        <w:rPr>
          <w:rFonts w:hint="default" w:ascii="Times New Roman" w:hAnsi="Times New Roman" w:eastAsia="方正小标宋简体" w:cs="Times New Roman"/>
          <w:snapToGrid/>
          <w:color w:val="auto"/>
          <w:kern w:val="2"/>
          <w:sz w:val="44"/>
          <w:szCs w:val="44"/>
          <w:lang w:val="en" w:eastAsia="zh-CN" w:bidi="ar-SA"/>
        </w:rPr>
        <w:t>财政局关于</w:t>
      </w:r>
      <w:r>
        <w:rPr>
          <w:rFonts w:hint="eastAsia" w:ascii="Times New Roman" w:hAnsi="Times New Roman" w:eastAsia="方正小标宋简体" w:cs="Times New Roman"/>
          <w:snapToGrid/>
          <w:color w:val="auto"/>
          <w:kern w:val="2"/>
          <w:sz w:val="44"/>
          <w:szCs w:val="44"/>
          <w:lang w:val="en" w:eastAsia="zh-CN" w:bidi="ar-SA"/>
        </w:rPr>
        <w:t>青田县城</w:t>
      </w:r>
      <w:r>
        <w:rPr>
          <w:rFonts w:hint="eastAsia" w:ascii="Times New Roman" w:hAnsi="Times New Roman" w:eastAsia="方正小标宋简体" w:cs="Times New Roman"/>
          <w:snapToGrid/>
          <w:color w:val="auto"/>
          <w:kern w:val="2"/>
          <w:sz w:val="44"/>
          <w:szCs w:val="44"/>
          <w:lang w:val="en-US" w:eastAsia="zh-CN" w:bidi="ar-SA"/>
        </w:rPr>
        <w:t>市基础设施配套费征收</w:t>
      </w:r>
      <w:r>
        <w:rPr>
          <w:rFonts w:hint="eastAsia" w:ascii="Times New Roman" w:hAnsi="Times New Roman" w:eastAsia="方正小标宋简体" w:cs="Times New Roman"/>
          <w:snapToGrid/>
          <w:color w:val="auto"/>
          <w:kern w:val="2"/>
          <w:sz w:val="44"/>
          <w:szCs w:val="44"/>
          <w:lang w:val="en" w:eastAsia="zh-CN" w:bidi="ar-SA"/>
        </w:rPr>
        <w:t>管理实施细则</w:t>
      </w:r>
      <w:r>
        <w:rPr>
          <w:rFonts w:hint="default" w:ascii="Times New Roman" w:hAnsi="Times New Roman" w:eastAsia="方正小标宋简体" w:cs="Times New Roman"/>
          <w:snapToGrid/>
          <w:color w:val="auto"/>
          <w:kern w:val="2"/>
          <w:sz w:val="44"/>
          <w:szCs w:val="44"/>
          <w:lang w:val="en" w:eastAsia="zh-CN" w:bidi="ar-SA"/>
        </w:rPr>
        <w:t>的起草说明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适应青田县城市建设不断发展的需要，进一步规范全县城市基础设施配套费的征收管理，根据《浙江省政府非税收入管理条例》、《财政部关于印发〈政府性基金管理暂行办法〉的通知》（财综〔2010〕80号）和《浙江省财政厅 浙江省住房和城乡建设厅关于规范城市基础设施配套费有关事项的通知》（浙财综〔2024〕9号）等规定，结合历史文件及制度渊源，</w:t>
      </w:r>
      <w:r>
        <w:rPr>
          <w:rFonts w:hint="eastAsia" w:ascii="仿宋_GB2312" w:hAnsi="仿宋_GB2312" w:eastAsia="仿宋_GB2312" w:cs="仿宋_GB2312"/>
          <w:sz w:val="32"/>
          <w:szCs w:val="32"/>
          <w:lang w:val="en" w:eastAsia="zh-CN"/>
        </w:rPr>
        <w:t>青田县</w:t>
      </w:r>
      <w:r>
        <w:rPr>
          <w:rFonts w:hint="default" w:ascii="仿宋_GB2312" w:hAnsi="仿宋_GB2312" w:eastAsia="仿宋_GB2312" w:cs="仿宋_GB2312"/>
          <w:sz w:val="32"/>
          <w:szCs w:val="32"/>
          <w:lang w:val="en" w:eastAsia="zh-CN"/>
        </w:rPr>
        <w:t>财政局</w:t>
      </w:r>
      <w:r>
        <w:rPr>
          <w:rFonts w:hint="eastAsia" w:ascii="仿宋_GB2312" w:hAnsi="仿宋_GB2312" w:eastAsia="仿宋_GB2312" w:cs="仿宋_GB2312"/>
          <w:sz w:val="32"/>
          <w:szCs w:val="32"/>
          <w:lang w:val="en" w:eastAsia="zh-CN"/>
        </w:rPr>
        <w:t>联合县住建局</w:t>
      </w:r>
      <w:r>
        <w:rPr>
          <w:rFonts w:hint="eastAsia" w:ascii="仿宋_GB2312" w:hAnsi="仿宋_GB2312" w:eastAsia="仿宋_GB2312" w:cs="仿宋_GB2312"/>
          <w:sz w:val="32"/>
          <w:szCs w:val="32"/>
          <w:lang w:val="en-US" w:eastAsia="zh-CN"/>
        </w:rPr>
        <w:t>对规范我县城市基础设施配套费的有关事项进行了梳理，形成本征求意见稿。</w:t>
      </w:r>
    </w:p>
    <w:p>
      <w:pPr>
        <w:keepNext w:val="0"/>
        <w:keepLines w:val="0"/>
        <w:pageBreakBefore w:val="0"/>
        <w:widowControl w:val="0"/>
        <w:kinsoku/>
        <w:wordWrap/>
        <w:overflowPunct/>
        <w:autoSpaceDE/>
        <w:autoSpaceDN/>
        <w:bidi w:val="0"/>
        <w:spacing w:line="560" w:lineRule="exact"/>
        <w:ind w:left="0" w:right="0" w:firstLine="624" w:firstLineChars="200"/>
        <w:jc w:val="both"/>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二</w:t>
      </w:r>
      <w:r>
        <w:rPr>
          <w:rFonts w:hint="eastAsia" w:ascii="黑体" w:hAnsi="黑体" w:eastAsia="黑体" w:cs="黑体"/>
          <w:color w:val="000000"/>
          <w:spacing w:val="-4"/>
          <w:sz w:val="32"/>
          <w:szCs w:val="32"/>
        </w:rPr>
        <w:t>、</w:t>
      </w:r>
      <w:r>
        <w:rPr>
          <w:rFonts w:hint="eastAsia" w:ascii="黑体" w:hAnsi="黑体" w:eastAsia="黑体" w:cs="黑体"/>
          <w:color w:val="000000"/>
          <w:spacing w:val="-4"/>
          <w:sz w:val="32"/>
          <w:szCs w:val="32"/>
          <w:lang w:eastAsia="zh-CN"/>
        </w:rPr>
        <w:t>起草过程</w:t>
      </w:r>
    </w:p>
    <w:p>
      <w:pPr>
        <w:keepNext w:val="0"/>
        <w:keepLines w:val="0"/>
        <w:pageBreakBefore w:val="0"/>
        <w:widowControl w:val="0"/>
        <w:kinsoku/>
        <w:wordWrap/>
        <w:overflowPunct/>
        <w:autoSpaceDE/>
        <w:autoSpaceDN/>
        <w:bidi w:val="0"/>
        <w:spacing w:line="560" w:lineRule="exact"/>
        <w:ind w:left="0" w:right="0"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rPr>
        <w:t>收到《浙江省财政厅 浙江省住房和城乡建设厅关于规范城市基础设施配套费有关事项的通知》（浙财综〔2024〕9号）后，我局</w:t>
      </w:r>
      <w:r>
        <w:rPr>
          <w:rFonts w:hint="eastAsia" w:ascii="仿宋_GB2312" w:hAnsi="仿宋_GB2312" w:eastAsia="仿宋_GB2312" w:cs="仿宋_GB2312"/>
          <w:spacing w:val="6"/>
          <w:sz w:val="32"/>
          <w:szCs w:val="32"/>
          <w:lang w:val="en-US" w:eastAsia="zh-CN"/>
        </w:rPr>
        <w:t>和县建设局会同县司法局、县自然资源局等部门单位开展研究讨论</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并结合省市文件的相关要求和具体规定，初步拟定了</w:t>
      </w:r>
      <w:r>
        <w:rPr>
          <w:rFonts w:hint="eastAsia" w:ascii="仿宋_GB2312" w:hAnsi="仿宋_GB2312" w:eastAsia="仿宋_GB2312" w:cs="仿宋_GB2312"/>
          <w:spacing w:val="6"/>
          <w:sz w:val="32"/>
          <w:szCs w:val="32"/>
          <w:lang w:val="en" w:eastAsia="zh-CN"/>
        </w:rPr>
        <w:t>青田县城</w:t>
      </w:r>
      <w:r>
        <w:rPr>
          <w:rFonts w:hint="eastAsia" w:ascii="仿宋_GB2312" w:hAnsi="仿宋_GB2312" w:eastAsia="仿宋_GB2312" w:cs="仿宋_GB2312"/>
          <w:spacing w:val="6"/>
          <w:sz w:val="32"/>
          <w:szCs w:val="32"/>
          <w:lang w:val="en-US" w:eastAsia="zh-CN"/>
        </w:rPr>
        <w:t>市基础设施配套费征收</w:t>
      </w:r>
      <w:r>
        <w:rPr>
          <w:rFonts w:hint="eastAsia" w:ascii="仿宋_GB2312" w:hAnsi="仿宋_GB2312" w:eastAsia="仿宋_GB2312" w:cs="仿宋_GB2312"/>
          <w:spacing w:val="6"/>
          <w:sz w:val="32"/>
          <w:szCs w:val="32"/>
          <w:lang w:val="en" w:eastAsia="zh-CN"/>
        </w:rPr>
        <w:t>管理实施细则</w:t>
      </w:r>
      <w:r>
        <w:rPr>
          <w:rFonts w:hint="eastAsia" w:ascii="仿宋_GB2312" w:hAnsi="仿宋_GB2312" w:eastAsia="仿宋_GB2312" w:cs="仿宋_GB2312"/>
          <w:spacing w:val="6"/>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（一）项目性质。</w:t>
      </w:r>
      <w:r>
        <w:rPr>
          <w:rFonts w:hint="eastAsia" w:ascii="仿宋_GB2312" w:hAnsi="仿宋_GB2312" w:eastAsia="仿宋_GB2312" w:cs="仿宋_GB2312"/>
          <w:sz w:val="32"/>
          <w:szCs w:val="32"/>
          <w:lang w:val="en-US" w:eastAsia="zh-CN"/>
        </w:rPr>
        <w:t>明确城市基础设施配套费是城市人民政府有关部门征收用于城市基础设施建设的专项资金，属于政府性基金。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lang w:val="en-US" w:eastAsia="zh-CN"/>
        </w:rPr>
      </w:pPr>
      <w:r>
        <w:rPr>
          <w:rFonts w:hint="eastAsia" w:ascii="楷体_GB2312" w:hAnsi="楷体_GB2312" w:eastAsia="楷体_GB2312" w:cs="楷体_GB2312"/>
          <w:sz w:val="32"/>
          <w:szCs w:val="32"/>
          <w:lang w:val="en-US" w:eastAsia="zh-CN"/>
        </w:rPr>
        <w:t>（二）征收对象及范围。</w:t>
      </w:r>
      <w:r>
        <w:rPr>
          <w:rFonts w:hint="eastAsia" w:ascii="仿宋_GB2312" w:hAnsi="仿宋_GB2312" w:eastAsia="仿宋_GB2312" w:cs="仿宋_GB2312"/>
          <w:snapToGrid/>
          <w:kern w:val="2"/>
          <w:sz w:val="32"/>
          <w:szCs w:val="32"/>
          <w:lang w:val="en-US" w:eastAsia="zh-CN" w:bidi="ar-SA"/>
        </w:rPr>
        <w:t>明确青田县城市基础设施配套费的征收对象和范围。</w:t>
      </w:r>
    </w:p>
    <w:p>
      <w:pPr>
        <w:keepNext w:val="0"/>
        <w:keepLines w:val="0"/>
        <w:pageBreakBefore w:val="0"/>
        <w:widowControl w:val="0"/>
        <w:kinsoku/>
        <w:wordWrap/>
        <w:overflowPunct/>
        <w:autoSpaceDE/>
        <w:autoSpaceDN/>
        <w:bidi w:val="0"/>
        <w:spacing w:line="560" w:lineRule="exact"/>
        <w:ind w:left="0" w:right="0" w:firstLine="624" w:firstLineChars="200"/>
        <w:jc w:val="both"/>
        <w:textAlignment w:val="auto"/>
        <w:rPr>
          <w:rFonts w:hint="eastAsia"/>
          <w:lang w:eastAsia="zh-CN"/>
        </w:rPr>
      </w:pPr>
      <w:r>
        <w:rPr>
          <w:rFonts w:hint="eastAsia" w:ascii="楷体_GB2312" w:hAnsi="楷体_GB2312" w:eastAsia="楷体_GB2312" w:cs="楷体_GB2312"/>
          <w:color w:val="000000"/>
          <w:spacing w:val="-4"/>
          <w:sz w:val="32"/>
          <w:szCs w:val="32"/>
          <w:lang w:eastAsia="zh-CN"/>
        </w:rPr>
        <w:t>（三）征收部门、征收方式和征收标准。</w:t>
      </w:r>
      <w:r>
        <w:rPr>
          <w:rFonts w:hint="eastAsia" w:ascii="仿宋_GB2312" w:hAnsi="仿宋_GB2312" w:eastAsia="仿宋_GB2312" w:cs="仿宋_GB2312"/>
          <w:snapToGrid/>
          <w:kern w:val="2"/>
          <w:sz w:val="32"/>
          <w:szCs w:val="32"/>
          <w:lang w:val="en-US" w:eastAsia="zh-CN" w:bidi="ar-SA"/>
        </w:rPr>
        <w:t>明确青田县城市基础设施配套费的征收部门、征收方式和征收标准。其中，征收标准按照省厅规定的标准范围，结合丽水市本级和周边县市实际情况制定。</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z w:val="32"/>
          <w:szCs w:val="32"/>
          <w:lang w:val="en-US" w:eastAsia="zh-CN"/>
        </w:rPr>
        <w:t>（四）减免政策和程序。</w:t>
      </w:r>
      <w:r>
        <w:rPr>
          <w:rFonts w:hint="eastAsia" w:ascii="仿宋_GB2312" w:hAnsi="仿宋_GB2312" w:eastAsia="仿宋_GB2312" w:cs="仿宋_GB2312"/>
          <w:snapToGrid/>
          <w:kern w:val="2"/>
          <w:sz w:val="32"/>
          <w:szCs w:val="32"/>
          <w:lang w:val="en-US" w:eastAsia="zh-CN" w:bidi="ar-SA"/>
        </w:rPr>
        <w:t xml:space="preserve">明确严格执行国家制定的城市基础设施配套费减免政策，不得以任何借口拒绝和变更执行。  </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sz w:val="32"/>
          <w:szCs w:val="32"/>
          <w:lang w:val="en-US" w:eastAsia="zh-CN"/>
        </w:rPr>
        <w:t>（五）预算管理。</w:t>
      </w:r>
      <w:r>
        <w:rPr>
          <w:rFonts w:hint="eastAsia" w:ascii="仿宋_GB2312" w:hAnsi="仿宋_GB2312" w:eastAsia="仿宋_GB2312" w:cs="仿宋_GB2312"/>
          <w:color w:val="auto"/>
          <w:sz w:val="32"/>
          <w:szCs w:val="32"/>
          <w:lang w:eastAsia="zh-CN"/>
        </w:rPr>
        <w:t>明确城市基础设施</w:t>
      </w:r>
      <w:r>
        <w:rPr>
          <w:rFonts w:hint="eastAsia" w:ascii="仿宋_GB2312" w:hAnsi="仿宋_GB2312" w:eastAsia="仿宋_GB2312" w:cs="仿宋_GB2312"/>
          <w:color w:val="auto"/>
          <w:sz w:val="32"/>
          <w:szCs w:val="32"/>
        </w:rPr>
        <w:t>配套费要严格按照“收支两条线”纳入政府性基金预算管理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实行专</w:t>
      </w:r>
      <w:r>
        <w:rPr>
          <w:rFonts w:hint="eastAsia" w:ascii="仿宋_GB2312" w:hAnsi="仿宋_GB2312" w:eastAsia="仿宋_GB2312" w:cs="仿宋_GB2312"/>
          <w:color w:val="auto"/>
          <w:sz w:val="32"/>
          <w:szCs w:val="32"/>
          <w:highlight w:val="none"/>
        </w:rPr>
        <w:t>款专用。</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（六）票据管理。</w:t>
      </w:r>
      <w:r>
        <w:rPr>
          <w:rFonts w:hint="eastAsia" w:ascii="仿宋_GB2312" w:hAnsi="仿宋_GB2312" w:eastAsia="仿宋_GB2312" w:cs="仿宋_GB2312"/>
          <w:snapToGrid/>
          <w:kern w:val="2"/>
          <w:sz w:val="32"/>
          <w:szCs w:val="32"/>
          <w:lang w:val="en-US" w:eastAsia="zh-CN" w:bidi="ar-SA"/>
        </w:rPr>
        <w:t>明确征收部门在征收城市基础设施配套费时，应当按照规定开具财政票据。</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（七）信息共享。</w:t>
      </w:r>
      <w:r>
        <w:rPr>
          <w:rFonts w:hint="eastAsia" w:ascii="仿宋_GB2312" w:hAnsi="仿宋_GB2312" w:eastAsia="仿宋_GB2312" w:cs="仿宋_GB2312"/>
          <w:snapToGrid/>
          <w:kern w:val="2"/>
          <w:sz w:val="32"/>
          <w:szCs w:val="32"/>
          <w:lang w:val="en-US" w:eastAsia="zh-CN" w:bidi="ar-SA"/>
        </w:rPr>
        <w:t>明确各有关部门应建立信息共享机制，做好城市基础设施配套费征收管理数字化改革。</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（八）监督管理。</w:t>
      </w:r>
      <w:r>
        <w:rPr>
          <w:rFonts w:hint="eastAsia" w:ascii="仿宋_GB2312" w:hAnsi="仿宋_GB2312" w:eastAsia="仿宋_GB2312" w:cs="仿宋_GB2312"/>
          <w:snapToGrid/>
          <w:kern w:val="2"/>
          <w:sz w:val="32"/>
          <w:szCs w:val="32"/>
          <w:lang w:val="en-US" w:eastAsia="zh-CN" w:bidi="ar-SA"/>
        </w:rPr>
        <w:t>明确相关监管部门应加强对城市基础设施配套费收支情况的监督检查。</w:t>
      </w:r>
    </w:p>
    <w:p>
      <w:pPr>
        <w:keepNext w:val="0"/>
        <w:keepLines w:val="0"/>
        <w:pageBreakBefore w:val="0"/>
        <w:widowControl w:val="0"/>
        <w:kinsoku/>
        <w:wordWrap/>
        <w:overflowPunct/>
        <w:autoSpaceDE/>
        <w:autoSpaceDN/>
        <w:bidi w:val="0"/>
        <w:spacing w:line="560" w:lineRule="exact"/>
        <w:ind w:left="0" w:right="0" w:firstLine="624" w:firstLineChars="200"/>
        <w:jc w:val="both"/>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pPr>
        <w:keepNext w:val="0"/>
        <w:keepLines w:val="0"/>
        <w:pageBreakBefore w:val="0"/>
        <w:widowControl w:val="0"/>
        <w:kinsoku/>
        <w:wordWrap/>
        <w:overflowPunct/>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后续将根据公开征求意见结</w:t>
      </w:r>
      <w:bookmarkStart w:id="0" w:name="_GoBack"/>
      <w:bookmarkEnd w:id="0"/>
      <w:r>
        <w:rPr>
          <w:rFonts w:hint="eastAsia" w:ascii="仿宋_GB2312" w:hAnsi="仿宋_GB2312" w:eastAsia="仿宋_GB2312" w:cs="仿宋_GB2312"/>
          <w:sz w:val="32"/>
          <w:szCs w:val="32"/>
          <w:lang w:val="en-US" w:eastAsia="zh-CN"/>
        </w:rPr>
        <w:t>果，开展合法性审查以及集体讨论。</w:t>
      </w:r>
    </w:p>
    <w:p>
      <w:pPr>
        <w:pStyle w:val="9"/>
        <w:keepNext w:val="0"/>
        <w:keepLines w:val="0"/>
        <w:pageBreakBefore w:val="0"/>
        <w:widowControl w:val="0"/>
        <w:kinsoku/>
        <w:wordWrap/>
        <w:overflowPunct/>
        <w:autoSpaceDE/>
        <w:autoSpaceDN/>
        <w:bidi w:val="0"/>
        <w:spacing w:before="0" w:line="560" w:lineRule="exact"/>
        <w:ind w:left="0" w:right="0" w:firstLine="640" w:firstLineChars="200"/>
        <w:jc w:val="both"/>
        <w:textAlignment w:val="auto"/>
        <w:rPr>
          <w:rFonts w:hint="default"/>
          <w:lang w:val="en-US" w:eastAsia="zh-CN"/>
        </w:rPr>
      </w:pPr>
    </w:p>
    <w:sectPr>
      <w:pgSz w:w="11906" w:h="16838"/>
      <w:pgMar w:top="1440" w:right="1797" w:bottom="1440" w:left="179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创艺简标宋">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6B50"/>
    <w:rsid w:val="00610936"/>
    <w:rsid w:val="00C004C3"/>
    <w:rsid w:val="0198550E"/>
    <w:rsid w:val="01C40595"/>
    <w:rsid w:val="01F44151"/>
    <w:rsid w:val="02451710"/>
    <w:rsid w:val="0249510A"/>
    <w:rsid w:val="05550B2B"/>
    <w:rsid w:val="06041F2E"/>
    <w:rsid w:val="06420B0C"/>
    <w:rsid w:val="08322058"/>
    <w:rsid w:val="083B483A"/>
    <w:rsid w:val="08AC007E"/>
    <w:rsid w:val="093F01F7"/>
    <w:rsid w:val="09571A23"/>
    <w:rsid w:val="0975242B"/>
    <w:rsid w:val="09E44F22"/>
    <w:rsid w:val="09F2430E"/>
    <w:rsid w:val="0B374C54"/>
    <w:rsid w:val="0B8A6C79"/>
    <w:rsid w:val="0C4A35AE"/>
    <w:rsid w:val="0CB85917"/>
    <w:rsid w:val="0CD963E7"/>
    <w:rsid w:val="0CE02359"/>
    <w:rsid w:val="0D2020C5"/>
    <w:rsid w:val="0D471860"/>
    <w:rsid w:val="0D9E2A85"/>
    <w:rsid w:val="0ED928C8"/>
    <w:rsid w:val="0FFE8C81"/>
    <w:rsid w:val="10294636"/>
    <w:rsid w:val="103552E4"/>
    <w:rsid w:val="104534E0"/>
    <w:rsid w:val="11880126"/>
    <w:rsid w:val="12C30F27"/>
    <w:rsid w:val="133A0638"/>
    <w:rsid w:val="13505CB5"/>
    <w:rsid w:val="14902515"/>
    <w:rsid w:val="14FD10B5"/>
    <w:rsid w:val="18172B36"/>
    <w:rsid w:val="184E699E"/>
    <w:rsid w:val="186B0FD2"/>
    <w:rsid w:val="18AD7FC1"/>
    <w:rsid w:val="18AE4C0B"/>
    <w:rsid w:val="18B76E35"/>
    <w:rsid w:val="193D17AE"/>
    <w:rsid w:val="195A1852"/>
    <w:rsid w:val="19905DF4"/>
    <w:rsid w:val="1A062C29"/>
    <w:rsid w:val="1A5D54F8"/>
    <w:rsid w:val="1A603FA2"/>
    <w:rsid w:val="1AC7454B"/>
    <w:rsid w:val="1BED4905"/>
    <w:rsid w:val="1C22737D"/>
    <w:rsid w:val="1C492A40"/>
    <w:rsid w:val="1C690B4A"/>
    <w:rsid w:val="1C852147"/>
    <w:rsid w:val="1CAF792E"/>
    <w:rsid w:val="1CE207B5"/>
    <w:rsid w:val="1E27208E"/>
    <w:rsid w:val="1E80077B"/>
    <w:rsid w:val="1E843C77"/>
    <w:rsid w:val="1EC817BD"/>
    <w:rsid w:val="1F6177A7"/>
    <w:rsid w:val="1F736271"/>
    <w:rsid w:val="21005C2F"/>
    <w:rsid w:val="21394C1C"/>
    <w:rsid w:val="21797CB1"/>
    <w:rsid w:val="21F55600"/>
    <w:rsid w:val="233603F9"/>
    <w:rsid w:val="23A23D14"/>
    <w:rsid w:val="23C71BAB"/>
    <w:rsid w:val="2505414F"/>
    <w:rsid w:val="25744563"/>
    <w:rsid w:val="25784D41"/>
    <w:rsid w:val="271A0334"/>
    <w:rsid w:val="271A5D50"/>
    <w:rsid w:val="27337F02"/>
    <w:rsid w:val="2788757A"/>
    <w:rsid w:val="283C51B9"/>
    <w:rsid w:val="287E5E2F"/>
    <w:rsid w:val="29351C63"/>
    <w:rsid w:val="298F2358"/>
    <w:rsid w:val="2A414E84"/>
    <w:rsid w:val="2A4E29E1"/>
    <w:rsid w:val="2AD403EA"/>
    <w:rsid w:val="2AFF53FD"/>
    <w:rsid w:val="2BFFC508"/>
    <w:rsid w:val="2C1C0B46"/>
    <w:rsid w:val="2D104718"/>
    <w:rsid w:val="2D7B5281"/>
    <w:rsid w:val="2E751212"/>
    <w:rsid w:val="2E843804"/>
    <w:rsid w:val="2EF84869"/>
    <w:rsid w:val="2F24765A"/>
    <w:rsid w:val="2F740549"/>
    <w:rsid w:val="2FD04702"/>
    <w:rsid w:val="2FF6437C"/>
    <w:rsid w:val="30CE78E0"/>
    <w:rsid w:val="30DB1CA3"/>
    <w:rsid w:val="3103595D"/>
    <w:rsid w:val="32287A44"/>
    <w:rsid w:val="332D22B0"/>
    <w:rsid w:val="335A4390"/>
    <w:rsid w:val="33AB757C"/>
    <w:rsid w:val="346B3C0E"/>
    <w:rsid w:val="34894783"/>
    <w:rsid w:val="348A6940"/>
    <w:rsid w:val="36F17A5B"/>
    <w:rsid w:val="376277BA"/>
    <w:rsid w:val="37D3799F"/>
    <w:rsid w:val="37F67CFA"/>
    <w:rsid w:val="39120FF8"/>
    <w:rsid w:val="399B20FF"/>
    <w:rsid w:val="39C561C8"/>
    <w:rsid w:val="39C56733"/>
    <w:rsid w:val="3B3D290A"/>
    <w:rsid w:val="3B967B99"/>
    <w:rsid w:val="3BDA272A"/>
    <w:rsid w:val="3C685B41"/>
    <w:rsid w:val="3DBF7EE4"/>
    <w:rsid w:val="3DDD4BFF"/>
    <w:rsid w:val="3E594CF5"/>
    <w:rsid w:val="3E88120A"/>
    <w:rsid w:val="3EB74929"/>
    <w:rsid w:val="3F3018EC"/>
    <w:rsid w:val="3F3E2077"/>
    <w:rsid w:val="406E7A2A"/>
    <w:rsid w:val="40FD0293"/>
    <w:rsid w:val="41255113"/>
    <w:rsid w:val="413C474D"/>
    <w:rsid w:val="42017485"/>
    <w:rsid w:val="42E93261"/>
    <w:rsid w:val="433F26F9"/>
    <w:rsid w:val="43865796"/>
    <w:rsid w:val="43A819EC"/>
    <w:rsid w:val="43D86601"/>
    <w:rsid w:val="43E37B14"/>
    <w:rsid w:val="44172707"/>
    <w:rsid w:val="446438F3"/>
    <w:rsid w:val="46536822"/>
    <w:rsid w:val="46F575D3"/>
    <w:rsid w:val="48D3084C"/>
    <w:rsid w:val="48F731C5"/>
    <w:rsid w:val="49681107"/>
    <w:rsid w:val="497357DD"/>
    <w:rsid w:val="498F0123"/>
    <w:rsid w:val="49D833A8"/>
    <w:rsid w:val="4A4C7A76"/>
    <w:rsid w:val="4A57193A"/>
    <w:rsid w:val="4AAC7BF5"/>
    <w:rsid w:val="4AB51CE0"/>
    <w:rsid w:val="4AE00487"/>
    <w:rsid w:val="4B1E3AE2"/>
    <w:rsid w:val="4C243275"/>
    <w:rsid w:val="4C6261C1"/>
    <w:rsid w:val="4C8B6D83"/>
    <w:rsid w:val="4D136BA1"/>
    <w:rsid w:val="4D6873B0"/>
    <w:rsid w:val="4EBD37CF"/>
    <w:rsid w:val="4EDF6F0D"/>
    <w:rsid w:val="4FAC041E"/>
    <w:rsid w:val="503329C8"/>
    <w:rsid w:val="50D42651"/>
    <w:rsid w:val="51B459A0"/>
    <w:rsid w:val="52274C4A"/>
    <w:rsid w:val="52791927"/>
    <w:rsid w:val="52A27190"/>
    <w:rsid w:val="52C843F8"/>
    <w:rsid w:val="52FE79E1"/>
    <w:rsid w:val="5349680E"/>
    <w:rsid w:val="53573BBA"/>
    <w:rsid w:val="53756DFA"/>
    <w:rsid w:val="53AB72D9"/>
    <w:rsid w:val="545A2CCD"/>
    <w:rsid w:val="54CA4209"/>
    <w:rsid w:val="54FE414A"/>
    <w:rsid w:val="5553156B"/>
    <w:rsid w:val="55AE4803"/>
    <w:rsid w:val="55CA72FD"/>
    <w:rsid w:val="55D94F80"/>
    <w:rsid w:val="55E31988"/>
    <w:rsid w:val="55FDF48B"/>
    <w:rsid w:val="561021E1"/>
    <w:rsid w:val="5643700C"/>
    <w:rsid w:val="5691276A"/>
    <w:rsid w:val="56AB1942"/>
    <w:rsid w:val="56CD2E9C"/>
    <w:rsid w:val="573E43DB"/>
    <w:rsid w:val="574C52D9"/>
    <w:rsid w:val="57774157"/>
    <w:rsid w:val="58156502"/>
    <w:rsid w:val="581B7B32"/>
    <w:rsid w:val="58EA3F7A"/>
    <w:rsid w:val="59583301"/>
    <w:rsid w:val="5AAC2AC7"/>
    <w:rsid w:val="5AD46B87"/>
    <w:rsid w:val="5B272593"/>
    <w:rsid w:val="5C2F7158"/>
    <w:rsid w:val="5CA972C1"/>
    <w:rsid w:val="5D2C556A"/>
    <w:rsid w:val="5D77300E"/>
    <w:rsid w:val="5DDB359B"/>
    <w:rsid w:val="5E396696"/>
    <w:rsid w:val="5E947722"/>
    <w:rsid w:val="5EF27197"/>
    <w:rsid w:val="5FCF79D6"/>
    <w:rsid w:val="60912E02"/>
    <w:rsid w:val="60B0790B"/>
    <w:rsid w:val="61054630"/>
    <w:rsid w:val="61272981"/>
    <w:rsid w:val="62103BFD"/>
    <w:rsid w:val="62623BBA"/>
    <w:rsid w:val="6352409D"/>
    <w:rsid w:val="63AB67AE"/>
    <w:rsid w:val="6490194A"/>
    <w:rsid w:val="651B3DAD"/>
    <w:rsid w:val="657B1D9C"/>
    <w:rsid w:val="65B2349E"/>
    <w:rsid w:val="65EF0F6E"/>
    <w:rsid w:val="6667094E"/>
    <w:rsid w:val="67F95BA3"/>
    <w:rsid w:val="698037B2"/>
    <w:rsid w:val="6A265E67"/>
    <w:rsid w:val="6A460D23"/>
    <w:rsid w:val="6AFF1987"/>
    <w:rsid w:val="6B618CE5"/>
    <w:rsid w:val="6C691DF9"/>
    <w:rsid w:val="6D1F6B1C"/>
    <w:rsid w:val="6D8444B9"/>
    <w:rsid w:val="6D9721F0"/>
    <w:rsid w:val="6DEF432F"/>
    <w:rsid w:val="6EFD76D2"/>
    <w:rsid w:val="6FC80991"/>
    <w:rsid w:val="704A2A3A"/>
    <w:rsid w:val="70D83BEA"/>
    <w:rsid w:val="70DE177E"/>
    <w:rsid w:val="70E20D8D"/>
    <w:rsid w:val="713F0CD0"/>
    <w:rsid w:val="714A712E"/>
    <w:rsid w:val="71FE3447"/>
    <w:rsid w:val="722C42BA"/>
    <w:rsid w:val="72490F43"/>
    <w:rsid w:val="735E36DB"/>
    <w:rsid w:val="739D59CB"/>
    <w:rsid w:val="73DA1335"/>
    <w:rsid w:val="74170948"/>
    <w:rsid w:val="745D0B27"/>
    <w:rsid w:val="74E954B4"/>
    <w:rsid w:val="74F54499"/>
    <w:rsid w:val="74F743D6"/>
    <w:rsid w:val="75067438"/>
    <w:rsid w:val="752E55BB"/>
    <w:rsid w:val="757939DE"/>
    <w:rsid w:val="759A6041"/>
    <w:rsid w:val="75EF0C8E"/>
    <w:rsid w:val="7619631F"/>
    <w:rsid w:val="76987191"/>
    <w:rsid w:val="76F79123"/>
    <w:rsid w:val="77744529"/>
    <w:rsid w:val="77BD7031"/>
    <w:rsid w:val="78D25905"/>
    <w:rsid w:val="79664202"/>
    <w:rsid w:val="79BA0C09"/>
    <w:rsid w:val="79E822A8"/>
    <w:rsid w:val="7A2D07E0"/>
    <w:rsid w:val="7A6446F2"/>
    <w:rsid w:val="7AB67A71"/>
    <w:rsid w:val="7BFD6524"/>
    <w:rsid w:val="7C6876AE"/>
    <w:rsid w:val="7D4D3047"/>
    <w:rsid w:val="7DA742A7"/>
    <w:rsid w:val="7DFDBA9C"/>
    <w:rsid w:val="7E1B7394"/>
    <w:rsid w:val="7E1C5490"/>
    <w:rsid w:val="7E385AF4"/>
    <w:rsid w:val="7EFB39FD"/>
    <w:rsid w:val="7F0846C3"/>
    <w:rsid w:val="7F9BC6FF"/>
    <w:rsid w:val="ADFF8EBE"/>
    <w:rsid w:val="B9EF1261"/>
    <w:rsid w:val="BB7213A4"/>
    <w:rsid w:val="BC3EAB75"/>
    <w:rsid w:val="BFEF848B"/>
    <w:rsid w:val="F3EF740C"/>
    <w:rsid w:val="FD7C97CC"/>
    <w:rsid w:val="FEBF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文本缩进 21"/>
    <w:basedOn w:val="1"/>
    <w:qFormat/>
    <w:uiPriority w:val="99"/>
    <w:pPr>
      <w:spacing w:after="120" w:line="480" w:lineRule="auto"/>
      <w:ind w:left="200" w:leftChars="200"/>
    </w:pPr>
    <w:rPr>
      <w:rFonts w:ascii="Times New Roman" w:hAnsi="Times New Roman" w:eastAsia="宋体"/>
    </w:rPr>
  </w:style>
  <w:style w:type="paragraph" w:styleId="3">
    <w:name w:val="Normal Indent"/>
    <w:basedOn w:val="1"/>
    <w:next w:val="4"/>
    <w:qFormat/>
    <w:uiPriority w:val="0"/>
    <w:pPr>
      <w:ind w:firstLine="420" w:firstLineChars="200"/>
    </w:pPr>
  </w:style>
  <w:style w:type="paragraph" w:styleId="4">
    <w:name w:val="toc 8"/>
    <w:basedOn w:val="1"/>
    <w:next w:val="1"/>
    <w:qFormat/>
    <w:uiPriority w:val="99"/>
    <w:pPr>
      <w:widowControl/>
      <w:wordWrap w:val="0"/>
      <w:adjustRightInd w:val="0"/>
      <w:snapToGrid w:val="0"/>
      <w:spacing w:after="200"/>
      <w:ind w:left="1270"/>
      <w:jc w:val="left"/>
    </w:pPr>
    <w:rPr>
      <w:rFonts w:ascii="Tahoma" w:hAnsi="Tahoma" w:eastAsia="微软雅黑"/>
      <w:kern w:val="0"/>
      <w:sz w:val="20"/>
      <w:szCs w:val="20"/>
    </w:rPr>
  </w:style>
  <w:style w:type="paragraph" w:styleId="5">
    <w:name w:val="Body Text"/>
    <w:basedOn w:val="1"/>
    <w:next w:val="6"/>
    <w:qFormat/>
    <w:uiPriority w:val="0"/>
    <w:pPr>
      <w:snapToGrid w:val="0"/>
      <w:spacing w:line="600" w:lineRule="atLeast"/>
      <w:ind w:firstLine="0" w:firstLineChars="0"/>
      <w:jc w:val="center"/>
    </w:pPr>
    <w:rPr>
      <w:rFonts w:eastAsia="创艺简标宋"/>
      <w:sz w:val="44"/>
    </w:rPr>
  </w:style>
  <w:style w:type="paragraph" w:styleId="6">
    <w:name w:val="Body Text Indent"/>
    <w:basedOn w:val="1"/>
    <w:next w:val="3"/>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w:basedOn w:val="5"/>
    <w:next w:val="1"/>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2021-05-13T06:41:00Z</dcterms:created>
  <dc:creator>admin</dc:creator>
  <cp:lastModifiedBy>Root</cp:lastModifiedBy>
  <dcterms:modified xsi:type="dcterms:W3CDTF">2025-01-08T01:11:18Z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909D7A6647E421FCCE074F664B1C3B78</vt:lpwstr>
  </property>
</Properties>
</file>