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jc w:val="both"/>
        <w:textAlignment w:val="auto"/>
        <w:rPr>
          <w:rFonts w:hint="eastAsia" w:ascii="方正公文小标宋" w:hAnsi="方正公文小标宋" w:eastAsia="方正公文小标宋" w:cs="方正公文小标宋"/>
          <w:b w:val="0"/>
          <w:bCs w:val="0"/>
          <w:sz w:val="44"/>
          <w:szCs w:val="44"/>
        </w:rPr>
      </w:pPr>
      <w:bookmarkStart w:id="0" w:name="OLE_LINK6"/>
      <w:bookmarkStart w:id="1" w:name="OLE_LINK9"/>
      <w:bookmarkStart w:id="2" w:name="OLE_LINK1"/>
      <w:bookmarkStart w:id="11" w:name="_GoBack"/>
      <w:bookmarkEnd w:id="11"/>
      <w:r>
        <w:rPr>
          <w:rFonts w:hint="eastAsia" w:ascii="方正公文小标宋" w:hAnsi="方正公文小标宋" w:eastAsia="方正公文小标宋" w:cs="方正公文小标宋"/>
          <w:b w:val="0"/>
          <w:bCs w:val="0"/>
          <w:sz w:val="44"/>
          <w:szCs w:val="44"/>
        </w:rPr>
        <w:t>越城区“越韵农臻”农产品区域公</w:t>
      </w:r>
      <w:r>
        <w:rPr>
          <w:rFonts w:hint="eastAsia" w:ascii="方正公文小标宋" w:hAnsi="方正公文小标宋" w:eastAsia="方正公文小标宋" w:cs="方正公文小标宋"/>
          <w:b w:val="0"/>
          <w:bCs w:val="0"/>
          <w:sz w:val="44"/>
          <w:szCs w:val="44"/>
          <w:lang w:eastAsia="zh-CN"/>
        </w:rPr>
        <w:t>用</w:t>
      </w:r>
      <w:r>
        <w:rPr>
          <w:rFonts w:hint="eastAsia" w:ascii="方正公文小标宋" w:hAnsi="方正公文小标宋" w:eastAsia="方正公文小标宋" w:cs="方正公文小标宋"/>
          <w:b w:val="0"/>
          <w:bCs w:val="0"/>
          <w:sz w:val="44"/>
          <w:szCs w:val="44"/>
        </w:rPr>
        <w:t>品牌</w:t>
      </w:r>
    </w:p>
    <w:p>
      <w:pPr>
        <w:pStyle w:val="2"/>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jc w:val="center"/>
        <w:textAlignment w:val="auto"/>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rPr>
        <w:t>使用管理办法</w:t>
      </w:r>
      <w:bookmarkEnd w:id="0"/>
    </w:p>
    <w:bookmarkEnd w:id="1"/>
    <w:p>
      <w:pPr>
        <w:jc w:val="center"/>
        <w:rPr>
          <w:rFonts w:hint="eastAsia" w:eastAsia="方正公文小标宋"/>
          <w:lang w:eastAsia="zh-CN"/>
        </w:rPr>
      </w:pPr>
      <w:r>
        <w:rPr>
          <w:rFonts w:hint="eastAsia" w:ascii="方正公文小标宋" w:hAnsi="方正公文小标宋" w:eastAsia="方正公文小标宋" w:cs="方正公文小标宋"/>
          <w:b w:val="0"/>
          <w:bCs w:val="0"/>
          <w:sz w:val="44"/>
          <w:szCs w:val="44"/>
          <w:lang w:eastAsia="zh-CN"/>
        </w:rPr>
        <w:t>（征求意见稿）</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722" w:firstLineChars="200"/>
        <w:jc w:val="both"/>
        <w:textAlignment w:val="auto"/>
      </w:pP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黑体" w:hAnsi="黑体" w:eastAsia="黑体" w:cs="黑体"/>
          <w:b w:val="0"/>
          <w:bCs w:val="0"/>
          <w:sz w:val="32"/>
          <w:szCs w:val="32"/>
        </w:rPr>
      </w:pPr>
      <w:bookmarkStart w:id="3" w:name="OLE_LINK5"/>
      <w:r>
        <w:rPr>
          <w:rFonts w:hint="eastAsia" w:ascii="黑体" w:hAnsi="黑体" w:eastAsia="黑体" w:cs="黑体"/>
          <w:b w:val="0"/>
          <w:bCs w:val="0"/>
          <w:sz w:val="32"/>
          <w:szCs w:val="32"/>
        </w:rPr>
        <w:t>一、总则</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（一）目的与依据</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default" w:ascii="仿宋_GB2312" w:hAnsi="仿宋_GB2312" w:eastAsia="仿宋_GB2312" w:cs="仿宋_GB2312"/>
          <w:b w:val="0"/>
          <w:bCs w:val="0"/>
          <w:kern w:val="0"/>
          <w:sz w:val="32"/>
          <w:szCs w:val="32"/>
          <w:lang w:val="en-US" w:eastAsia="zh-CN" w:bidi="ar"/>
        </w:rPr>
        <w:t>为规范“越韵农臻”农产品区域公用品牌（以下简称“品牌”）的使用管理，提升品牌市场竞争力，促进越城区农业高质量发展，根据《中华人民共和国商标法》《农产品质量安全法》及《浙江省农产品区域公用品牌管理办法》等规定，结合越城区实际，制定本办法。</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（二）品牌适用范围</w:t>
      </w:r>
    </w:p>
    <w:p>
      <w:pPr>
        <w:pStyle w:val="6"/>
        <w:keepNext w:val="0"/>
        <w:keepLines w:val="0"/>
        <w:pageBreakBefore w:val="0"/>
        <w:widowControl w:val="0"/>
        <w:kinsoku/>
        <w:wordWrap/>
        <w:overflowPunct/>
        <w:topLinePunct w:val="0"/>
        <w:autoSpaceDE/>
        <w:autoSpaceDN/>
        <w:bidi w:val="0"/>
        <w:adjustRightInd w:val="0"/>
        <w:snapToGrid w:val="0"/>
        <w:spacing w:line="574"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default" w:ascii="仿宋_GB2312" w:hAnsi="仿宋_GB2312" w:eastAsia="仿宋_GB2312" w:cs="仿宋_GB2312"/>
          <w:b w:val="0"/>
          <w:bCs w:val="0"/>
          <w:kern w:val="0"/>
          <w:sz w:val="32"/>
          <w:szCs w:val="32"/>
          <w:lang w:val="en-US" w:eastAsia="zh-CN" w:bidi="ar"/>
        </w:rPr>
        <w:t>本品牌由越城区人民政府主导，区</w:t>
      </w:r>
      <w:r>
        <w:rPr>
          <w:rFonts w:hint="eastAsia" w:ascii="仿宋_GB2312" w:hAnsi="仿宋_GB2312" w:eastAsia="仿宋_GB2312" w:cs="仿宋_GB2312"/>
          <w:b w:val="0"/>
          <w:bCs w:val="0"/>
          <w:kern w:val="0"/>
          <w:sz w:val="32"/>
          <w:szCs w:val="32"/>
          <w:lang w:val="en-US" w:eastAsia="zh-CN" w:bidi="ar"/>
        </w:rPr>
        <w:t>农水</w:t>
      </w:r>
      <w:r>
        <w:rPr>
          <w:rFonts w:hint="default" w:ascii="仿宋_GB2312" w:hAnsi="仿宋_GB2312" w:eastAsia="仿宋_GB2312" w:cs="仿宋_GB2312"/>
          <w:b w:val="0"/>
          <w:bCs w:val="0"/>
          <w:kern w:val="0"/>
          <w:sz w:val="32"/>
          <w:szCs w:val="32"/>
          <w:lang w:val="en-US" w:eastAsia="zh-CN" w:bidi="ar"/>
        </w:rPr>
        <w:t>局统筹管理，授权符合条件的农业</w:t>
      </w:r>
      <w:r>
        <w:rPr>
          <w:rFonts w:hint="eastAsia" w:ascii="仿宋_GB2312" w:hAnsi="仿宋_GB2312" w:eastAsia="仿宋_GB2312" w:cs="仿宋_GB2312"/>
          <w:b w:val="0"/>
          <w:bCs w:val="0"/>
          <w:kern w:val="0"/>
          <w:sz w:val="32"/>
          <w:szCs w:val="32"/>
          <w:lang w:val="en-US" w:eastAsia="zh-CN" w:bidi="ar"/>
        </w:rPr>
        <w:t>生产</w:t>
      </w:r>
      <w:r>
        <w:rPr>
          <w:rFonts w:hint="default" w:ascii="仿宋_GB2312" w:hAnsi="仿宋_GB2312" w:eastAsia="仿宋_GB2312" w:cs="仿宋_GB2312"/>
          <w:b w:val="0"/>
          <w:bCs w:val="0"/>
          <w:kern w:val="0"/>
          <w:sz w:val="32"/>
          <w:szCs w:val="32"/>
          <w:lang w:val="en-US" w:eastAsia="zh-CN" w:bidi="ar"/>
        </w:rPr>
        <w:t>经营主体使用。品牌以“越韵农臻”为核心标识，体现越城区农产品的地域特色、文化底蕴和品质优势，适用于</w:t>
      </w:r>
      <w:r>
        <w:rPr>
          <w:rFonts w:hint="eastAsia" w:ascii="仿宋_GB2312" w:hAnsi="仿宋_GB2312" w:eastAsia="仿宋_GB2312" w:cs="仿宋_GB2312"/>
          <w:b w:val="0"/>
          <w:bCs w:val="0"/>
          <w:kern w:val="0"/>
          <w:sz w:val="32"/>
          <w:szCs w:val="32"/>
          <w:lang w:val="en-US" w:eastAsia="zh-CN" w:bidi="ar"/>
        </w:rPr>
        <w:t>越城区区域内所有达到国家安全标准的初级农产品（林产品）和农产品加工制品。</w:t>
      </w:r>
    </w:p>
    <w:p>
      <w:pPr>
        <w:pStyle w:val="4"/>
        <w:keepNext w:val="0"/>
        <w:keepLines w:val="0"/>
        <w:pageBreakBefore w:val="0"/>
        <w:widowControl/>
        <w:numPr>
          <w:ilvl w:val="0"/>
          <w:numId w:val="1"/>
        </w:numPr>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rPr>
        <w:t>使用</w:t>
      </w:r>
      <w:r>
        <w:rPr>
          <w:rFonts w:hint="eastAsia" w:ascii="楷体_GB2312" w:hAnsi="楷体_GB2312" w:eastAsia="楷体_GB2312" w:cs="楷体_GB2312"/>
          <w:b w:val="0"/>
          <w:bCs w:val="0"/>
          <w:sz w:val="32"/>
          <w:szCs w:val="32"/>
          <w:lang w:eastAsia="zh-CN"/>
        </w:rPr>
        <w:t>管理原则</w:t>
      </w:r>
    </w:p>
    <w:p>
      <w:pPr>
        <w:pStyle w:val="4"/>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default" w:ascii="仿宋_GB2312" w:hAnsi="仿宋_GB2312" w:eastAsia="仿宋_GB2312" w:cs="仿宋_GB2312"/>
          <w:b w:val="0"/>
          <w:bCs w:val="0"/>
          <w:kern w:val="0"/>
          <w:sz w:val="32"/>
          <w:szCs w:val="32"/>
          <w:lang w:val="en-US" w:eastAsia="zh-CN" w:bidi="ar"/>
        </w:rPr>
      </w:pPr>
      <w:r>
        <w:rPr>
          <w:rFonts w:hint="default" w:ascii="仿宋_GB2312" w:hAnsi="仿宋_GB2312" w:eastAsia="仿宋_GB2312" w:cs="仿宋_GB2312"/>
          <w:b w:val="0"/>
          <w:bCs w:val="0"/>
          <w:kern w:val="0"/>
          <w:sz w:val="32"/>
          <w:szCs w:val="32"/>
          <w:lang w:val="en-US" w:eastAsia="zh-CN" w:bidi="ar"/>
        </w:rPr>
        <w:t>品牌管理遵循“政府引导、市场运作、主体自愿、动态监管”原则，实行统一品牌形象、统一准入标准、统一授权程序、统一推广运营的“四统一”管理模式</w:t>
      </w:r>
      <w:r>
        <w:rPr>
          <w:rFonts w:hint="eastAsia" w:ascii="仿宋_GB2312" w:hAnsi="仿宋_GB2312" w:eastAsia="仿宋_GB2312" w:cs="仿宋_GB2312"/>
          <w:b w:val="0"/>
          <w:bCs w:val="0"/>
          <w:kern w:val="0"/>
          <w:sz w:val="32"/>
          <w:szCs w:val="32"/>
          <w:lang w:val="en-US" w:eastAsia="zh-CN" w:bidi="ar"/>
        </w:rPr>
        <w:t>。</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（四）品牌定位</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bookmarkStart w:id="4" w:name="OLE_LINK3"/>
      <w:bookmarkStart w:id="5" w:name="OLE_LINK4"/>
      <w:r>
        <w:rPr>
          <w:rFonts w:hint="eastAsia" w:ascii="仿宋_GB2312" w:hAnsi="仿宋_GB2312" w:eastAsia="仿宋_GB2312" w:cs="仿宋_GB2312"/>
          <w:kern w:val="0"/>
          <w:sz w:val="32"/>
          <w:szCs w:val="32"/>
          <w:lang w:val="en-US" w:eastAsia="zh-CN" w:bidi="ar"/>
        </w:rPr>
        <w:t>“越韵农臻”</w:t>
      </w:r>
      <w:bookmarkEnd w:id="4"/>
      <w:r>
        <w:rPr>
          <w:rFonts w:hint="eastAsia" w:ascii="仿宋_GB2312" w:hAnsi="仿宋_GB2312" w:eastAsia="仿宋_GB2312" w:cs="仿宋_GB2312"/>
          <w:kern w:val="0"/>
          <w:sz w:val="32"/>
          <w:szCs w:val="32"/>
          <w:lang w:val="en-US" w:eastAsia="zh-CN" w:bidi="ar"/>
        </w:rPr>
        <w:t>是越城区政府统筹规划与高位推动实施的农产品区域公用品牌，旨在整合越城区优质农产品资源，提升区域农产品整体竞争力。</w:t>
      </w:r>
    </w:p>
    <w:bookmarkEnd w:id="5"/>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五</w:t>
      </w:r>
      <w:r>
        <w:rPr>
          <w:rFonts w:hint="eastAsia" w:ascii="楷体_GB2312" w:hAnsi="楷体_GB2312" w:eastAsia="楷体_GB2312" w:cs="楷体_GB2312"/>
          <w:b w:val="0"/>
          <w:bCs w:val="0"/>
          <w:sz w:val="32"/>
          <w:szCs w:val="32"/>
        </w:rPr>
        <w:t>）管理机构</w:t>
      </w:r>
    </w:p>
    <w:p>
      <w:pPr>
        <w:pStyle w:val="6"/>
        <w:keepNext w:val="0"/>
        <w:keepLines w:val="0"/>
        <w:pageBreakBefore w:val="0"/>
        <w:widowControl w:val="0"/>
        <w:kinsoku/>
        <w:wordWrap/>
        <w:overflowPunct/>
        <w:topLinePunct w:val="0"/>
        <w:autoSpaceDE/>
        <w:autoSpaceDN/>
        <w:bidi w:val="0"/>
        <w:adjustRightInd w:val="0"/>
        <w:snapToGrid w:val="0"/>
        <w:spacing w:line="574" w:lineRule="exact"/>
        <w:ind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“越韵农臻”公用品牌日常工作由区农水局负责管理，具体职责如下：</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受理品牌使用申请，负责组织审核与授权；</w:t>
      </w:r>
    </w:p>
    <w:p>
      <w:pPr>
        <w:pStyle w:val="6"/>
        <w:keepNext w:val="0"/>
        <w:keepLines w:val="0"/>
        <w:pageBreakBefore w:val="0"/>
        <w:widowControl w:val="0"/>
        <w:numPr>
          <w:ilvl w:val="0"/>
          <w:numId w:val="2"/>
        </w:numPr>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统筹品牌宣传推广，策划并组织展销活动；</w:t>
      </w:r>
    </w:p>
    <w:p>
      <w:pPr>
        <w:keepNext w:val="0"/>
        <w:keepLines w:val="0"/>
        <w:pageBreakBefore w:val="0"/>
        <w:widowControl w:val="0"/>
        <w:numPr>
          <w:ilvl w:val="0"/>
          <w:numId w:val="2"/>
        </w:numPr>
        <w:kinsoku/>
        <w:wordWrap/>
        <w:overflowPunct/>
        <w:topLinePunct w:val="0"/>
        <w:autoSpaceDE/>
        <w:autoSpaceDN/>
        <w:bidi w:val="0"/>
        <w:adjustRightInd w:val="0"/>
        <w:snapToGrid w:val="0"/>
        <w:spacing w:line="574" w:lineRule="exact"/>
        <w:ind w:left="0" w:lef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监督品牌使用情况，确保规范运营。</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eastAsia="zh-CN"/>
        </w:rPr>
        <w:t>六</w:t>
      </w:r>
      <w:r>
        <w:rPr>
          <w:rFonts w:hint="eastAsia" w:ascii="楷体_GB2312" w:hAnsi="楷体_GB2312" w:eastAsia="楷体_GB2312" w:cs="楷体_GB2312"/>
          <w:b w:val="0"/>
          <w:bCs w:val="0"/>
          <w:sz w:val="32"/>
          <w:szCs w:val="32"/>
        </w:rPr>
        <w:t>）监督指导</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“越韵农臻”公用品牌的使用主体受区农水局、区商务局、区市场监督管理局等行业主管部门的指导和监督。</w:t>
      </w:r>
    </w:p>
    <w:p>
      <w:pPr>
        <w:pStyle w:val="3"/>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二、准入标准</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（一）申请资格</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凡生产、经营、销售越城区绿色、安全、优质农产品的市场主体，其提供的产品符合“越韵农臻”公用品牌质量要求的，可申请使用“越韵农臻”公用品牌。</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（二）申请条件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申请使用“越韵农臻”公用品牌的需具备以下条件：</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74" w:lineRule="exact"/>
        <w:ind w:left="0" w:leftChars="0" w:firstLine="642"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企业资质与注册要求</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具有独立的企业、合作社或社团法人资格，且注册地址必须位于越城区内。企业必须是依法登记，具备稳定的生产基地或经营场所。</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74" w:lineRule="exact"/>
        <w:ind w:left="0" w:leftChars="0" w:firstLine="642"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标准化生产能力</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申报使用区域公用品牌的生产主体必须具备标准化生产能力，严格按照法定的正规技术操作规程执行，进行标准化生产。</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74" w:lineRule="exact"/>
        <w:ind w:left="0" w:leftChars="0" w:firstLine="642"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食品安全与卫生条件</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ascii="Segoe UI" w:hAnsi="Segoe UI" w:eastAsia="Segoe UI" w:cs="Segoe UI"/>
          <w:i w:val="0"/>
          <w:iCs w:val="0"/>
          <w:caps w:val="0"/>
          <w:spacing w:val="0"/>
          <w:sz w:val="24"/>
          <w:szCs w:val="24"/>
          <w:shd w:val="clear" w:color="auto" w:fill="F6F6F6"/>
        </w:rPr>
      </w:pPr>
      <w:r>
        <w:rPr>
          <w:rFonts w:hint="eastAsia" w:ascii="仿宋_GB2312" w:hAnsi="仿宋_GB2312" w:eastAsia="仿宋_GB2312" w:cs="仿宋_GB2312"/>
          <w:kern w:val="0"/>
          <w:sz w:val="32"/>
          <w:szCs w:val="32"/>
          <w:lang w:val="en-US" w:eastAsia="zh-CN" w:bidi="ar"/>
        </w:rPr>
        <w:t>食品类产品应符合卫生条件，且在生产过程中严格遵循国家及地方相关食品安全标准。近两年内无质量抽检不合格记录。</w:t>
      </w:r>
    </w:p>
    <w:p>
      <w:pPr>
        <w:keepNext w:val="0"/>
        <w:keepLines w:val="0"/>
        <w:pageBreakBefore w:val="0"/>
        <w:widowControl/>
        <w:numPr>
          <w:ilvl w:val="0"/>
          <w:numId w:val="3"/>
        </w:numPr>
        <w:suppressLineNumbers w:val="0"/>
        <w:kinsoku/>
        <w:wordWrap/>
        <w:overflowPunct/>
        <w:topLinePunct w:val="0"/>
        <w:autoSpaceDE/>
        <w:autoSpaceDN/>
        <w:bidi w:val="0"/>
        <w:adjustRightInd w:val="0"/>
        <w:snapToGrid w:val="0"/>
        <w:spacing w:beforeAutospacing="0" w:afterAutospacing="0" w:line="574" w:lineRule="exact"/>
        <w:ind w:left="0" w:leftChars="0" w:firstLine="642" w:firstLineChars="200"/>
        <w:jc w:val="both"/>
        <w:textAlignment w:val="auto"/>
        <w:rPr>
          <w:rFonts w:hint="eastAsia" w:ascii="仿宋_GB2312" w:hAnsi="仿宋_GB2312" w:eastAsia="仿宋_GB2312" w:cs="仿宋_GB2312"/>
          <w:b/>
          <w:bCs/>
          <w:kern w:val="0"/>
          <w:sz w:val="32"/>
          <w:szCs w:val="32"/>
          <w:lang w:val="en-US" w:eastAsia="zh-CN" w:bidi="ar"/>
        </w:rPr>
      </w:pPr>
      <w:r>
        <w:rPr>
          <w:rFonts w:hint="eastAsia" w:ascii="仿宋_GB2312" w:hAnsi="仿宋_GB2312" w:eastAsia="仿宋_GB2312" w:cs="仿宋_GB2312"/>
          <w:b/>
          <w:bCs/>
          <w:kern w:val="0"/>
          <w:sz w:val="32"/>
          <w:szCs w:val="32"/>
          <w:lang w:val="en-US" w:eastAsia="zh-CN" w:bidi="ar"/>
        </w:rPr>
        <w:t>产品知名度与地方特色</w:t>
      </w:r>
    </w:p>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申报的产品应具有一定的知名度和市场影响力，能够代表越城区的产业特色和地域文化。</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三、申请程序</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（一）申请主体提交《品牌使用申请书》、生产许可证、商标证、营业执照、产品质量检测报告等相关证明材料；</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（二）区农水局</w:t>
      </w:r>
      <w:r>
        <w:rPr>
          <w:rFonts w:hint="default" w:ascii="仿宋_GB2312" w:hAnsi="仿宋_GB2312" w:eastAsia="仿宋_GB2312" w:cs="仿宋_GB2312"/>
          <w:kern w:val="0"/>
          <w:sz w:val="32"/>
          <w:szCs w:val="32"/>
          <w:lang w:val="en-US" w:eastAsia="zh-CN" w:bidi="ar"/>
        </w:rPr>
        <w:t>组织</w:t>
      </w:r>
      <w:r>
        <w:rPr>
          <w:rFonts w:hint="eastAsia" w:ascii="仿宋_GB2312" w:hAnsi="仿宋_GB2312" w:eastAsia="仿宋_GB2312" w:cs="仿宋_GB2312"/>
          <w:kern w:val="0"/>
          <w:sz w:val="32"/>
          <w:szCs w:val="32"/>
          <w:lang w:val="en-US" w:eastAsia="zh-CN" w:bidi="ar"/>
        </w:rPr>
        <w:t>初</w:t>
      </w:r>
      <w:r>
        <w:rPr>
          <w:rFonts w:hint="default" w:ascii="仿宋_GB2312" w:hAnsi="仿宋_GB2312" w:eastAsia="仿宋_GB2312" w:cs="仿宋_GB2312"/>
          <w:kern w:val="0"/>
          <w:sz w:val="32"/>
          <w:szCs w:val="32"/>
          <w:lang w:val="en-US" w:eastAsia="zh-CN" w:bidi="ar"/>
        </w:rPr>
        <w:t>审及实地核查</w:t>
      </w:r>
      <w:r>
        <w:rPr>
          <w:rFonts w:hint="eastAsia" w:ascii="仿宋_GB2312" w:hAnsi="仿宋_GB2312" w:eastAsia="仿宋_GB2312" w:cs="仿宋_GB2312"/>
          <w:kern w:val="0"/>
          <w:sz w:val="32"/>
          <w:szCs w:val="32"/>
          <w:lang w:val="en-US" w:eastAsia="zh-CN" w:bidi="ar"/>
        </w:rPr>
        <w:t>，并就初审结果征求相关部门意见</w:t>
      </w:r>
      <w:r>
        <w:rPr>
          <w:rFonts w:hint="default" w:ascii="仿宋_GB2312" w:hAnsi="仿宋_GB2312" w:eastAsia="仿宋_GB2312" w:cs="仿宋_GB2312"/>
          <w:kern w:val="0"/>
          <w:sz w:val="32"/>
          <w:szCs w:val="32"/>
          <w:lang w:val="en-US" w:eastAsia="zh-CN" w:bidi="ar"/>
        </w:rPr>
        <w:t>；</w:t>
      </w:r>
    </w:p>
    <w:p>
      <w:pPr>
        <w:pStyle w:val="6"/>
        <w:keepNext w:val="0"/>
        <w:keepLines w:val="0"/>
        <w:pageBreakBefore w:val="0"/>
        <w:kinsoku/>
        <w:wordWrap/>
        <w:overflowPunct/>
        <w:topLinePunct w:val="0"/>
        <w:autoSpaceDE/>
        <w:autoSpaceDN/>
        <w:bidi w:val="0"/>
        <w:adjustRightInd w:val="0"/>
        <w:snapToGrid w:val="0"/>
        <w:spacing w:line="574" w:lineRule="exact"/>
        <w:ind w:leftChars="0" w:firstLine="640" w:firstLineChars="200"/>
        <w:textAlignment w:val="auto"/>
        <w:rPr>
          <w:rFonts w:hint="default"/>
          <w:lang w:val="en-US" w:eastAsia="zh-CN"/>
        </w:rPr>
      </w:pPr>
      <w:r>
        <w:rPr>
          <w:rFonts w:hint="eastAsia" w:ascii="仿宋_GB2312" w:hAnsi="仿宋_GB2312" w:eastAsia="仿宋_GB2312" w:cs="仿宋_GB2312"/>
          <w:kern w:val="0"/>
          <w:sz w:val="32"/>
          <w:szCs w:val="32"/>
          <w:lang w:val="en-US" w:eastAsia="zh-CN" w:bidi="ar"/>
        </w:rPr>
        <w:t>（三）对通过部门评审的产品进行公示，公示期为7个工作日；</w:t>
      </w:r>
    </w:p>
    <w:p>
      <w:pPr>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Autospacing="0" w:afterAutospacing="0" w:line="574" w:lineRule="exact"/>
        <w:ind w:leftChars="0" w:firstLine="640" w:firstLineChars="200"/>
        <w:jc w:val="both"/>
        <w:textAlignment w:val="auto"/>
        <w:rPr>
          <w:rFonts w:hint="default"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w:t>
      </w:r>
      <w:r>
        <w:rPr>
          <w:rFonts w:hint="default" w:ascii="仿宋_GB2312" w:hAnsi="仿宋_GB2312" w:eastAsia="仿宋_GB2312" w:cs="仿宋_GB2312"/>
          <w:kern w:val="0"/>
          <w:sz w:val="32"/>
          <w:szCs w:val="32"/>
          <w:lang w:val="en-US" w:eastAsia="zh-CN" w:bidi="ar"/>
        </w:rPr>
        <w:t>公示无异议后由</w:t>
      </w:r>
      <w:r>
        <w:rPr>
          <w:rFonts w:hint="eastAsia" w:ascii="仿宋_GB2312" w:hAnsi="仿宋_GB2312" w:eastAsia="仿宋_GB2312" w:cs="仿宋_GB2312"/>
          <w:kern w:val="0"/>
          <w:sz w:val="32"/>
          <w:szCs w:val="32"/>
          <w:lang w:val="en-US" w:eastAsia="zh-CN" w:bidi="ar"/>
        </w:rPr>
        <w:t>区农水局</w:t>
      </w:r>
      <w:r>
        <w:rPr>
          <w:rFonts w:hint="default" w:ascii="仿宋_GB2312" w:hAnsi="仿宋_GB2312" w:eastAsia="仿宋_GB2312" w:cs="仿宋_GB2312"/>
          <w:kern w:val="0"/>
          <w:sz w:val="32"/>
          <w:szCs w:val="32"/>
          <w:lang w:val="en-US" w:eastAsia="zh-CN" w:bidi="ar"/>
        </w:rPr>
        <w:t>对许可使用的单位（组织）和产品，根据核定的使用数量和范围，发放《“</w:t>
      </w:r>
      <w:r>
        <w:rPr>
          <w:rFonts w:hint="eastAsia" w:ascii="仿宋_GB2312" w:hAnsi="仿宋_GB2312" w:eastAsia="仿宋_GB2312" w:cs="仿宋_GB2312"/>
          <w:kern w:val="0"/>
          <w:sz w:val="32"/>
          <w:szCs w:val="32"/>
          <w:lang w:val="en-US" w:eastAsia="zh-CN" w:bidi="ar"/>
        </w:rPr>
        <w:t>越韵农臻</w:t>
      </w:r>
      <w:r>
        <w:rPr>
          <w:rFonts w:hint="default" w:ascii="仿宋_GB2312" w:hAnsi="仿宋_GB2312" w:eastAsia="仿宋_GB2312" w:cs="仿宋_GB2312"/>
          <w:kern w:val="0"/>
          <w:sz w:val="32"/>
          <w:szCs w:val="32"/>
          <w:lang w:val="en-US" w:eastAsia="zh-CN" w:bidi="ar"/>
        </w:rPr>
        <w:t>”农产品区域公共品牌使用许可授权书》，并纳入《越城区“越韵农臻”农产品区域公用品牌使用管理办法（试行）》常态化管理。</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firstLine="640" w:firstLineChars="200"/>
        <w:jc w:val="both"/>
        <w:textAlignment w:val="auto"/>
        <w:rPr>
          <w:rFonts w:hint="eastAsia" w:ascii="黑体" w:hAnsi="黑体" w:eastAsia="黑体" w:cs="黑体"/>
          <w:b w:val="0"/>
          <w:bCs w:val="0"/>
          <w:kern w:val="0"/>
          <w:sz w:val="32"/>
          <w:szCs w:val="32"/>
          <w:lang w:val="en-US" w:eastAsia="zh-CN" w:bidi="ar"/>
        </w:rPr>
      </w:pPr>
      <w:bookmarkStart w:id="6" w:name="OLE_LINK2"/>
      <w:r>
        <w:rPr>
          <w:rFonts w:hint="eastAsia" w:ascii="黑体" w:hAnsi="黑体" w:eastAsia="黑体" w:cs="黑体"/>
          <w:b w:val="0"/>
          <w:bCs w:val="0"/>
          <w:kern w:val="0"/>
          <w:sz w:val="32"/>
          <w:szCs w:val="32"/>
          <w:lang w:val="en-US" w:eastAsia="zh-CN" w:bidi="ar"/>
        </w:rPr>
        <w:t>四、品牌标识和包装</w:t>
      </w:r>
    </w:p>
    <w:bookmarkEnd w:id="6"/>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（一）品牌标识使用主体</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经区农水局核准备案后，相关主体方可获得“越韵农臻”公用品牌标识的使用权，并有权印制和使用该品牌标识及包装。</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（二）印制前提交计划与样稿</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在正式印制“越韵农臻”品牌标识及包装前，使用主体需向区农水局提交详细的印制计划以及设计样稿。区农水局将对提交的计划与样稿进行审核，确保符合品牌标识的使用规范和要求。</w:t>
      </w:r>
    </w:p>
    <w:p>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（三）审核通过后印制</w:t>
      </w:r>
    </w:p>
    <w:p>
      <w:pPr>
        <w:pStyle w:val="7"/>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区农水局对提交的印制计划和设计样稿进行审核，审核通过后，使用主体方可进行正式的印制工作。在印制过程中，使用主体应严格按照审核通过的设计样稿进行制作，确保品牌标识的准确性和一致性。</w:t>
      </w:r>
    </w:p>
    <w:p>
      <w:pPr>
        <w:pStyle w:val="7"/>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（四）禁止行为</w:t>
      </w:r>
    </w:p>
    <w:p>
      <w:pPr>
        <w:pStyle w:val="7"/>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574" w:lineRule="exact"/>
        <w:ind w:left="0" w:leftChars="0" w:right="0" w:rightChars="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使用主体不得擅自转让、出售、出借“越韵农臻”品牌标识。</w:t>
      </w:r>
    </w:p>
    <w:p>
      <w:pPr>
        <w:pStyle w:val="7"/>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使用主体不得伪造品牌标识或使用与“越韵农臻”近似的商标。</w:t>
      </w:r>
    </w:p>
    <w:p>
      <w:pPr>
        <w:pStyle w:val="7"/>
        <w:keepNext w:val="0"/>
        <w:keepLines w:val="0"/>
        <w:pageBreakBefore w:val="0"/>
        <w:widowControl/>
        <w:numPr>
          <w:ilvl w:val="0"/>
          <w:numId w:val="4"/>
        </w:numPr>
        <w:suppressLineNumbers w:val="0"/>
        <w:kinsoku/>
        <w:wordWrap/>
        <w:overflowPunct/>
        <w:topLinePunct w:val="0"/>
        <w:autoSpaceDE/>
        <w:autoSpaceDN/>
        <w:bidi w:val="0"/>
        <w:adjustRightInd w:val="0"/>
        <w:snapToGrid w:val="0"/>
        <w:spacing w:before="0" w:beforeAutospacing="0" w:after="0" w:afterAutospacing="0" w:line="574" w:lineRule="exact"/>
        <w:ind w:left="0" w:leftChars="0" w:right="0" w:firstLine="640" w:firstLineChars="200"/>
        <w:jc w:val="both"/>
        <w:textAlignment w:val="auto"/>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使用主体应确保产品质量与品牌形象相符，禁止以次充好、虚假宣传或超核定范围使用品牌标识。</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黑体" w:hAnsi="黑体" w:eastAsia="黑体" w:cs="黑体"/>
          <w:b w:val="0"/>
          <w:bCs w:val="0"/>
          <w:kern w:val="0"/>
          <w:sz w:val="32"/>
          <w:szCs w:val="32"/>
          <w:lang w:val="en-US" w:eastAsia="zh-CN" w:bidi="ar"/>
        </w:rPr>
      </w:pPr>
      <w:bookmarkStart w:id="7" w:name="OLE_LINK7"/>
      <w:r>
        <w:rPr>
          <w:rFonts w:hint="eastAsia" w:ascii="黑体" w:hAnsi="黑体" w:eastAsia="黑体" w:cs="黑体"/>
          <w:b w:val="0"/>
          <w:bCs w:val="0"/>
          <w:kern w:val="0"/>
          <w:sz w:val="32"/>
          <w:szCs w:val="32"/>
          <w:lang w:val="en-US" w:eastAsia="zh-CN" w:bidi="ar"/>
        </w:rPr>
        <w:t>五、品牌营销推介管理</w:t>
      </w:r>
    </w:p>
    <w:bookmarkEnd w:id="7"/>
    <w:p>
      <w:pPr>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坚持"政府主导、企业协同、文化赋能、数字驱动"原则，采用统一营销与自主营销相结合的模式，整合线上线下资源，构建覆盖生产端、流通端、消费端的全链条营销体系，实现品牌价值与市场效益双提升。</w:t>
      </w:r>
    </w:p>
    <w:p>
      <w:pPr>
        <w:numPr>
          <w:ilvl w:val="0"/>
          <w:numId w:val="0"/>
        </w:numPr>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（一）</w:t>
      </w:r>
      <w:bookmarkStart w:id="8" w:name="OLE_LINK12"/>
      <w:bookmarkStart w:id="9" w:name="OLE_LINK11"/>
      <w:r>
        <w:rPr>
          <w:rFonts w:hint="eastAsia" w:ascii="仿宋_GB2312" w:hAnsi="仿宋_GB2312" w:eastAsia="仿宋_GB2312" w:cs="仿宋_GB2312"/>
          <w:b w:val="0"/>
          <w:bCs w:val="0"/>
          <w:kern w:val="0"/>
          <w:sz w:val="32"/>
          <w:szCs w:val="32"/>
          <w:lang w:val="en-US" w:eastAsia="zh-CN" w:bidi="ar"/>
        </w:rPr>
        <w:t>统一营销推介由品牌管理单位统筹实施，重点包括：</w:t>
      </w:r>
      <w:bookmarkEnd w:id="8"/>
      <w:r>
        <w:rPr>
          <w:rFonts w:hint="eastAsia" w:ascii="仿宋_GB2312" w:hAnsi="仿宋_GB2312" w:eastAsia="仿宋_GB2312" w:cs="仿宋_GB2312"/>
          <w:b w:val="0"/>
          <w:bCs w:val="0"/>
          <w:kern w:val="0"/>
          <w:sz w:val="32"/>
          <w:szCs w:val="32"/>
          <w:lang w:val="en-US" w:eastAsia="zh-CN" w:bidi="ar"/>
        </w:rPr>
        <w:t>线下层面，设立"越韵农臻"品牌展销专区，组织授权企业参与农（林）产品展销会，举办大型节庆活动集中推介系列产品；线上层面，开设官方短视频账号，结合春茶开采、稻米丰收等农时节点策划系列短视频，建立品牌直播基地构建数字内容矩阵。</w:t>
      </w:r>
    </w:p>
    <w:bookmarkEnd w:id="9"/>
    <w:p>
      <w:pPr>
        <w:numPr>
          <w:ilvl w:val="0"/>
          <w:numId w:val="0"/>
        </w:numPr>
        <w:ind w:firstLine="640" w:firstLineChars="200"/>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(二)鼓励各产业协会、经营主体举办或组团参加冠以“越韵农臻”公用品牌的宣传推介、展示展销、论坛讲座等活动。</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（三）“越韵农臻”公用品牌</w:t>
      </w:r>
      <w:r>
        <w:rPr>
          <w:rFonts w:hint="eastAsia" w:ascii="仿宋_GB2312" w:hAnsi="仿宋_GB2312" w:eastAsia="仿宋_GB2312" w:cs="仿宋_GB2312"/>
          <w:color w:val="auto"/>
          <w:kern w:val="0"/>
          <w:sz w:val="32"/>
          <w:szCs w:val="32"/>
        </w:rPr>
        <w:t>的宣传推介活动应</w:t>
      </w:r>
      <w:r>
        <w:rPr>
          <w:rFonts w:hint="eastAsia" w:ascii="仿宋_GB2312" w:hAnsi="仿宋_GB2312" w:eastAsia="仿宋_GB2312" w:cs="仿宋_GB2312"/>
          <w:color w:val="auto"/>
          <w:kern w:val="0"/>
          <w:sz w:val="32"/>
          <w:szCs w:val="32"/>
          <w:lang w:val="en-US" w:eastAsia="zh-CN"/>
        </w:rPr>
        <w:t>事先</w:t>
      </w: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品牌管理单位</w:t>
      </w:r>
      <w:r>
        <w:rPr>
          <w:rFonts w:hint="eastAsia" w:ascii="仿宋_GB2312" w:hAnsi="仿宋_GB2312" w:eastAsia="仿宋_GB2312" w:cs="仿宋_GB2312"/>
          <w:color w:val="auto"/>
          <w:kern w:val="0"/>
          <w:sz w:val="32"/>
          <w:szCs w:val="32"/>
        </w:rPr>
        <w:t>登记</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报批</w:t>
      </w:r>
      <w:r>
        <w:rPr>
          <w:rFonts w:hint="eastAsia" w:ascii="仿宋_GB2312" w:hAnsi="仿宋_GB2312" w:eastAsia="仿宋_GB2312" w:cs="仿宋_GB2312"/>
          <w:color w:val="auto"/>
          <w:kern w:val="0"/>
          <w:sz w:val="32"/>
          <w:szCs w:val="32"/>
        </w:rPr>
        <w:t>备案，并履行以下手续：</w:t>
      </w:r>
    </w:p>
    <w:p>
      <w:pPr>
        <w:keepNext w:val="0"/>
        <w:keepLines w:val="0"/>
        <w:pageBreakBefore w:val="0"/>
        <w:widowControl w:val="0"/>
        <w:numPr>
          <w:ilvl w:val="0"/>
          <w:numId w:val="5"/>
        </w:numPr>
        <w:shd w:val="clear" w:color="auto" w:fill="auto"/>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向</w:t>
      </w:r>
      <w:r>
        <w:rPr>
          <w:rFonts w:hint="eastAsia" w:ascii="仿宋_GB2312" w:hAnsi="仿宋_GB2312" w:eastAsia="仿宋_GB2312" w:cs="仿宋_GB2312"/>
          <w:color w:val="auto"/>
          <w:kern w:val="0"/>
          <w:sz w:val="32"/>
          <w:szCs w:val="32"/>
          <w:lang w:eastAsia="zh-CN"/>
        </w:rPr>
        <w:t>品牌管理单位</w:t>
      </w:r>
      <w:r>
        <w:rPr>
          <w:rFonts w:hint="eastAsia" w:ascii="仿宋_GB2312" w:hAnsi="仿宋_GB2312" w:eastAsia="仿宋_GB2312" w:cs="仿宋_GB2312"/>
          <w:color w:val="auto"/>
          <w:kern w:val="0"/>
          <w:sz w:val="32"/>
          <w:szCs w:val="32"/>
        </w:rPr>
        <w:t>递交开展</w:t>
      </w:r>
      <w:r>
        <w:rPr>
          <w:rFonts w:hint="eastAsia" w:ascii="仿宋_GB2312" w:hAnsi="仿宋_GB2312" w:eastAsia="仿宋_GB2312" w:cs="仿宋_GB2312"/>
          <w:color w:val="auto"/>
          <w:kern w:val="0"/>
          <w:sz w:val="32"/>
          <w:szCs w:val="32"/>
          <w:lang w:eastAsia="zh-CN"/>
        </w:rPr>
        <w:t>“越韵农臻”公用品牌</w:t>
      </w:r>
      <w:r>
        <w:rPr>
          <w:rFonts w:hint="eastAsia" w:ascii="仿宋_GB2312" w:hAnsi="仿宋_GB2312" w:eastAsia="仿宋_GB2312" w:cs="仿宋_GB2312"/>
          <w:color w:val="auto"/>
          <w:kern w:val="0"/>
          <w:sz w:val="32"/>
          <w:szCs w:val="32"/>
        </w:rPr>
        <w:t>宣传活动</w:t>
      </w:r>
      <w:r>
        <w:rPr>
          <w:rFonts w:hint="eastAsia" w:ascii="仿宋_GB2312" w:hAnsi="仿宋_GB2312" w:eastAsia="仿宋_GB2312" w:cs="仿宋_GB2312"/>
          <w:color w:val="auto"/>
          <w:kern w:val="0"/>
          <w:sz w:val="32"/>
          <w:szCs w:val="32"/>
          <w:lang w:val="en-US" w:eastAsia="zh-CN"/>
        </w:rPr>
        <w:t>情况介绍</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说明</w:t>
      </w:r>
      <w:r>
        <w:rPr>
          <w:rFonts w:hint="eastAsia" w:ascii="仿宋_GB2312" w:hAnsi="仿宋_GB2312" w:eastAsia="仿宋_GB2312" w:cs="仿宋_GB2312"/>
          <w:color w:val="auto"/>
          <w:kern w:val="0"/>
          <w:sz w:val="32"/>
          <w:szCs w:val="32"/>
        </w:rPr>
        <w:t>活动时间、地点、内容、规模、参加者，同时提交活动方案。</w:t>
      </w:r>
    </w:p>
    <w:p>
      <w:pPr>
        <w:keepNext w:val="0"/>
        <w:keepLines w:val="0"/>
        <w:pageBreakBefore w:val="0"/>
        <w:widowControl w:val="0"/>
        <w:numPr>
          <w:ilvl w:val="0"/>
          <w:numId w:val="5"/>
        </w:numPr>
        <w:shd w:val="clear" w:color="auto" w:fill="auto"/>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品牌管理单位</w:t>
      </w:r>
      <w:r>
        <w:rPr>
          <w:rFonts w:hint="eastAsia" w:ascii="仿宋_GB2312" w:hAnsi="仿宋_GB2312" w:eastAsia="仿宋_GB2312" w:cs="仿宋_GB2312"/>
          <w:color w:val="auto"/>
          <w:kern w:val="0"/>
          <w:sz w:val="32"/>
          <w:szCs w:val="32"/>
        </w:rPr>
        <w:t>受理登记后，在7个工作日内完成审核。</w:t>
      </w:r>
    </w:p>
    <w:p>
      <w:pPr>
        <w:keepNext w:val="0"/>
        <w:keepLines w:val="0"/>
        <w:pageBreakBefore w:val="0"/>
        <w:widowControl w:val="0"/>
        <w:numPr>
          <w:ilvl w:val="0"/>
          <w:numId w:val="5"/>
        </w:numPr>
        <w:shd w:val="clear" w:color="auto" w:fill="auto"/>
        <w:kinsoku/>
        <w:wordWrap/>
        <w:overflowPunct w:val="0"/>
        <w:topLinePunct w:val="0"/>
        <w:autoSpaceDE/>
        <w:autoSpaceDN/>
        <w:bidi w:val="0"/>
        <w:adjustRightInd w:val="0"/>
        <w:snapToGrid w:val="0"/>
        <w:spacing w:line="540"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rPr>
        <w:t>活动结束后向</w:t>
      </w:r>
      <w:r>
        <w:rPr>
          <w:rFonts w:hint="eastAsia" w:ascii="仿宋_GB2312" w:hAnsi="仿宋_GB2312" w:eastAsia="仿宋_GB2312" w:cs="仿宋_GB2312"/>
          <w:color w:val="auto"/>
          <w:kern w:val="0"/>
          <w:sz w:val="32"/>
          <w:szCs w:val="32"/>
          <w:lang w:eastAsia="zh-CN"/>
        </w:rPr>
        <w:t>品牌管理单位</w:t>
      </w:r>
      <w:r>
        <w:rPr>
          <w:rFonts w:hint="eastAsia" w:ascii="仿宋_GB2312" w:hAnsi="仿宋_GB2312" w:eastAsia="仿宋_GB2312" w:cs="仿宋_GB2312"/>
          <w:color w:val="auto"/>
          <w:kern w:val="0"/>
          <w:sz w:val="32"/>
          <w:szCs w:val="32"/>
        </w:rPr>
        <w:t>送交相关活动材料，备案存档。</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六、公用品牌使用主体权利和义务</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2"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（一）权利</w:t>
      </w:r>
    </w:p>
    <w:p>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400" w:firstLineChars="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在其产品上或包装上可使用“越韵农臻”公用品牌标识，提升产品的品牌形象和市场竞争力。</w:t>
      </w:r>
    </w:p>
    <w:p>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可使用“越韵农臻”公用品牌进行产品宣传、展销、展示，借助品牌的影响力吸引更多的消费者和合作伙伴。</w:t>
      </w:r>
    </w:p>
    <w:p>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优先享有区域公用品品牌的技术培训、产品展销、贸易洽谈、信息交流、宣传推介等活动，获取更多的行业信息和发展机会，提升自身的经营管理水平和市场开拓能力。</w:t>
      </w:r>
    </w:p>
    <w:p>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对公用品牌使用、管理提出意见、建议，参与品牌的建设和发展，为品牌的优化和提升贡献智慧和力量。</w:t>
      </w:r>
    </w:p>
    <w:p>
      <w:pPr>
        <w:keepNext w:val="0"/>
        <w:keepLines w:val="0"/>
        <w:pageBreakBefore w:val="0"/>
        <w:widowControl/>
        <w:numPr>
          <w:ilvl w:val="0"/>
          <w:numId w:val="6"/>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优先推荐享受相应的财政扶持政策，如政府的农业补贴、品牌建设奖励等，减轻企业的经营负担，促进企业的发展壮大。</w:t>
      </w:r>
    </w:p>
    <w:p>
      <w:pPr>
        <w:pStyle w:val="4"/>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74" w:lineRule="exact"/>
        <w:ind w:left="0" w:leftChars="0" w:firstLine="642"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（二）义务</w:t>
      </w:r>
    </w:p>
    <w:p>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应有专人负责公用品牌标识的管理、使用工作，建立健全品牌标识管理制度，确保公用品牌使用不失控、不流失，不得擅自向他人转让、出售、转借、馈赠品牌标识，保障品牌标识的规范使用和安全管理。</w:t>
      </w:r>
    </w:p>
    <w:p>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严格执行产品生产技术标准，建立完善的质量管理体系，保证产品质量，维护“越韵农臻”公用品牌形象和市场声誉，以优质的产品赢得消费者的信任和市场的认可。</w:t>
      </w:r>
    </w:p>
    <w:p>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严格遵守“越韵农臻”公用品牌标识包装和宣传推介规定，按照品牌的标准和规范进行标识包装和宣传推广，不得违规操作，确保品牌形象的一致性和规范性。</w:t>
      </w:r>
    </w:p>
    <w:p>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接受区农水局及有关行政执法部门对其产品质量和标识使用进行监督，积极配合监督检查工作，如实提供相关信息和资料，对监督检查中发现的问题及时整改，不断提升产品质量和品牌管理水平。</w:t>
      </w:r>
    </w:p>
    <w:p>
      <w:pPr>
        <w:keepNext w:val="0"/>
        <w:keepLines w:val="0"/>
        <w:pageBreakBefore w:val="0"/>
        <w:widowControl/>
        <w:numPr>
          <w:ilvl w:val="0"/>
          <w:numId w:val="7"/>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在使用“越韵农臻”公用品牌的过程中，如发生重大产品质量事故，需立即报告区农水局及有关行政执法部门，并应迅速采取有效措施予以补救，如召回问题产品、发布道歉声明、加强质量管控等，降低事故对品牌形象的损害。</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七、退出机制</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越韵农臻”公用品牌使用主体的产品包装出现不符合品牌规范的情况，需及时整改，整改合格后可继续使用品牌。“越韵农臻”公用品牌使用主体发生以下严重问题的，不得继续使用“越韵农臻”公用品牌形象标识，3年内不得再次申报“越韵农臻”公用品牌，并承担相应法律责任：</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未按“越韵农臻”公用品牌标准进行加工的，产品质量未达到品牌规定标准的。</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超核定范围使用公用品牌的，如将品牌标识使用在未经授权的产品上、超出核定的销售区域使用品牌或擅自更改品牌标识的。</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转让、出售、馈赠公用品牌使用权和包装物给他人使用的，破坏品牌的管理秩序和市场信誉的。</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对抽检发现的问题，整改逾期或整改不达标的。</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在质量、安全、环境、公共卫生等方面落实主体责任不力，造成严重不良影响或列入严重违法失信名单的。</w:t>
      </w:r>
    </w:p>
    <w:p>
      <w:pPr>
        <w:keepNext w:val="0"/>
        <w:keepLines w:val="0"/>
        <w:pageBreakBefore w:val="0"/>
        <w:widowControl/>
        <w:numPr>
          <w:ilvl w:val="0"/>
          <w:numId w:val="8"/>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其他严重影响“越韵农臻”公用品牌声誉的其他行为，如恶意诋毁品牌形象、虚假宣传误导消费者等。</w:t>
      </w:r>
    </w:p>
    <w:p>
      <w:pPr>
        <w:keepNext w:val="0"/>
        <w:keepLines w:val="0"/>
        <w:pageBreakBefore w:val="0"/>
        <w:widowControl w:val="0"/>
        <w:shd w:val="clear" w:color="auto" w:fill="auto"/>
        <w:kinsoku/>
        <w:wordWrap/>
        <w:overflowPunct w:val="0"/>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val="0"/>
          <w:kern w:val="0"/>
          <w:sz w:val="32"/>
          <w:szCs w:val="32"/>
          <w:lang w:val="en-US" w:eastAsia="zh-CN" w:bidi="ar"/>
        </w:rPr>
        <w:t>公用品牌使用主体被取消许可资格的，须立即停止使用“越韵农臻”公用品牌标识、包装。</w:t>
      </w:r>
      <w:r>
        <w:rPr>
          <w:rFonts w:hint="eastAsia" w:ascii="仿宋_GB2312" w:hAnsi="仿宋_GB2312" w:eastAsia="仿宋_GB2312" w:cs="仿宋_GB2312"/>
          <w:color w:val="000000"/>
          <w:kern w:val="0"/>
          <w:sz w:val="32"/>
          <w:szCs w:val="32"/>
        </w:rPr>
        <w:t>如有违反，将追究其法律责任。</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八、监督和追诉</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为切实维护“越韵农臻”公用品牌的公信力和社会声誉，区农水局对“越韵农臻”公用品牌使用主体生产经营活动的商标使用情况进行管理和监督，建立定期检查和不定期抽查制度，如发现违规违法使用现象，依法提请有关部门调查处理侵权或违法行为，及时制止侵权行为，保护品牌的知识产权，保障产品质量安全。</w:t>
      </w:r>
    </w:p>
    <w:p>
      <w:pPr>
        <w:pStyle w:val="3"/>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574" w:lineRule="exact"/>
        <w:ind w:leftChars="0" w:firstLine="640" w:firstLineChars="200"/>
        <w:jc w:val="both"/>
        <w:textAlignment w:val="auto"/>
        <w:rPr>
          <w:rFonts w:hint="eastAsia" w:ascii="黑体" w:hAnsi="黑体" w:eastAsia="黑体" w:cs="黑体"/>
          <w:b w:val="0"/>
          <w:bCs w:val="0"/>
          <w:kern w:val="0"/>
          <w:sz w:val="32"/>
          <w:szCs w:val="32"/>
          <w:lang w:val="en-US" w:eastAsia="zh-CN" w:bidi="ar"/>
        </w:rPr>
      </w:pPr>
      <w:r>
        <w:rPr>
          <w:rFonts w:hint="eastAsia" w:ascii="黑体" w:hAnsi="黑体" w:eastAsia="黑体" w:cs="黑体"/>
          <w:b w:val="0"/>
          <w:bCs w:val="0"/>
          <w:kern w:val="0"/>
          <w:sz w:val="32"/>
          <w:szCs w:val="32"/>
          <w:lang w:val="en-US" w:eastAsia="zh-CN" w:bidi="ar"/>
        </w:rPr>
        <w:t>九、附则</w:t>
      </w:r>
    </w:p>
    <w:p>
      <w:pPr>
        <w:keepNext w:val="0"/>
        <w:keepLines w:val="0"/>
        <w:pageBreakBefore w:val="0"/>
        <w:widowControl/>
        <w:numPr>
          <w:ilvl w:val="0"/>
          <w:numId w:val="0"/>
        </w:numPr>
        <w:suppressLineNumbers w:val="0"/>
        <w:pBdr>
          <w:left w:val="none" w:color="auto" w:sz="0" w:space="0"/>
        </w:pBdr>
        <w:kinsoku/>
        <w:wordWrap/>
        <w:overflowPunct/>
        <w:topLinePunct w:val="0"/>
        <w:autoSpaceDE/>
        <w:autoSpaceDN/>
        <w:bidi w:val="0"/>
        <w:adjustRightInd w:val="0"/>
        <w:snapToGrid w:val="0"/>
        <w:spacing w:beforeAutospacing="0" w:afterAutospacing="0" w:line="574" w:lineRule="exact"/>
        <w:ind w:left="0"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本办法由区农水局负责解释，自印发之日起实施，在实施过程中，区农水局将根据实际情况和发展需要，对办法进行修订和完善，确保办法的科学性和有效性。</w:t>
      </w:r>
    </w:p>
    <w:p>
      <w:pPr>
        <w:keepNext w:val="0"/>
        <w:keepLines w:val="0"/>
        <w:pageBreakBefore w:val="0"/>
        <w:widowControl w:val="0"/>
        <w:numPr>
          <w:ilvl w:val="0"/>
          <w:numId w:val="0"/>
        </w:numPr>
        <w:kinsoku/>
        <w:wordWrap/>
        <w:overflowPunct/>
        <w:topLinePunct w:val="0"/>
        <w:autoSpaceDE/>
        <w:autoSpaceDN/>
        <w:bidi w:val="0"/>
        <w:adjustRightInd w:val="0"/>
        <w:snapToGrid w:val="0"/>
        <w:spacing w:line="574" w:lineRule="exact"/>
        <w:ind w:leftChars="0" w:firstLine="640" w:firstLineChars="200"/>
        <w:jc w:val="both"/>
        <w:textAlignment w:val="auto"/>
        <w:rPr>
          <w:rFonts w:hint="eastAsia" w:ascii="仿宋_GB2312" w:hAnsi="仿宋_GB2312" w:eastAsia="仿宋_GB2312" w:cs="仿宋_GB2312"/>
          <w:b w:val="0"/>
          <w:bCs w:val="0"/>
          <w:kern w:val="0"/>
          <w:sz w:val="32"/>
          <w:szCs w:val="32"/>
          <w:lang w:val="en-US" w:eastAsia="zh-CN" w:bidi="ar"/>
        </w:rPr>
      </w:pPr>
      <w:r>
        <w:rPr>
          <w:rFonts w:hint="eastAsia" w:ascii="仿宋_GB2312" w:hAnsi="仿宋_GB2312" w:eastAsia="仿宋_GB2312" w:cs="仿宋_GB2312"/>
          <w:b w:val="0"/>
          <w:bCs w:val="0"/>
          <w:kern w:val="0"/>
          <w:sz w:val="32"/>
          <w:szCs w:val="32"/>
          <w:lang w:val="en-US" w:eastAsia="zh-CN" w:bidi="ar"/>
        </w:rPr>
        <w:t>附件：越城区“越韵农臻”农产品区域公用品牌使用许可申请表</w:t>
      </w:r>
    </w:p>
    <w:bookmarkEnd w:id="2"/>
    <w:bookmarkEnd w:id="3"/>
    <w:p>
      <w:pPr>
        <w:spacing w:before="104" w:line="221" w:lineRule="auto"/>
        <w:rPr>
          <w:rFonts w:ascii="Times New Roman" w:hAnsi="Times New Roman" w:eastAsia="Times New Roman" w:cs="Times New Roman"/>
          <w:sz w:val="32"/>
          <w:szCs w:val="32"/>
        </w:rPr>
      </w:pPr>
      <w:r>
        <w:rPr>
          <w:rFonts w:ascii="黑体" w:hAnsi="黑体" w:eastAsia="黑体" w:cs="黑体"/>
          <w:spacing w:val="-12"/>
          <w:sz w:val="32"/>
          <w:szCs w:val="32"/>
        </w:rPr>
        <w:t>附件</w:t>
      </w:r>
      <w:r>
        <w:rPr>
          <w:rFonts w:ascii="黑体" w:hAnsi="黑体" w:eastAsia="黑体" w:cs="黑体"/>
          <w:spacing w:val="-74"/>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rPr>
          <w:rFonts w:hint="eastAsia" w:ascii="方正公文小标宋" w:hAnsi="方正公文小标宋" w:eastAsia="方正公文小标宋" w:cs="方正公文小标宋"/>
          <w:spacing w:val="-1"/>
          <w:sz w:val="44"/>
          <w:szCs w:val="44"/>
        </w:rPr>
      </w:pPr>
      <w:bookmarkStart w:id="10" w:name="OLE_LINK8"/>
      <w:r>
        <w:rPr>
          <w:rFonts w:hint="eastAsia" w:ascii="方正公文小标宋" w:hAnsi="方正公文小标宋" w:eastAsia="方正公文小标宋" w:cs="方正公文小标宋"/>
          <w:spacing w:val="1"/>
          <w:sz w:val="44"/>
          <w:szCs w:val="44"/>
          <w:lang w:eastAsia="zh-CN"/>
        </w:rPr>
        <w:t>越城区“越韵农臻”</w:t>
      </w:r>
      <w:r>
        <w:rPr>
          <w:rFonts w:hint="eastAsia" w:ascii="方正公文小标宋" w:hAnsi="方正公文小标宋" w:eastAsia="方正公文小标宋" w:cs="方正公文小标宋"/>
          <w:spacing w:val="-1"/>
          <w:sz w:val="44"/>
          <w:szCs w:val="44"/>
        </w:rPr>
        <w:t>农产品区域公</w:t>
      </w:r>
      <w:r>
        <w:rPr>
          <w:rFonts w:hint="eastAsia" w:ascii="方正公文小标宋" w:hAnsi="方正公文小标宋" w:eastAsia="方正公文小标宋" w:cs="方正公文小标宋"/>
          <w:spacing w:val="-1"/>
          <w:sz w:val="44"/>
          <w:szCs w:val="44"/>
          <w:lang w:eastAsia="zh-CN"/>
        </w:rPr>
        <w:t>用</w:t>
      </w:r>
      <w:r>
        <w:rPr>
          <w:rFonts w:hint="eastAsia" w:ascii="方正公文小标宋" w:hAnsi="方正公文小标宋" w:eastAsia="方正公文小标宋" w:cs="方正公文小标宋"/>
          <w:spacing w:val="-1"/>
          <w:sz w:val="44"/>
          <w:szCs w:val="44"/>
        </w:rPr>
        <w:t>品牌</w:t>
      </w:r>
    </w:p>
    <w:p>
      <w:pPr>
        <w:keepNext w:val="0"/>
        <w:keepLines w:val="0"/>
        <w:pageBreakBefore w:val="0"/>
        <w:widowControl w:val="0"/>
        <w:kinsoku/>
        <w:wordWrap/>
        <w:overflowPunct/>
        <w:topLinePunct w:val="0"/>
        <w:autoSpaceDE/>
        <w:autoSpaceDN/>
        <w:bidi w:val="0"/>
        <w:adjustRightInd w:val="0"/>
        <w:snapToGrid w:val="0"/>
        <w:spacing w:line="574" w:lineRule="exact"/>
        <w:jc w:val="center"/>
        <w:textAlignment w:val="auto"/>
        <w:rPr>
          <w:rFonts w:hint="eastAsia" w:ascii="方正公文小标宋" w:hAnsi="方正公文小标宋" w:eastAsia="方正公文小标宋" w:cs="方正公文小标宋"/>
          <w:sz w:val="44"/>
          <w:szCs w:val="44"/>
        </w:rPr>
      </w:pPr>
      <w:r>
        <w:rPr>
          <w:rFonts w:hint="eastAsia" w:ascii="方正公文小标宋" w:hAnsi="方正公文小标宋" w:eastAsia="方正公文小标宋" w:cs="方正公文小标宋"/>
          <w:spacing w:val="-1"/>
          <w:sz w:val="44"/>
          <w:szCs w:val="44"/>
        </w:rPr>
        <w:t>使用许可申请表</w:t>
      </w:r>
    </w:p>
    <w:bookmarkEnd w:id="10"/>
    <w:tbl>
      <w:tblPr>
        <w:tblStyle w:val="11"/>
        <w:tblpPr w:leftFromText="180" w:rightFromText="180" w:vertAnchor="text" w:horzAnchor="page" w:tblpX="1676" w:tblpY="678"/>
        <w:tblOverlap w:val="never"/>
        <w:tblW w:w="9326"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805"/>
        <w:gridCol w:w="2126"/>
        <w:gridCol w:w="1982"/>
        <w:gridCol w:w="24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5" w:hRule="atLeast"/>
        </w:trPr>
        <w:tc>
          <w:tcPr>
            <w:tcW w:w="2805" w:type="dxa"/>
            <w:noWrap w:val="0"/>
            <w:vAlign w:val="top"/>
          </w:tcPr>
          <w:p>
            <w:pPr>
              <w:pStyle w:val="10"/>
              <w:spacing w:before="88" w:line="360" w:lineRule="exact"/>
              <w:rPr>
                <w:spacing w:val="-3"/>
                <w:position w:val="5"/>
              </w:rPr>
            </w:pPr>
          </w:p>
          <w:p>
            <w:pPr>
              <w:pStyle w:val="10"/>
              <w:spacing w:before="88" w:line="360" w:lineRule="exact"/>
              <w:jc w:val="center"/>
            </w:pPr>
            <w:r>
              <w:rPr>
                <w:spacing w:val="-3"/>
                <w:position w:val="5"/>
              </w:rPr>
              <w:t>申请主体</w:t>
            </w:r>
          </w:p>
          <w:p>
            <w:pPr>
              <w:pStyle w:val="10"/>
              <w:spacing w:before="1" w:line="223" w:lineRule="auto"/>
              <w:ind w:left="845"/>
            </w:pPr>
            <w:r>
              <w:rPr>
                <w:spacing w:val="7"/>
              </w:rPr>
              <w:t>（盖章）</w:t>
            </w:r>
          </w:p>
        </w:tc>
        <w:tc>
          <w:tcPr>
            <w:tcW w:w="652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05" w:type="dxa"/>
            <w:noWrap w:val="0"/>
            <w:vAlign w:val="top"/>
          </w:tcPr>
          <w:p>
            <w:pPr>
              <w:pStyle w:val="10"/>
              <w:spacing w:before="158" w:line="223" w:lineRule="auto"/>
              <w:ind w:left="293"/>
            </w:pPr>
            <w:r>
              <w:rPr>
                <w:spacing w:val="8"/>
              </w:rPr>
              <w:t>企业信用代码证号</w:t>
            </w:r>
          </w:p>
        </w:tc>
        <w:tc>
          <w:tcPr>
            <w:tcW w:w="652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05" w:type="dxa"/>
            <w:noWrap w:val="0"/>
            <w:vAlign w:val="top"/>
          </w:tcPr>
          <w:p>
            <w:pPr>
              <w:pStyle w:val="10"/>
              <w:spacing w:before="158" w:line="222" w:lineRule="auto"/>
              <w:ind w:left="1032"/>
            </w:pPr>
            <w:r>
              <w:rPr>
                <w:spacing w:val="-6"/>
              </w:rPr>
              <w:t>申请人</w:t>
            </w:r>
          </w:p>
        </w:tc>
        <w:tc>
          <w:tcPr>
            <w:tcW w:w="2126" w:type="dxa"/>
            <w:noWrap w:val="0"/>
            <w:vAlign w:val="top"/>
          </w:tcPr>
          <w:p>
            <w:pPr>
              <w:rPr>
                <w:rFonts w:ascii="Arial"/>
                <w:sz w:val="21"/>
              </w:rPr>
            </w:pPr>
          </w:p>
        </w:tc>
        <w:tc>
          <w:tcPr>
            <w:tcW w:w="1982" w:type="dxa"/>
            <w:noWrap w:val="0"/>
            <w:vAlign w:val="top"/>
          </w:tcPr>
          <w:p>
            <w:pPr>
              <w:pStyle w:val="10"/>
              <w:spacing w:before="158" w:line="225" w:lineRule="auto"/>
              <w:ind w:left="440"/>
            </w:pPr>
            <w:r>
              <w:rPr>
                <w:spacing w:val="7"/>
              </w:rPr>
              <w:t>联系电话</w:t>
            </w:r>
          </w:p>
        </w:tc>
        <w:tc>
          <w:tcPr>
            <w:tcW w:w="2413" w:type="dxa"/>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805" w:type="dxa"/>
            <w:noWrap w:val="0"/>
            <w:vAlign w:val="top"/>
          </w:tcPr>
          <w:p>
            <w:pPr>
              <w:pStyle w:val="10"/>
              <w:spacing w:before="160" w:line="222" w:lineRule="auto"/>
              <w:ind w:left="713"/>
            </w:pPr>
            <w:r>
              <w:rPr>
                <w:spacing w:val="7"/>
              </w:rPr>
              <w:t>农产品名称</w:t>
            </w:r>
          </w:p>
        </w:tc>
        <w:tc>
          <w:tcPr>
            <w:tcW w:w="652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2805" w:type="dxa"/>
            <w:noWrap w:val="0"/>
            <w:vAlign w:val="top"/>
          </w:tcPr>
          <w:p>
            <w:pPr>
              <w:pStyle w:val="10"/>
              <w:spacing w:before="160" w:line="222" w:lineRule="auto"/>
              <w:ind w:left="192"/>
            </w:pPr>
            <w:r>
              <w:rPr>
                <w:spacing w:val="4"/>
              </w:rPr>
              <w:t>申请人自有品牌名称</w:t>
            </w:r>
          </w:p>
        </w:tc>
        <w:tc>
          <w:tcPr>
            <w:tcW w:w="652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05" w:type="dxa"/>
            <w:noWrap w:val="0"/>
            <w:vAlign w:val="top"/>
          </w:tcPr>
          <w:p>
            <w:pPr>
              <w:pStyle w:val="10"/>
              <w:spacing w:before="158" w:line="226" w:lineRule="auto"/>
              <w:ind w:left="851"/>
            </w:pPr>
            <w:r>
              <w:rPr>
                <w:spacing w:val="7"/>
              </w:rPr>
              <w:t>加工类型</w:t>
            </w:r>
          </w:p>
        </w:tc>
        <w:tc>
          <w:tcPr>
            <w:tcW w:w="6521" w:type="dxa"/>
            <w:gridSpan w:val="3"/>
            <w:noWrap w:val="0"/>
            <w:vAlign w:val="top"/>
          </w:tcPr>
          <w:p>
            <w:pPr>
              <w:pStyle w:val="10"/>
              <w:spacing w:before="161" w:line="224" w:lineRule="auto"/>
              <w:ind w:left="1760"/>
            </w:pPr>
            <w:r>
              <w:rPr>
                <w:spacing w:val="-1"/>
              </w:rPr>
              <w:t>□初加工</w:t>
            </w:r>
            <w:r>
              <w:rPr>
                <w:spacing w:val="12"/>
              </w:rPr>
              <w:t xml:space="preserve">      </w:t>
            </w:r>
            <w:r>
              <w:rPr>
                <w:spacing w:val="-1"/>
              </w:rPr>
              <w:t>□深加工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05" w:type="dxa"/>
            <w:noWrap w:val="0"/>
            <w:vAlign w:val="top"/>
          </w:tcPr>
          <w:p>
            <w:pPr>
              <w:pStyle w:val="10"/>
              <w:spacing w:before="161" w:line="222" w:lineRule="auto"/>
              <w:ind w:left="192"/>
            </w:pPr>
            <w:r>
              <w:rPr>
                <w:spacing w:val="4"/>
              </w:rPr>
              <w:t>申请使用的公共品牌</w:t>
            </w:r>
          </w:p>
        </w:tc>
        <w:tc>
          <w:tcPr>
            <w:tcW w:w="6521" w:type="dxa"/>
            <w:gridSpan w:val="3"/>
            <w:noWrap w:val="0"/>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2805" w:type="dxa"/>
            <w:noWrap w:val="0"/>
            <w:vAlign w:val="top"/>
          </w:tcPr>
          <w:p>
            <w:pPr>
              <w:pStyle w:val="10"/>
              <w:spacing w:before="162" w:line="222" w:lineRule="auto"/>
              <w:ind w:left="612"/>
            </w:pPr>
            <w:r>
              <w:rPr>
                <w:spacing w:val="1"/>
              </w:rPr>
              <w:t>申请使用期限</w:t>
            </w:r>
          </w:p>
        </w:tc>
        <w:tc>
          <w:tcPr>
            <w:tcW w:w="6521" w:type="dxa"/>
            <w:gridSpan w:val="3"/>
            <w:noWrap w:val="0"/>
            <w:vAlign w:val="top"/>
          </w:tcPr>
          <w:p>
            <w:pPr>
              <w:pStyle w:val="10"/>
              <w:spacing w:before="162" w:line="224" w:lineRule="auto"/>
              <w:ind w:left="1381"/>
            </w:pPr>
            <w:r>
              <w:rPr>
                <w:spacing w:val="-12"/>
              </w:rPr>
              <w:t>年</w:t>
            </w:r>
            <w:r>
              <w:rPr>
                <w:spacing w:val="17"/>
              </w:rPr>
              <w:t xml:space="preserve">  </w:t>
            </w:r>
            <w:r>
              <w:rPr>
                <w:spacing w:val="-12"/>
              </w:rPr>
              <w:t>月</w:t>
            </w:r>
            <w:r>
              <w:rPr>
                <w:spacing w:val="37"/>
              </w:rPr>
              <w:t xml:space="preserve">  </w:t>
            </w:r>
            <w:r>
              <w:rPr>
                <w:spacing w:val="-12"/>
              </w:rPr>
              <w:t>日至</w:t>
            </w:r>
            <w:r>
              <w:rPr>
                <w:spacing w:val="7"/>
              </w:rPr>
              <w:t xml:space="preserve">     </w:t>
            </w:r>
            <w:r>
              <w:rPr>
                <w:spacing w:val="-12"/>
              </w:rPr>
              <w:t>年</w:t>
            </w:r>
            <w:r>
              <w:rPr>
                <w:spacing w:val="18"/>
              </w:rPr>
              <w:t xml:space="preserve">  </w:t>
            </w:r>
            <w:r>
              <w:rPr>
                <w:spacing w:val="-12"/>
              </w:rPr>
              <w:t>月</w:t>
            </w:r>
            <w:r>
              <w:rPr>
                <w:spacing w:val="38"/>
              </w:rPr>
              <w:t xml:space="preserve">  </w:t>
            </w:r>
            <w:r>
              <w:rPr>
                <w:spacing w:val="-12"/>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9326" w:type="dxa"/>
            <w:gridSpan w:val="4"/>
            <w:noWrap w:val="0"/>
            <w:vAlign w:val="top"/>
          </w:tcPr>
          <w:p>
            <w:pPr>
              <w:spacing w:line="247" w:lineRule="auto"/>
              <w:rPr>
                <w:rFonts w:ascii="Arial"/>
                <w:sz w:val="21"/>
              </w:rPr>
            </w:pPr>
          </w:p>
          <w:p>
            <w:pPr>
              <w:pStyle w:val="10"/>
              <w:spacing w:before="88" w:line="224" w:lineRule="auto"/>
            </w:pPr>
          </w:p>
          <w:p>
            <w:pPr>
              <w:pStyle w:val="10"/>
              <w:spacing w:before="88" w:line="224" w:lineRule="auto"/>
            </w:pPr>
          </w:p>
          <w:p>
            <w:pPr>
              <w:pStyle w:val="10"/>
              <w:spacing w:before="88" w:line="224" w:lineRule="auto"/>
            </w:pPr>
          </w:p>
        </w:tc>
      </w:tr>
    </w:tbl>
    <w:p>
      <w:pPr>
        <w:spacing w:before="29" w:line="215" w:lineRule="auto"/>
      </w:pPr>
    </w:p>
    <w:p>
      <w:pPr>
        <w:bidi w:val="0"/>
        <w:rPr>
          <w:rFonts w:ascii="Calibri" w:hAnsi="Calibri" w:eastAsia="宋体" w:cs="Times New Roman"/>
          <w:kern w:val="2"/>
          <w:sz w:val="21"/>
          <w:szCs w:val="24"/>
          <w:lang w:val="en-US" w:eastAsia="zh-CN" w:bidi="ar-SA"/>
        </w:rPr>
      </w:pPr>
    </w:p>
    <w:p>
      <w:pPr>
        <w:bidi w:val="0"/>
        <w:jc w:val="left"/>
        <w:rPr>
          <w:rFonts w:hint="eastAsia"/>
          <w:lang w:val="en-US" w:eastAsia="zh-CN"/>
        </w:rPr>
      </w:pPr>
      <w:r>
        <w:rPr>
          <w:rFonts w:hint="eastAsia"/>
          <w:lang w:val="en-US" w:eastAsia="zh-CN"/>
        </w:rPr>
        <w:t>备注：申请表一式两份，申报主体、审批单位各执一份。</w:t>
      </w:r>
    </w:p>
    <w:p/>
    <w:sectPr>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公文小标宋">
    <w:altName w:val="方正小标宋_GBK"/>
    <w:panose1 w:val="02000500000000000000"/>
    <w:charset w:val="00"/>
    <w:family w:val="auto"/>
    <w:pitch w:val="default"/>
    <w:sig w:usb0="00000000" w:usb1="00000000" w:usb2="00000016"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Segoe UI">
    <w:altName w:val="Noto Naskh Arabic"/>
    <w:panose1 w:val="020B0502040204020203"/>
    <w:charset w:val="00"/>
    <w:family w:val="auto"/>
    <w:pitch w:val="default"/>
    <w:sig w:usb0="00000000" w:usb1="00000000" w:usb2="00000029" w:usb3="00000000" w:csb0="200001DF" w:csb1="20000000"/>
  </w:font>
  <w:font w:name="方正小标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oto Naskh Arabic">
    <w:panose1 w:val="020B0502040504020204"/>
    <w:charset w:val="00"/>
    <w:family w:val="auto"/>
    <w:pitch w:val="default"/>
    <w:sig w:usb0="00002000" w:usb1="80000000" w:usb2="00000008" w:usb3="00000000" w:csb0="00000041" w:csb1="000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553559"/>
    <w:multiLevelType w:val="singleLevel"/>
    <w:tmpl w:val="84553559"/>
    <w:lvl w:ilvl="0" w:tentative="0">
      <w:start w:val="3"/>
      <w:numFmt w:val="chineseCounting"/>
      <w:suff w:val="nothing"/>
      <w:lvlText w:val="（%1）"/>
      <w:lvlJc w:val="left"/>
      <w:rPr>
        <w:rFonts w:hint="eastAsia"/>
      </w:rPr>
    </w:lvl>
  </w:abstractNum>
  <w:abstractNum w:abstractNumId="1">
    <w:nsid w:val="C0C66906"/>
    <w:multiLevelType w:val="singleLevel"/>
    <w:tmpl w:val="C0C66906"/>
    <w:lvl w:ilvl="0" w:tentative="0">
      <w:start w:val="1"/>
      <w:numFmt w:val="decimal"/>
      <w:suff w:val="nothing"/>
      <w:lvlText w:val="%1．"/>
      <w:lvlJc w:val="left"/>
      <w:pPr>
        <w:ind w:left="0" w:firstLine="400"/>
      </w:pPr>
      <w:rPr>
        <w:rFonts w:hint="default"/>
      </w:rPr>
    </w:lvl>
  </w:abstractNum>
  <w:abstractNum w:abstractNumId="2">
    <w:nsid w:val="D85805F1"/>
    <w:multiLevelType w:val="singleLevel"/>
    <w:tmpl w:val="D85805F1"/>
    <w:lvl w:ilvl="0" w:tentative="0">
      <w:start w:val="1"/>
      <w:numFmt w:val="decimal"/>
      <w:suff w:val="nothing"/>
      <w:lvlText w:val="%1．"/>
      <w:lvlJc w:val="left"/>
      <w:pPr>
        <w:ind w:left="0" w:firstLine="400"/>
      </w:pPr>
      <w:rPr>
        <w:rFonts w:hint="default"/>
      </w:rPr>
    </w:lvl>
  </w:abstractNum>
  <w:abstractNum w:abstractNumId="3">
    <w:nsid w:val="ED2C965A"/>
    <w:multiLevelType w:val="singleLevel"/>
    <w:tmpl w:val="ED2C965A"/>
    <w:lvl w:ilvl="0" w:tentative="0">
      <w:start w:val="1"/>
      <w:numFmt w:val="decimal"/>
      <w:suff w:val="nothing"/>
      <w:lvlText w:val="%1．"/>
      <w:lvlJc w:val="left"/>
      <w:pPr>
        <w:ind w:left="0" w:firstLine="400"/>
      </w:pPr>
      <w:rPr>
        <w:rFonts w:hint="default"/>
      </w:rPr>
    </w:lvl>
  </w:abstractNum>
  <w:abstractNum w:abstractNumId="4">
    <w:nsid w:val="F7090ABF"/>
    <w:multiLevelType w:val="singleLevel"/>
    <w:tmpl w:val="F7090ABF"/>
    <w:lvl w:ilvl="0" w:tentative="0">
      <w:start w:val="1"/>
      <w:numFmt w:val="decimal"/>
      <w:suff w:val="nothing"/>
      <w:lvlText w:val="%1．"/>
      <w:lvlJc w:val="left"/>
      <w:pPr>
        <w:ind w:left="0" w:firstLine="400"/>
      </w:pPr>
      <w:rPr>
        <w:rFonts w:hint="default"/>
      </w:rPr>
    </w:lvl>
  </w:abstractNum>
  <w:abstractNum w:abstractNumId="5">
    <w:nsid w:val="2BB10649"/>
    <w:multiLevelType w:val="singleLevel"/>
    <w:tmpl w:val="2BB10649"/>
    <w:lvl w:ilvl="0" w:tentative="0">
      <w:start w:val="1"/>
      <w:numFmt w:val="decimal"/>
      <w:suff w:val="nothing"/>
      <w:lvlText w:val="%1．"/>
      <w:lvlJc w:val="left"/>
      <w:pPr>
        <w:ind w:left="0" w:firstLine="400"/>
      </w:pPr>
      <w:rPr>
        <w:rFonts w:hint="default"/>
      </w:rPr>
    </w:lvl>
  </w:abstractNum>
  <w:abstractNum w:abstractNumId="6">
    <w:nsid w:val="6386D5C7"/>
    <w:multiLevelType w:val="singleLevel"/>
    <w:tmpl w:val="6386D5C7"/>
    <w:lvl w:ilvl="0" w:tentative="0">
      <w:start w:val="1"/>
      <w:numFmt w:val="decimal"/>
      <w:suff w:val="nothing"/>
      <w:lvlText w:val="%1．"/>
      <w:lvlJc w:val="left"/>
      <w:pPr>
        <w:ind w:left="0" w:firstLine="400"/>
      </w:pPr>
      <w:rPr>
        <w:rFonts w:hint="default"/>
      </w:rPr>
    </w:lvl>
  </w:abstractNum>
  <w:abstractNum w:abstractNumId="7">
    <w:nsid w:val="67F61E17"/>
    <w:multiLevelType w:val="singleLevel"/>
    <w:tmpl w:val="67F61E17"/>
    <w:lvl w:ilvl="0" w:tentative="0">
      <w:start w:val="1"/>
      <w:numFmt w:val="decimal"/>
      <w:suff w:val="nothing"/>
      <w:lvlText w:val="%1．"/>
      <w:lvlJc w:val="left"/>
      <w:pPr>
        <w:ind w:left="0" w:firstLine="400"/>
      </w:pPr>
      <w:rPr>
        <w:rFonts w:hint="default"/>
      </w:r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F63CBD"/>
    <w:rsid w:val="6FF63C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eastAsia="宋体" w:cs="宋体"/>
      <w:b/>
      <w:bCs/>
      <w:kern w:val="0"/>
      <w:sz w:val="36"/>
      <w:szCs w:val="36"/>
      <w:lang w:val="en-US" w:eastAsia="zh-CN" w:bidi="ar"/>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sz w:val="30"/>
      <w:szCs w:val="30"/>
    </w:rPr>
  </w:style>
  <w:style w:type="paragraph" w:styleId="6">
    <w:name w:val="toc 1"/>
    <w:basedOn w:val="1"/>
    <w:next w:val="1"/>
    <w:unhideWhenUsed/>
    <w:qFormat/>
    <w:uiPriority w:val="39"/>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0">
    <w:name w:val="Table Text"/>
    <w:basedOn w:val="1"/>
    <w:semiHidden/>
    <w:qFormat/>
    <w:uiPriority w:val="0"/>
    <w:rPr>
      <w:rFonts w:ascii="仿宋" w:hAnsi="仿宋" w:eastAsia="仿宋" w:cs="仿宋"/>
      <w:sz w:val="27"/>
      <w:szCs w:val="27"/>
      <w:lang w:val="en-US" w:eastAsia="en-US" w:bidi="ar-SA"/>
    </w:rPr>
  </w:style>
  <w:style w:type="table" w:customStyle="1" w:styleId="11">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2025-04-18T14:42:00Z</dcterms:created>
  <dc:creator>user</dc:creator>
  <cp:lastModifiedBy>user</cp:lastModifiedBy>
  <dcterms:modified xsi:type="dcterms:W3CDTF">2025-04-18T14:43:07Z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