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leftChars="0" w:firstLine="0" w:firstLineChars="0"/>
        <w:jc w:val="center"/>
        <w:textAlignment w:val="auto"/>
        <w:rPr>
          <w:rFonts w:hint="eastAsia" w:ascii="宋体" w:hAnsi="宋体" w:eastAsia="宋体"/>
          <w:sz w:val="44"/>
          <w:szCs w:val="44"/>
        </w:rPr>
      </w:pPr>
      <w:r>
        <w:rPr>
          <w:rFonts w:hint="eastAsia" w:ascii="方正小标宋简体" w:hAnsi="黑体" w:eastAsia="方正小标宋简体" w:cs="黑体"/>
          <w:bCs/>
          <w:sz w:val="44"/>
          <w:szCs w:val="44"/>
        </w:rPr>
        <w:t>关于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《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松阳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茶产业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风险治理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示范项目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实施方案</w:t>
      </w:r>
      <w:r>
        <w:rPr>
          <w:rFonts w:hint="eastAsia" w:eastAsia="方正小标宋简体"/>
          <w:sz w:val="44"/>
        </w:rPr>
        <w:t>（征求意见稿）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》</w:t>
      </w:r>
      <w:r>
        <w:rPr>
          <w:rFonts w:hint="eastAsia" w:ascii="方正小标宋简体" w:hAnsi="黑体" w:eastAsia="方正小标宋简体" w:cs="黑体"/>
          <w:bCs/>
          <w:sz w:val="44"/>
          <w:szCs w:val="44"/>
        </w:rPr>
        <w:t>的起草说明</w:t>
      </w:r>
    </w:p>
    <w:p>
      <w:pPr>
        <w:pStyle w:val="2"/>
        <w:spacing w:line="560" w:lineRule="exact"/>
        <w:ind w:firstLine="640"/>
        <w:rPr>
          <w:rFonts w:hint="eastAsia"/>
        </w:rPr>
      </w:pP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/>
        </w:rPr>
      </w:pPr>
      <w:r>
        <w:rPr>
          <w:rFonts w:hint="eastAsia"/>
        </w:rPr>
        <w:t>现就《松阳</w:t>
      </w:r>
      <w:r>
        <w:rPr>
          <w:rFonts w:hint="eastAsia"/>
          <w:lang w:val="en-US" w:eastAsia="zh-CN"/>
        </w:rPr>
        <w:t>茶产业</w:t>
      </w:r>
      <w:r>
        <w:rPr>
          <w:rFonts w:hint="eastAsia"/>
        </w:rPr>
        <w:t>风险治理</w:t>
      </w:r>
      <w:r>
        <w:rPr>
          <w:rFonts w:hint="eastAsia"/>
          <w:lang w:val="en-US" w:eastAsia="zh-CN"/>
        </w:rPr>
        <w:t>示范项目</w:t>
      </w:r>
      <w:r>
        <w:rPr>
          <w:rFonts w:hint="eastAsia"/>
        </w:rPr>
        <w:t>实施方案（征求意见稿）》有关情况说明如下：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/>
        <w:textAlignment w:val="auto"/>
        <w:rPr>
          <w:rFonts w:hint="eastAsia" w:ascii="方正黑体_GBK" w:hAnsi="方正黑体_GBK" w:eastAsia="方正黑体_GBK" w:cs="方正黑体_GBK"/>
          <w:b w:val="0"/>
          <w:bCs/>
        </w:rPr>
      </w:pPr>
      <w:r>
        <w:rPr>
          <w:rFonts w:hint="eastAsia" w:ascii="方正黑体_GBK" w:hAnsi="方正黑体_GBK" w:eastAsia="方正黑体_GBK" w:cs="方正黑体_GBK"/>
          <w:b w:val="0"/>
          <w:bCs/>
          <w:szCs w:val="32"/>
        </w:rPr>
        <w:t>一、</w:t>
      </w:r>
      <w:r>
        <w:rPr>
          <w:rFonts w:hint="eastAsia" w:ascii="方正黑体_GBK" w:hAnsi="方正黑体_GBK" w:eastAsia="方正黑体_GBK" w:cs="方正黑体_GBK"/>
          <w:b w:val="0"/>
          <w:bCs/>
        </w:rPr>
        <w:t>起草背景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仿宋_GB2312" w:hAnsi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浙南茶叶市场是全国最大的绿茶产地市场，中国绿茶交易指数发布地，被中国茶叶流通协会授予“中国绿茶第一市”称号，是我县食品安全治理现代化的“重要窗口”。</w:t>
      </w:r>
      <w:r>
        <w:rPr>
          <w:rFonts w:hint="eastAsia" w:ascii="仿宋_GB2312" w:hAnsi="仿宋_GB2312" w:cs="仿宋_GB2312"/>
          <w:kern w:val="2"/>
          <w:sz w:val="32"/>
          <w:szCs w:val="32"/>
          <w:lang w:val="en-US" w:eastAsia="zh-CN" w:bidi="ar-SA"/>
        </w:rPr>
        <w:t>由于茶叶快速检测技术一直难以突破，快检结果呈假阳性率偏高，不能有效反应农药残留问题，每年我局只能开展500左右批次的茶叶专项监督抽检，检测数量远远不能匹配市场的交易规模，且检测时间长、费用高，无法满足日常监管需求。依据《中华人民共和国食品安全法》《中华人民共和国农产品质量安全法》《食用农产品市场销售质量安全监督管理办法》等法律法规，为及时发现食品安全隐患，避免问题茶叶流入市场，守护大众的饮茶安全，我局制定了《松阳茶产业风险治理示范项目实施方案（征求意见稿）》，探索建立健全科学、精准、高效的茶叶快检体系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/>
        <w:textAlignment w:val="auto"/>
        <w:rPr>
          <w:rFonts w:hint="eastAsia" w:ascii="方正黑体_GBK" w:hAnsi="方正黑体_GBK" w:eastAsia="方正黑体_GBK" w:cs="方正黑体_GBK"/>
          <w:b w:val="0"/>
          <w:bCs/>
        </w:rPr>
      </w:pPr>
      <w:r>
        <w:rPr>
          <w:rFonts w:hint="eastAsia" w:ascii="方正黑体_GBK" w:hAnsi="方正黑体_GBK" w:eastAsia="方正黑体_GBK" w:cs="方正黑体_GBK"/>
          <w:b w:val="0"/>
          <w:bCs/>
        </w:rPr>
        <w:t>二、</w:t>
      </w:r>
      <w:r>
        <w:rPr>
          <w:rFonts w:hint="eastAsia" w:ascii="方正黑体_GBK" w:hAnsi="方正黑体_GBK" w:eastAsia="方正黑体_GBK" w:cs="方正黑体_GBK"/>
          <w:b w:val="0"/>
          <w:bCs/>
          <w:lang w:eastAsia="zh-CN"/>
        </w:rPr>
        <w:t>工作</w:t>
      </w:r>
      <w:r>
        <w:rPr>
          <w:rFonts w:hint="eastAsia" w:ascii="方正黑体_GBK" w:hAnsi="方正黑体_GBK" w:eastAsia="方正黑体_GBK" w:cs="方正黑体_GBK"/>
          <w:b w:val="0"/>
          <w:bCs/>
        </w:rPr>
        <w:t>实施的必要性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仿宋_GB2312" w:hAnsi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cs="仿宋_GB2312"/>
          <w:kern w:val="2"/>
          <w:sz w:val="32"/>
          <w:szCs w:val="32"/>
          <w:lang w:val="en-US" w:eastAsia="zh-CN" w:bidi="ar-SA"/>
        </w:rPr>
        <w:t>随着胶体金免疫层析法快检技术的成熟和应用，</w:t>
      </w:r>
      <w:r>
        <w:rPr>
          <w:rFonts w:hint="default" w:ascii="仿宋_GB2312" w:hAnsi="仿宋_GB2312" w:cs="仿宋_GB2312"/>
          <w:kern w:val="2"/>
          <w:sz w:val="32"/>
          <w:szCs w:val="32"/>
          <w:lang w:val="en-US" w:eastAsia="zh-CN" w:bidi="ar-SA"/>
        </w:rPr>
        <w:t>为更好发挥浙南茶叶市场的集散和窗口功能，</w:t>
      </w:r>
      <w:r>
        <w:rPr>
          <w:rFonts w:hint="eastAsia" w:ascii="仿宋_GB2312" w:hAnsi="仿宋_GB2312" w:cs="仿宋_GB2312"/>
          <w:kern w:val="2"/>
          <w:sz w:val="32"/>
          <w:szCs w:val="32"/>
          <w:lang w:val="en-US" w:eastAsia="zh-CN" w:bidi="ar-SA"/>
        </w:rPr>
        <w:t>聚力将浙南茶叶市场</w:t>
      </w:r>
      <w:r>
        <w:rPr>
          <w:rFonts w:hint="default" w:ascii="仿宋_GB2312" w:hAnsi="仿宋_GB2312" w:cs="仿宋_GB2312"/>
          <w:kern w:val="2"/>
          <w:sz w:val="32"/>
          <w:szCs w:val="32"/>
          <w:lang w:val="en-US" w:eastAsia="zh-CN" w:bidi="ar-SA"/>
        </w:rPr>
        <w:t>打造</w:t>
      </w:r>
      <w:r>
        <w:rPr>
          <w:rFonts w:hint="eastAsia" w:ascii="仿宋_GB2312" w:hAnsi="仿宋_GB2312" w:cs="仿宋_GB2312"/>
          <w:kern w:val="2"/>
          <w:sz w:val="32"/>
          <w:szCs w:val="32"/>
          <w:lang w:val="en-US" w:eastAsia="zh-CN" w:bidi="ar-SA"/>
        </w:rPr>
        <w:t>成为</w:t>
      </w:r>
      <w:r>
        <w:rPr>
          <w:rFonts w:hint="default" w:ascii="仿宋_GB2312" w:hAnsi="仿宋_GB2312" w:cs="仿宋_GB2312"/>
          <w:kern w:val="2"/>
          <w:sz w:val="32"/>
          <w:szCs w:val="32"/>
          <w:lang w:val="en-US" w:eastAsia="zh-CN" w:bidi="ar-SA"/>
        </w:rPr>
        <w:t>全品类全时段的茶叶交易中心，全国知名茶叶仓储中心、电商中心、供应链中心</w:t>
      </w:r>
      <w:r>
        <w:rPr>
          <w:rFonts w:hint="eastAsia" w:ascii="仿宋_GB2312" w:hAnsi="仿宋_GB2312" w:cs="仿宋_GB2312"/>
          <w:kern w:val="2"/>
          <w:sz w:val="32"/>
          <w:szCs w:val="32"/>
          <w:lang w:val="en-US" w:eastAsia="zh-CN" w:bidi="ar-SA"/>
        </w:rPr>
        <w:t>，保障“中国绿茶第一市”茶叶品质安全，计划引入最新的胶体金法检测，</w:t>
      </w:r>
      <w:r>
        <w:rPr>
          <w:rFonts w:hint="default" w:ascii="仿宋_GB2312" w:hAnsi="仿宋_GB2312" w:cs="仿宋_GB2312"/>
          <w:kern w:val="2"/>
          <w:sz w:val="32"/>
          <w:szCs w:val="32"/>
          <w:lang w:val="en-US" w:eastAsia="zh-CN" w:bidi="ar-SA"/>
        </w:rPr>
        <w:t>通过探索精准高效的胶体金法</w:t>
      </w:r>
      <w:r>
        <w:rPr>
          <w:rFonts w:hint="eastAsia" w:ascii="仿宋_GB2312" w:hAnsi="仿宋_GB2312" w:cs="仿宋_GB2312"/>
          <w:kern w:val="2"/>
          <w:sz w:val="32"/>
          <w:szCs w:val="32"/>
          <w:lang w:val="en-US" w:eastAsia="zh-CN" w:bidi="ar-SA"/>
        </w:rPr>
        <w:t>快速</w:t>
      </w:r>
      <w:r>
        <w:rPr>
          <w:rFonts w:hint="default" w:ascii="仿宋_GB2312" w:hAnsi="仿宋_GB2312" w:cs="仿宋_GB2312"/>
          <w:kern w:val="2"/>
          <w:sz w:val="32"/>
          <w:szCs w:val="32"/>
          <w:lang w:val="en-US" w:eastAsia="zh-CN" w:bidi="ar-SA"/>
        </w:rPr>
        <w:t>检测，将</w:t>
      </w:r>
      <w:r>
        <w:rPr>
          <w:rFonts w:hint="eastAsia" w:ascii="仿宋_GB2312" w:hAnsi="仿宋_GB2312" w:cs="仿宋_GB2312"/>
          <w:kern w:val="2"/>
          <w:sz w:val="32"/>
          <w:szCs w:val="32"/>
          <w:lang w:val="en-US" w:eastAsia="zh-CN" w:bidi="ar-SA"/>
        </w:rPr>
        <w:t>茶叶抽检</w:t>
      </w:r>
      <w:r>
        <w:rPr>
          <w:rFonts w:hint="default" w:ascii="仿宋_GB2312" w:hAnsi="仿宋_GB2312" w:cs="仿宋_GB2312"/>
          <w:kern w:val="2"/>
          <w:sz w:val="32"/>
          <w:szCs w:val="32"/>
          <w:lang w:val="en-US" w:eastAsia="zh-CN" w:bidi="ar-SA"/>
        </w:rPr>
        <w:t>时间由平均20个工作日降低到30分钟，消除因监督抽检时间跨度大导致不合格</w:t>
      </w:r>
      <w:r>
        <w:rPr>
          <w:rFonts w:hint="eastAsia" w:ascii="仿宋_GB2312" w:hAnsi="仿宋_GB2312" w:cs="仿宋_GB2312"/>
          <w:kern w:val="2"/>
          <w:sz w:val="32"/>
          <w:szCs w:val="32"/>
          <w:lang w:val="en-US" w:eastAsia="zh-CN" w:bidi="ar-SA"/>
        </w:rPr>
        <w:t>检测</w:t>
      </w:r>
      <w:r>
        <w:rPr>
          <w:rFonts w:hint="default" w:ascii="仿宋_GB2312" w:hAnsi="仿宋_GB2312" w:cs="仿宋_GB2312"/>
          <w:kern w:val="2"/>
          <w:sz w:val="32"/>
          <w:szCs w:val="32"/>
          <w:lang w:val="en-US" w:eastAsia="zh-CN" w:bidi="ar-SA"/>
        </w:rPr>
        <w:t>结果出来后，问题茶叶已流入市场的弊端</w:t>
      </w:r>
      <w:r>
        <w:rPr>
          <w:rFonts w:hint="eastAsia" w:ascii="仿宋_GB2312" w:hAnsi="仿宋_GB2312" w:cs="仿宋_GB2312"/>
          <w:kern w:val="2"/>
          <w:sz w:val="32"/>
          <w:szCs w:val="32"/>
          <w:lang w:val="en-US" w:eastAsia="zh-CN" w:bidi="ar-SA"/>
        </w:rPr>
        <w:t>，</w:t>
      </w:r>
      <w:r>
        <w:rPr>
          <w:rFonts w:hint="default" w:ascii="仿宋_GB2312" w:hAnsi="仿宋_GB2312" w:cs="仿宋_GB2312"/>
          <w:kern w:val="2"/>
          <w:sz w:val="32"/>
          <w:szCs w:val="32"/>
          <w:lang w:val="en-US" w:eastAsia="zh-CN" w:bidi="ar-SA"/>
        </w:rPr>
        <w:t>提升浙南茶叶市场风险隐患治理的时效性</w:t>
      </w:r>
      <w:r>
        <w:rPr>
          <w:rFonts w:hint="eastAsia" w:ascii="仿宋_GB2312" w:hAnsi="仿宋_GB2312" w:cs="仿宋_GB2312"/>
          <w:kern w:val="2"/>
          <w:sz w:val="32"/>
          <w:szCs w:val="32"/>
          <w:lang w:val="en-US" w:eastAsia="zh-CN" w:bidi="ar-SA"/>
        </w:rPr>
        <w:t>，建立便捷、精准、高效的茶叶风险治理模式。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/>
        <w:textAlignment w:val="auto"/>
        <w:rPr>
          <w:rFonts w:hint="eastAsia" w:ascii="方正黑体_GBK" w:hAnsi="方正黑体_GBK" w:eastAsia="方正黑体_GBK" w:cs="方正黑体_GBK"/>
          <w:b w:val="0"/>
          <w:bCs/>
        </w:rPr>
      </w:pPr>
      <w:r>
        <w:rPr>
          <w:rFonts w:hint="eastAsia" w:ascii="方正黑体_GBK" w:hAnsi="方正黑体_GBK" w:eastAsia="方正黑体_GBK" w:cs="方正黑体_GBK"/>
          <w:b w:val="0"/>
          <w:bCs/>
        </w:rPr>
        <w:t>三、起草情况</w:t>
      </w:r>
    </w:p>
    <w:p>
      <w:pPr>
        <w:spacing w:line="560" w:lineRule="exact"/>
        <w:ind w:firstLine="640"/>
        <w:rPr>
          <w:rFonts w:hint="eastAsia" w:ascii="仿宋_GB2312" w:hAnsi="仿宋_GB2312" w:eastAsia="仿宋_GB2312" w:cs="仿宋_GB2312"/>
          <w:color w:val="auto"/>
          <w:spacing w:val="0"/>
          <w:kern w:val="2"/>
          <w:sz w:val="32"/>
          <w:szCs w:val="32"/>
          <w:highlight w:val="none"/>
          <w:lang w:val="en-US" w:eastAsia="zh-CN" w:bidi="ar-SA"/>
        </w:rPr>
      </w:pPr>
      <w:r>
        <w:rPr>
          <w:rFonts w:hint="eastAsia" w:ascii="仿宋_GB2312"/>
        </w:rPr>
        <w:t>202</w:t>
      </w:r>
      <w:r>
        <w:rPr>
          <w:rFonts w:hint="eastAsia" w:ascii="仿宋_GB2312"/>
          <w:lang w:val="en-US" w:eastAsia="zh-CN"/>
        </w:rPr>
        <w:t>4</w:t>
      </w:r>
      <w:r>
        <w:rPr>
          <w:rFonts w:hint="eastAsia"/>
        </w:rPr>
        <w:t>年</w:t>
      </w:r>
      <w:r>
        <w:rPr>
          <w:rFonts w:hint="eastAsia" w:ascii="仿宋_GB2312" w:hAnsi="仿宋_GB2312" w:cs="仿宋_GB2312"/>
          <w:kern w:val="2"/>
          <w:sz w:val="32"/>
          <w:szCs w:val="32"/>
          <w:lang w:val="en-US" w:eastAsia="zh-CN" w:bidi="ar-SA"/>
        </w:rPr>
        <w:t>11月14日，</w:t>
      </w:r>
      <w:r>
        <w:rPr>
          <w:rFonts w:hint="eastAsia" w:ascii="仿宋_GB2312" w:hAnsi="仿宋_GB2312" w:eastAsia="仿宋_GB2312" w:cs="仿宋_GB2312"/>
          <w:color w:val="auto"/>
          <w:spacing w:val="0"/>
          <w:kern w:val="2"/>
          <w:sz w:val="32"/>
          <w:szCs w:val="32"/>
          <w:lang w:val="en-US" w:eastAsia="zh-CN" w:bidi="ar-SA"/>
        </w:rPr>
        <w:t>根据</w:t>
      </w:r>
      <w:r>
        <w:rPr>
          <w:rFonts w:hint="eastAsia" w:ascii="仿宋_GB2312" w:hAnsi="仿宋_GB2312" w:cs="仿宋_GB2312"/>
          <w:color w:val="auto"/>
          <w:spacing w:val="0"/>
          <w:kern w:val="2"/>
          <w:sz w:val="32"/>
          <w:szCs w:val="32"/>
          <w:lang w:val="en-US" w:eastAsia="zh-CN" w:bidi="ar-SA"/>
        </w:rPr>
        <w:t>局党组</w:t>
      </w:r>
      <w:r>
        <w:rPr>
          <w:rFonts w:hint="eastAsia" w:ascii="仿宋_GB2312" w:hAnsi="仿宋_GB2312" w:eastAsia="仿宋_GB2312" w:cs="仿宋_GB2312"/>
          <w:color w:val="auto"/>
          <w:spacing w:val="0"/>
          <w:kern w:val="2"/>
          <w:sz w:val="32"/>
          <w:szCs w:val="32"/>
          <w:lang w:val="en-US" w:eastAsia="zh-CN" w:bidi="ar-SA"/>
        </w:rPr>
        <w:t>工作部署，</w:t>
      </w:r>
      <w:r>
        <w:rPr>
          <w:rFonts w:hint="eastAsia"/>
        </w:rPr>
        <w:t>由相关科室</w:t>
      </w:r>
      <w:r>
        <w:rPr>
          <w:rFonts w:hint="eastAsia"/>
          <w:lang w:eastAsia="zh-CN"/>
        </w:rPr>
        <w:t>完成</w:t>
      </w:r>
      <w:r>
        <w:rPr>
          <w:rFonts w:hint="eastAsia"/>
        </w:rPr>
        <w:t>方案</w:t>
      </w:r>
      <w:r>
        <w:rPr>
          <w:rFonts w:hint="eastAsia"/>
          <w:lang w:eastAsia="zh-CN"/>
        </w:rPr>
        <w:t>的起草</w:t>
      </w:r>
      <w:r>
        <w:rPr>
          <w:rFonts w:hint="eastAsia"/>
        </w:rPr>
        <w:t>工作，</w:t>
      </w:r>
      <w:r>
        <w:rPr>
          <w:rFonts w:hint="eastAsia" w:ascii="仿宋_GB2312" w:hAnsi="仿宋_GB2312" w:cs="仿宋_GB2312"/>
          <w:color w:val="auto"/>
          <w:spacing w:val="0"/>
          <w:kern w:val="2"/>
          <w:sz w:val="32"/>
          <w:szCs w:val="32"/>
          <w:lang w:val="en-US" w:eastAsia="zh-CN" w:bidi="ar-SA"/>
        </w:rPr>
        <w:t>并</w:t>
      </w:r>
      <w:r>
        <w:rPr>
          <w:rFonts w:hint="eastAsia" w:ascii="仿宋_GB2312" w:hAnsi="仿宋_GB2312" w:eastAsia="仿宋_GB2312" w:cs="仿宋_GB2312"/>
          <w:color w:val="auto"/>
          <w:spacing w:val="0"/>
          <w:kern w:val="2"/>
          <w:sz w:val="32"/>
          <w:szCs w:val="32"/>
          <w:highlight w:val="none"/>
          <w:lang w:val="en-US" w:eastAsia="zh-CN" w:bidi="ar-SA"/>
        </w:rPr>
        <w:t>赴省局</w:t>
      </w:r>
      <w:r>
        <w:rPr>
          <w:rFonts w:hint="eastAsia" w:ascii="仿宋_GB2312" w:hAnsi="仿宋_GB2312" w:cs="仿宋_GB2312"/>
          <w:color w:val="auto"/>
          <w:spacing w:val="0"/>
          <w:kern w:val="2"/>
          <w:sz w:val="32"/>
          <w:szCs w:val="32"/>
          <w:highlight w:val="none"/>
          <w:lang w:val="en-US" w:eastAsia="zh-CN" w:bidi="ar-SA"/>
        </w:rPr>
        <w:t>汇报项目实施方案，</w:t>
      </w:r>
      <w:r>
        <w:rPr>
          <w:rFonts w:hint="eastAsia" w:ascii="仿宋_GB2312" w:hAnsi="仿宋_GB2312" w:eastAsia="仿宋_GB2312" w:cs="仿宋_GB2312"/>
          <w:color w:val="auto"/>
          <w:spacing w:val="0"/>
          <w:kern w:val="2"/>
          <w:sz w:val="32"/>
          <w:szCs w:val="32"/>
          <w:highlight w:val="none"/>
          <w:lang w:val="en-US" w:eastAsia="zh-CN" w:bidi="ar-SA"/>
        </w:rPr>
        <w:t>对接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kern w:val="2"/>
          <w:sz w:val="32"/>
          <w:szCs w:val="32"/>
          <w:lang w:val="en-US" w:eastAsia="zh-CN" w:bidi="ar"/>
        </w:rPr>
        <w:t>“浙里食安”项目申报情况</w:t>
      </w:r>
      <w:r>
        <w:rPr>
          <w:rFonts w:hint="eastAsia" w:ascii="仿宋_GB2312" w:hAnsi="仿宋_GB2312" w:cs="仿宋_GB2312"/>
          <w:b w:val="0"/>
          <w:bCs w:val="0"/>
          <w:color w:val="auto"/>
          <w:kern w:val="2"/>
          <w:sz w:val="32"/>
          <w:szCs w:val="32"/>
          <w:lang w:val="en-US" w:eastAsia="zh-CN" w:bidi="ar"/>
        </w:rPr>
        <w:t>。</w:t>
      </w:r>
    </w:p>
    <w:p>
      <w:pPr>
        <w:spacing w:line="560" w:lineRule="exact"/>
        <w:ind w:firstLine="640"/>
        <w:rPr>
          <w:rFonts w:hint="eastAsia" w:ascii="仿宋_GB2312" w:hAnsi="仿宋_GB2312" w:eastAsia="仿宋_GB2312" w:cs="仿宋_GB2312"/>
          <w:color w:val="auto"/>
          <w:spacing w:val="0"/>
          <w:kern w:val="2"/>
          <w:sz w:val="32"/>
          <w:szCs w:val="32"/>
          <w:highlight w:val="none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auto"/>
          <w:spacing w:val="0"/>
          <w:kern w:val="2"/>
          <w:sz w:val="32"/>
          <w:szCs w:val="32"/>
          <w:highlight w:val="none"/>
          <w:lang w:val="en-US" w:eastAsia="zh-CN" w:bidi="ar-SA"/>
        </w:rPr>
        <w:t>2024年12月23日，完成</w:t>
      </w:r>
      <w:r>
        <w:rPr>
          <w:rFonts w:hint="eastAsia" w:ascii="仿宋_GB2312" w:hAnsi="仿宋_GB2312" w:eastAsia="仿宋_GB2312" w:cs="仿宋_GB2312"/>
          <w:color w:val="auto"/>
          <w:spacing w:val="0"/>
          <w:kern w:val="2"/>
          <w:sz w:val="32"/>
          <w:szCs w:val="32"/>
          <w:highlight w:val="none"/>
          <w:lang w:eastAsia="zh-CN" w:bidi="ar-SA"/>
        </w:rPr>
        <w:t>茶叶专项监督抽检及快速检测采购项目</w:t>
      </w:r>
      <w:r>
        <w:rPr>
          <w:rFonts w:hint="eastAsia" w:ascii="仿宋_GB2312" w:hAnsi="仿宋_GB2312" w:eastAsia="仿宋_GB2312" w:cs="仿宋_GB2312"/>
          <w:color w:val="auto"/>
          <w:spacing w:val="0"/>
          <w:kern w:val="2"/>
          <w:sz w:val="32"/>
          <w:szCs w:val="32"/>
          <w:highlight w:val="none"/>
          <w:lang w:val="en-US" w:eastAsia="zh-CN" w:bidi="ar-SA"/>
        </w:rPr>
        <w:t>的公开招投标工作。</w:t>
      </w:r>
    </w:p>
    <w:p>
      <w:pPr>
        <w:pStyle w:val="2"/>
        <w:rPr>
          <w:rFonts w:hint="default"/>
          <w:lang w:val="en-US" w:eastAsia="zh-CN"/>
        </w:rPr>
      </w:pPr>
      <w:r>
        <w:rPr>
          <w:rFonts w:hint="eastAsia" w:ascii="仿宋_GB2312" w:hAnsi="仿宋_GB2312" w:cs="仿宋_GB2312"/>
          <w:color w:val="auto"/>
          <w:spacing w:val="0"/>
          <w:kern w:val="2"/>
          <w:sz w:val="32"/>
          <w:szCs w:val="32"/>
          <w:highlight w:val="none"/>
          <w:lang w:val="en-US" w:eastAsia="zh-CN" w:bidi="ar-SA"/>
        </w:rPr>
        <w:t>2025年1月8日，对浙南茶叶市场主办方开展走访调研，讨论和完善实施方案。</w:t>
      </w:r>
    </w:p>
    <w:p>
      <w:pPr>
        <w:spacing w:line="560" w:lineRule="exact"/>
        <w:ind w:firstLine="640"/>
        <w:rPr>
          <w:rFonts w:hint="eastAsia" w:ascii="仿宋_GB2312" w:hAnsi="仿宋_GB2312" w:cs="仿宋_GB2312"/>
          <w:szCs w:val="32"/>
        </w:rPr>
      </w:pPr>
      <w:r>
        <w:rPr>
          <w:rFonts w:hint="eastAsia" w:ascii="仿宋_GB2312" w:hAnsi="仿宋_GB2312" w:cs="仿宋_GB2312"/>
          <w:kern w:val="2"/>
          <w:sz w:val="32"/>
          <w:szCs w:val="32"/>
          <w:lang w:val="en-US" w:eastAsia="zh-CN" w:bidi="ar-SA"/>
        </w:rPr>
        <w:t>2025年2月20日，组织市场监管相关科室以及农业农村局召开工作推进会，征求方案实施意见，最终</w:t>
      </w:r>
      <w:r>
        <w:rPr>
          <w:rFonts w:hint="eastAsia" w:ascii="仿宋_GB2312" w:hAnsi="仿宋_GB2312" w:cs="仿宋_GB2312"/>
          <w:szCs w:val="32"/>
        </w:rPr>
        <w:t>形成征求意见稿。</w:t>
      </w:r>
    </w:p>
    <w:p>
      <w:pPr>
        <w:spacing w:line="560" w:lineRule="exact"/>
        <w:ind w:firstLine="643"/>
        <w:rPr>
          <w:rFonts w:hint="eastAsia"/>
          <w:b/>
        </w:rPr>
      </w:pPr>
      <w:r>
        <w:rPr>
          <w:rFonts w:hint="eastAsia"/>
          <w:b/>
        </w:rPr>
        <w:t>四、主要内容</w:t>
      </w:r>
    </w:p>
    <w:p>
      <w:pPr>
        <w:spacing w:line="560" w:lineRule="exact"/>
        <w:ind w:firstLine="640"/>
        <w:rPr>
          <w:rFonts w:hint="eastAsia" w:ascii="仿宋_GB2312" w:hAnsi="仿宋_GB2312" w:eastAsia="仿宋_GB2312" w:cs="仿宋_GB2312"/>
          <w:szCs w:val="32"/>
        </w:rPr>
      </w:pPr>
      <w:r>
        <w:rPr>
          <w:rFonts w:hint="eastAsia"/>
        </w:rPr>
        <w:t>《</w:t>
      </w:r>
      <w:r>
        <w:rPr>
          <w:rFonts w:hint="eastAsia" w:ascii="仿宋_GB2312" w:hAnsi="仿宋_GB2312" w:cs="仿宋_GB2312"/>
          <w:kern w:val="2"/>
          <w:sz w:val="32"/>
          <w:szCs w:val="32"/>
          <w:lang w:val="en-US" w:eastAsia="zh-CN" w:bidi="ar-SA"/>
        </w:rPr>
        <w:t>松阳茶产业风险治理示范项目实施方案（征求意见稿）</w:t>
      </w:r>
      <w:r>
        <w:rPr>
          <w:rFonts w:hint="eastAsia"/>
        </w:rPr>
        <w:t>》</w:t>
      </w:r>
      <w:r>
        <w:rPr>
          <w:rFonts w:hint="eastAsia" w:ascii="仿宋_GB2312" w:hAnsi="仿宋_GB2312" w:cs="仿宋_GB2312"/>
          <w:kern w:val="2"/>
          <w:sz w:val="32"/>
          <w:szCs w:val="32"/>
          <w:lang w:val="en-US" w:eastAsia="zh-CN" w:bidi="ar-SA"/>
        </w:rPr>
        <w:t>共分为</w:t>
      </w:r>
      <w:r>
        <w:rPr>
          <w:rFonts w:hint="eastAsia"/>
          <w:lang w:eastAsia="zh-CN"/>
        </w:rPr>
        <w:t>项目背景、总体要求、实施步骤、运行机制、保障措施五部分内容</w:t>
      </w:r>
      <w:r>
        <w:rPr>
          <w:rFonts w:hint="eastAsia"/>
          <w:lang w:val="en-US" w:eastAsia="zh-CN"/>
        </w:rPr>
        <w:t>。</w:t>
      </w:r>
      <w:r>
        <w:rPr>
          <w:rFonts w:hint="eastAsia" w:ascii="仿宋_GB2312" w:hAnsi="仿宋_GB2312" w:eastAsia="仿宋_GB2312" w:cs="仿宋_GB2312"/>
          <w:szCs w:val="32"/>
        </w:rPr>
        <w:t xml:space="preserve">              </w:t>
      </w:r>
    </w:p>
    <w:p>
      <w:pPr>
        <w:pStyle w:val="3"/>
        <w:jc w:val="center"/>
        <w:rPr>
          <w:rFonts w:hint="eastAsia" w:ascii="仿宋_GB2312" w:hAnsi="仿宋_GB2312" w:eastAsia="仿宋_GB2312" w:cs="仿宋_GB2312"/>
          <w:szCs w:val="32"/>
        </w:rPr>
      </w:pPr>
    </w:p>
    <w:p>
      <w:pPr>
        <w:pStyle w:val="3"/>
        <w:jc w:val="center"/>
        <w:rPr>
          <w:rFonts w:hint="eastAsia" w:ascii="仿宋_GB2312" w:hAnsi="仿宋_GB2312" w:eastAsia="仿宋_GB2312" w:cs="仿宋_GB231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Cs w:val="32"/>
        </w:rPr>
        <w:t xml:space="preserve">                          松阳县</w:t>
      </w:r>
      <w:r>
        <w:rPr>
          <w:rFonts w:hint="eastAsia" w:ascii="仿宋_GB2312" w:hAnsi="仿宋_GB2312" w:eastAsia="仿宋_GB2312" w:cs="仿宋_GB2312"/>
          <w:szCs w:val="32"/>
          <w:lang w:eastAsia="zh-CN"/>
        </w:rPr>
        <w:t>市场监督管理局</w:t>
      </w:r>
    </w:p>
    <w:p>
      <w:pPr>
        <w:ind w:firstLine="5120" w:firstLineChars="1600"/>
        <w:jc w:val="center"/>
      </w:pPr>
      <w:r>
        <w:rPr>
          <w:rFonts w:hint="eastAsia" w:ascii="仿宋_GB2312" w:hAnsi="仿宋_GB2312" w:cs="仿宋_GB2312"/>
          <w:szCs w:val="32"/>
        </w:rPr>
        <w:t>202</w:t>
      </w:r>
      <w:r>
        <w:rPr>
          <w:rFonts w:hint="eastAsia" w:ascii="仿宋_GB2312" w:hAnsi="仿宋_GB2312" w:cs="仿宋_GB2312"/>
          <w:szCs w:val="32"/>
          <w:lang w:val="en-US" w:eastAsia="zh-CN"/>
        </w:rPr>
        <w:t>5</w:t>
      </w:r>
      <w:r>
        <w:rPr>
          <w:rFonts w:hint="eastAsia" w:ascii="仿宋_GB2312" w:hAnsi="仿宋_GB2312" w:cs="仿宋_GB2312"/>
          <w:szCs w:val="32"/>
        </w:rPr>
        <w:t>年</w:t>
      </w:r>
      <w:r>
        <w:rPr>
          <w:rFonts w:hint="eastAsia" w:ascii="仿宋_GB2312" w:hAnsi="仿宋_GB2312" w:cs="仿宋_GB2312"/>
          <w:szCs w:val="32"/>
          <w:lang w:val="en-US" w:eastAsia="zh-CN"/>
        </w:rPr>
        <w:t>2</w:t>
      </w:r>
      <w:r>
        <w:rPr>
          <w:rFonts w:hint="eastAsia" w:ascii="仿宋_GB2312" w:hAnsi="仿宋_GB2312" w:cs="仿宋_GB2312"/>
          <w:szCs w:val="32"/>
        </w:rPr>
        <w:t>月</w:t>
      </w:r>
      <w:r>
        <w:rPr>
          <w:rFonts w:hint="eastAsia" w:ascii="仿宋_GB2312" w:hAnsi="仿宋_GB2312" w:cs="仿宋_GB2312"/>
          <w:szCs w:val="32"/>
          <w:lang w:val="en-US" w:eastAsia="zh-CN"/>
        </w:rPr>
        <w:t>25</w:t>
      </w:r>
      <w:r>
        <w:rPr>
          <w:rFonts w:hint="eastAsia" w:ascii="仿宋_GB2312" w:hAnsi="仿宋_GB2312" w:cs="仿宋_GB2312"/>
          <w:szCs w:val="32"/>
        </w:rPr>
        <w:t>日</w:t>
      </w:r>
    </w:p>
    <w:sectPr>
      <w:headerReference r:id="rId6" w:type="first"/>
      <w:footerReference r:id="rId9" w:type="first"/>
      <w:footerReference r:id="rId7" w:type="default"/>
      <w:headerReference r:id="rId5" w:type="even"/>
      <w:footerReference r:id="rId8" w:type="even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ind w:firstLine="640"/>
      </w:pPr>
      <w:r>
        <w:separator/>
      </w:r>
    </w:p>
  </w:endnote>
  <w:endnote w:type="continuationSeparator" w:id="1">
    <w:p>
      <w:pPr>
        <w:ind w:firstLine="6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DejaVu Sans"/>
    <w:panose1 w:val="02020603050405020304"/>
    <w:charset w:val="86"/>
    <w:family w:val="auto"/>
    <w:pitch w:val="default"/>
    <w:sig w:usb0="00000000" w:usb1="00000000" w:usb2="00000009" w:usb3="00000000" w:csb0="400001FF" w:csb1="FFFF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altName w:val="方正宋体S-超大字符集(SIP)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方正宋体S-超大字符集(SIP)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altName w:val="方正仿宋_GBK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华文隶书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华文行楷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方正姚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隶书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超粗黑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华文彩云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华文新魏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宋体S-超大字符集(SIP)">
    <w:panose1 w:val="03000509000000000000"/>
    <w:charset w:val="86"/>
    <w:family w:val="auto"/>
    <w:pitch w:val="default"/>
    <w:sig w:usb0="00000003" w:usb1="0A0E0800" w:usb2="0000000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ind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ind w:firstLine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ind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ind w:firstLine="640"/>
      </w:pPr>
      <w:r>
        <w:separator/>
      </w:r>
    </w:p>
  </w:footnote>
  <w:footnote w:type="continuationSeparator" w:id="1">
    <w:p>
      <w:pPr>
        <w:ind w:firstLine="64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ind w:firstLine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ind w:firstLine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1BE5736"/>
    <w:rsid w:val="1BFB7E13"/>
    <w:rsid w:val="2FF76A41"/>
    <w:rsid w:val="5A340DD8"/>
    <w:rsid w:val="5E8E7835"/>
    <w:rsid w:val="5FDF6825"/>
    <w:rsid w:val="5FF92750"/>
    <w:rsid w:val="61BE5736"/>
    <w:rsid w:val="7DA7DBFE"/>
    <w:rsid w:val="7F7ED974"/>
    <w:rsid w:val="7FBD33DF"/>
    <w:rsid w:val="EFDF2FD2"/>
    <w:rsid w:val="FF9B5C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ind w:firstLine="200" w:firstLineChars="200"/>
      <w:jc w:val="both"/>
    </w:pPr>
    <w:rPr>
      <w:rFonts w:ascii="Times New Roman" w:hAnsi="Times New Roman" w:eastAsia="仿宋_GB2312" w:cs="Times New Roman"/>
      <w:kern w:val="2"/>
      <w:sz w:val="32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keepNext/>
      <w:keepLines/>
      <w:ind w:firstLine="640"/>
      <w:jc w:val="left"/>
      <w:outlineLvl w:val="0"/>
    </w:pPr>
    <w:rPr>
      <w:rFonts w:eastAsia="黑体"/>
      <w:bCs/>
      <w:kern w:val="44"/>
      <w:szCs w:val="44"/>
    </w:rPr>
  </w:style>
  <w:style w:type="character" w:default="1" w:styleId="9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qFormat/>
    <w:uiPriority w:val="0"/>
    <w:rPr>
      <w:rFonts w:ascii="宋体" w:hAnsi="Courier New"/>
    </w:rPr>
  </w:style>
  <w:style w:type="paragraph" w:styleId="4">
    <w:name w:val="Normal Indent"/>
    <w:basedOn w:val="1"/>
    <w:qFormat/>
    <w:uiPriority w:val="0"/>
    <w:pPr>
      <w:ind w:firstLine="420" w:firstLineChars="200"/>
    </w:p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3.xml"/><Relationship Id="rId8" Type="http://schemas.openxmlformats.org/officeDocument/2006/relationships/footer" Target="footer2.xml"/><Relationship Id="rId7" Type="http://schemas.openxmlformats.org/officeDocument/2006/relationships/footer" Target="footer1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customXml" Target="../customXml/item1.xml"/><Relationship Id="rId10" Type="http://schemas.openxmlformats.org/officeDocument/2006/relationships/theme" Target="theme/theme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Office_11.8.2.10953_F1E327BC-269C-435d-A152-05C5408002CA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2024-02-27T01:43:00Z</dcterms:created>
  <dc:creator>刘科伟</dc:creator>
  <cp:lastModifiedBy>金波</cp:lastModifiedBy>
  <dcterms:modified xsi:type="dcterms:W3CDTF">2025-02-25T09:12:21Z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2052-11.8.2.10953</vt:lpwstr>
  </property>
  <property fmtid="{D5CDD505-2E9C-101B-9397-08002B2CF9AE}" pid="3" name="ICV">
    <vt:lpwstr>B3FA4CBD0C034679909724C8C7656A29</vt:lpwstr>
  </property>
</Properties>
</file>