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东坑镇深垟村“两山”转换研学建设项目</w:t>
      </w:r>
      <w:r>
        <w:rPr>
          <w:rFonts w:hint="eastAsia" w:ascii="方正小标宋简体" w:hAnsi="方正小标宋简体" w:eastAsia="方正小标宋简体" w:cs="方正小标宋简体"/>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w:t>
      </w:r>
      <w:r>
        <w:rPr>
          <w:rFonts w:hint="default" w:ascii="Times New Roman" w:hAnsi="Times New Roman" w:cs="Times New Roman"/>
          <w:sz w:val="32"/>
          <w:szCs w:val="32"/>
          <w:lang w:val="en-US" w:eastAsia="zh-CN"/>
        </w:rPr>
        <w:t>东坑镇深垟村“两山”转换研学建设项目（一期）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项目地址：浙江省丽水市景宁畲族自治县</w:t>
      </w:r>
      <w:r>
        <w:rPr>
          <w:rFonts w:hint="eastAsia" w:ascii="仿宋_GB2312" w:hAnsi="仿宋_GB2312" w:cs="仿宋_GB2312"/>
          <w:sz w:val="32"/>
          <w:szCs w:val="32"/>
          <w:lang w:val="en-US" w:eastAsia="zh-CN"/>
        </w:rPr>
        <w:t>东坑镇深垟村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cs="仿宋_GB2312"/>
          <w:sz w:val="32"/>
          <w:szCs w:val="32"/>
          <w:lang w:val="en-US" w:eastAsia="zh-CN"/>
        </w:rPr>
        <w:t>资金来源：</w:t>
      </w:r>
      <w:r>
        <w:rPr>
          <w:rFonts w:hint="eastAsia" w:ascii="仿宋_GB2312" w:hAnsi="仿宋_GB2312" w:eastAsia="仿宋_GB2312" w:cs="仿宋_GB2312"/>
          <w:szCs w:val="32"/>
          <w:lang w:val="en-US" w:eastAsia="zh-CN"/>
        </w:rPr>
        <w:t>《浙江省财政厅关于下达2022年省诗路文化带建设资金的通知》（浙财建〔2021〕128号）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Cs w:val="32"/>
          <w:lang w:val="en-US" w:eastAsia="zh-CN"/>
        </w:rPr>
      </w:pPr>
      <w:r>
        <w:rPr>
          <w:rFonts w:hint="eastAsia" w:ascii="仿宋_GB2312" w:hAnsi="仿宋_GB2312" w:cs="仿宋_GB2312"/>
          <w:szCs w:val="32"/>
          <w:lang w:val="en-US" w:eastAsia="zh-CN"/>
        </w:rPr>
        <w:t>投资估算：</w:t>
      </w:r>
      <w:r>
        <w:rPr>
          <w:rFonts w:hint="eastAsia" w:ascii="Times New Roman" w:hAnsi="Times New Roman" w:cs="Times New Roman"/>
          <w:sz w:val="32"/>
          <w:szCs w:val="32"/>
          <w:lang w:val="en-US" w:eastAsia="zh-CN"/>
        </w:rPr>
        <w:t>估算总投资800万元，其中工程建安费495.15万元、工程建设其他费281.54万元，预备费23.31万元。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建设工期：12个月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建设内容</w:t>
      </w:r>
      <w:r>
        <w:rPr>
          <w:rFonts w:hint="eastAsia" w:ascii="仿宋_GB2312" w:hAnsi="仿宋_GB2312" w:eastAsia="仿宋_GB2312" w:cs="仿宋_GB2312"/>
          <w:sz w:val="32"/>
          <w:szCs w:val="32"/>
          <w:lang w:val="en-US" w:eastAsia="zh-CN"/>
        </w:rPr>
        <w:t>：项目规划总用地面积</w:t>
      </w:r>
      <w:r>
        <w:rPr>
          <w:rFonts w:hint="eastAsia" w:ascii="仿宋_GB2312" w:hAnsi="仿宋_GB2312" w:cs="仿宋_GB2312"/>
          <w:sz w:val="32"/>
          <w:szCs w:val="32"/>
          <w:lang w:val="en-US" w:eastAsia="zh-CN"/>
        </w:rPr>
        <w:t>1524.92</w:t>
      </w:r>
      <w:r>
        <w:rPr>
          <w:rFonts w:hint="eastAsia" w:ascii="仿宋_GB2312" w:hAnsi="仿宋_GB2312" w:eastAsia="仿宋_GB2312" w:cs="仿宋_GB2312"/>
          <w:sz w:val="32"/>
          <w:szCs w:val="32"/>
          <w:lang w:val="en-US" w:eastAsia="zh-CN"/>
        </w:rPr>
        <w:t>平方米，建筑占地面积</w:t>
      </w:r>
      <w:r>
        <w:rPr>
          <w:rFonts w:hint="eastAsia" w:ascii="仿宋_GB2312" w:hAnsi="仿宋_GB2312" w:cs="仿宋_GB2312"/>
          <w:sz w:val="32"/>
          <w:szCs w:val="32"/>
          <w:lang w:val="en-US" w:eastAsia="zh-CN"/>
        </w:rPr>
        <w:t>763.47</w:t>
      </w:r>
      <w:r>
        <w:rPr>
          <w:rFonts w:hint="eastAsia" w:ascii="仿宋_GB2312" w:hAnsi="仿宋_GB2312" w:eastAsia="仿宋_GB2312" w:cs="仿宋_GB2312"/>
          <w:sz w:val="32"/>
          <w:szCs w:val="32"/>
          <w:lang w:val="en-US" w:eastAsia="zh-CN"/>
        </w:rPr>
        <w:t>平方米，总建筑面积</w:t>
      </w:r>
      <w:r>
        <w:rPr>
          <w:rFonts w:hint="eastAsia" w:ascii="仿宋_GB2312" w:hAnsi="仿宋_GB2312" w:cs="仿宋_GB2312"/>
          <w:sz w:val="32"/>
          <w:szCs w:val="32"/>
          <w:lang w:val="en-US" w:eastAsia="zh-CN"/>
        </w:rPr>
        <w:t>1895.49</w:t>
      </w:r>
      <w:r>
        <w:rPr>
          <w:rFonts w:hint="eastAsia" w:ascii="仿宋_GB2312" w:hAnsi="仿宋_GB2312" w:eastAsia="仿宋_GB2312" w:cs="仿宋_GB2312"/>
          <w:sz w:val="32"/>
          <w:szCs w:val="32"/>
          <w:lang w:val="en-US" w:eastAsia="zh-CN"/>
        </w:rPr>
        <w:t>平方米，绿地率</w:t>
      </w: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lang w:val="en-US" w:eastAsia="zh-CN"/>
        </w:rPr>
        <w:t>%，容积率1.</w:t>
      </w:r>
      <w:r>
        <w:rPr>
          <w:rFonts w:hint="eastAsia" w:ascii="仿宋_GB2312" w:hAnsi="仿宋_GB2312" w:cs="仿宋_GB2312"/>
          <w:sz w:val="32"/>
          <w:szCs w:val="32"/>
          <w:lang w:val="en-US" w:eastAsia="zh-CN"/>
        </w:rPr>
        <w:t>24</w:t>
      </w:r>
      <w:r>
        <w:rPr>
          <w:rFonts w:hint="eastAsia" w:ascii="仿宋_GB2312" w:hAnsi="仿宋_GB2312" w:eastAsia="仿宋_GB2312" w:cs="仿宋_GB2312"/>
          <w:sz w:val="32"/>
          <w:szCs w:val="32"/>
          <w:lang w:val="en-US" w:eastAsia="zh-CN"/>
        </w:rPr>
        <w:t>，建筑密度</w:t>
      </w:r>
      <w:r>
        <w:rPr>
          <w:rFonts w:hint="eastAsia" w:ascii="仿宋_GB2312" w:hAnsi="仿宋_GB2312" w:cs="仿宋_GB2312"/>
          <w:sz w:val="32"/>
          <w:szCs w:val="32"/>
          <w:lang w:val="en-US" w:eastAsia="zh-CN"/>
        </w:rPr>
        <w:t>50.07</w:t>
      </w:r>
      <w:r>
        <w:rPr>
          <w:rFonts w:hint="eastAsia" w:ascii="仿宋_GB2312" w:hAnsi="仿宋_GB2312" w:eastAsia="仿宋_GB2312" w:cs="仿宋_GB2312"/>
          <w:sz w:val="32"/>
          <w:szCs w:val="32"/>
          <w:lang w:val="en-US" w:eastAsia="zh-CN"/>
        </w:rPr>
        <w:t>%，建筑层数2层，檐口高度7米。主要建设厨房、餐厅、培训室、休息室、研学室、值班室</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多功能用房以及绿化、市政配套等室外附属工程。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二、项目建设背景和必要性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cs="Times New Roman"/>
          <w:b/>
          <w:bCs/>
          <w:sz w:val="32"/>
          <w:szCs w:val="32"/>
          <w:lang w:val="en-US" w:eastAsia="zh-CN"/>
        </w:rPr>
        <w:t>（一）</w:t>
      </w:r>
      <w:r>
        <w:rPr>
          <w:rFonts w:hint="eastAsia" w:ascii="Times New Roman" w:hAnsi="Times New Roman" w:eastAsia="仿宋_GB2312" w:cs="Times New Roman"/>
          <w:b/>
          <w:bCs/>
          <w:sz w:val="32"/>
          <w:szCs w:val="32"/>
          <w:lang w:val="en-US" w:eastAsia="zh-CN"/>
        </w:rPr>
        <w:t>项目建设背景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2019年1月，国家长江办已正式发文批准丽水作为全国首个生态产品价值实现机制改革试点市。对丽水来说，这无疑是一次重大的机遇，更是为丽水高质量绿色发展注入了前所未有的强劲发展动力。丽水市出台“绿谷知行”研学实践管理平台，依靠“绿谷知行”平台，提出了“走读丽水”系列研学课程的本土研学策划，有利于发挥资源优势，凝聚各方力量，共同打造“一县一品”区域化研学课程品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cs="Times New Roman"/>
          <w:b/>
          <w:bCs/>
          <w:sz w:val="32"/>
          <w:szCs w:val="32"/>
          <w:lang w:val="en-US" w:eastAsia="zh-CN"/>
        </w:rPr>
        <w:t>（二）</w:t>
      </w:r>
      <w:r>
        <w:rPr>
          <w:rFonts w:hint="eastAsia" w:ascii="Times New Roman" w:hAnsi="Times New Roman" w:eastAsia="仿宋_GB2312" w:cs="Times New Roman"/>
          <w:b/>
          <w:bCs/>
          <w:sz w:val="32"/>
          <w:szCs w:val="32"/>
          <w:lang w:val="en-US" w:eastAsia="zh-CN"/>
        </w:rPr>
        <w:t>项目建设的必要性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本项目的建设是推动和促进红色文化的需要；是铺开学生研学活动的需要；是推广区域特色研学游的需要</w:t>
      </w:r>
      <w:r>
        <w:rPr>
          <w:rFonts w:hint="eastAsia" w:ascii="Times New Roman" w:hAnsi="Times New Roman" w:cs="Times New Roman"/>
          <w:sz w:val="32"/>
          <w:szCs w:val="32"/>
          <w:lang w:val="en-US" w:eastAsia="zh-CN"/>
        </w:rPr>
        <w:t>；是推动地区拉动就业增长和产业结构调整的需要</w:t>
      </w:r>
      <w:r>
        <w:rPr>
          <w:rFonts w:hint="eastAsia" w:ascii="Times New Roman" w:hAnsi="Times New Roman" w:eastAsia="仿宋_GB2312" w:cs="Times New Roman"/>
          <w:sz w:val="32"/>
          <w:szCs w:val="32"/>
          <w:lang w:val="en-US" w:eastAsia="zh-CN"/>
        </w:rPr>
        <w:t>。因此，该项目的建设是非常必要的。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三、项目可行性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z w:val="32"/>
          <w:szCs w:val="32"/>
          <w:lang w:val="en-US" w:eastAsia="zh-CN"/>
        </w:rPr>
      </w:pPr>
      <w:r>
        <w:rPr>
          <w:rFonts w:hint="default" w:ascii="Times New Roman" w:hAnsi="Times New Roman" w:eastAsia="仿宋_GB2312" w:cs="Times New Roman"/>
          <w:sz w:val="32"/>
          <w:szCs w:val="32"/>
          <w:lang w:val="en-US" w:eastAsia="zh-CN"/>
        </w:rPr>
        <w:t>景宁县东坑镇深垟“两山”转换研学建设</w:t>
      </w:r>
      <w:bookmarkStart w:id="0" w:name="_GoBack"/>
      <w:bookmarkEnd w:id="0"/>
      <w:r>
        <w:rPr>
          <w:rFonts w:hint="default" w:ascii="Times New Roman" w:hAnsi="Times New Roman" w:eastAsia="仿宋_GB2312" w:cs="Times New Roman"/>
          <w:sz w:val="32"/>
          <w:szCs w:val="32"/>
          <w:lang w:val="en-US" w:eastAsia="zh-CN"/>
        </w:rPr>
        <w:t>项目的开发，将把研学旅游资源与绿色生态旅游很好地结合起来，这不仅符合“红绿融合”，促进全域旅游发展的理念，而且还能同时满足旅游者的需要，对促进景宁县生态旅游长期稳定发展具有重要意义。项目建设内容和工程建设方案，经过详细分析和论证，证明是可行的。总之，本项目建设规模适度，投资造价切合实际，项目建设是可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景宁畲族自治县东坑镇人民政府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202</w:t>
      </w:r>
      <w:r>
        <w:rPr>
          <w:rFonts w:hint="eastAsia" w:ascii="仿宋_GB2312" w:hAnsi="仿宋_GB2312" w:cs="仿宋_GB2312"/>
          <w:sz w:val="32"/>
          <w:szCs w:val="32"/>
          <w:lang w:val="en-US" w:eastAsia="zh-CN"/>
        </w:rPr>
        <w:t>4</w:t>
      </w:r>
      <w:r>
        <w:rPr>
          <w:rFonts w:hint="default" w:ascii="仿宋_GB2312" w:hAnsi="仿宋_GB2312" w:cs="仿宋_GB2312"/>
          <w:sz w:val="32"/>
          <w:szCs w:val="32"/>
          <w:lang w:val="en-US" w:eastAsia="zh-CN"/>
        </w:rPr>
        <w:t>年</w:t>
      </w:r>
      <w:r>
        <w:rPr>
          <w:rFonts w:hint="eastAsia" w:ascii="仿宋_GB2312" w:hAnsi="仿宋_GB2312" w:cs="仿宋_GB2312"/>
          <w:sz w:val="32"/>
          <w:szCs w:val="32"/>
          <w:lang w:val="en-US" w:eastAsia="zh-CN"/>
        </w:rPr>
        <w:t>12</w:t>
      </w:r>
      <w:r>
        <w:rPr>
          <w:rFonts w:hint="default" w:ascii="仿宋_GB2312" w:hAnsi="仿宋_GB2312" w:cs="仿宋_GB2312"/>
          <w:sz w:val="32"/>
          <w:szCs w:val="32"/>
          <w:lang w:val="en-US" w:eastAsia="zh-CN"/>
        </w:rPr>
        <w:t>月</w:t>
      </w:r>
      <w:r>
        <w:rPr>
          <w:rFonts w:hint="eastAsia" w:ascii="仿宋_GB2312" w:hAnsi="仿宋_GB2312" w:cs="仿宋_GB2312"/>
          <w:sz w:val="32"/>
          <w:szCs w:val="32"/>
          <w:lang w:val="en-US" w:eastAsia="zh-CN"/>
        </w:rPr>
        <w:t>24</w:t>
      </w:r>
      <w:r>
        <w:rPr>
          <w:rFonts w:hint="default" w:ascii="仿宋_GB2312" w:hAnsi="仿宋_GB2312" w:cs="仿宋_GB2312"/>
          <w:sz w:val="32"/>
          <w:szCs w:val="32"/>
          <w:lang w:val="en-US" w:eastAsia="zh-CN"/>
        </w:rPr>
        <w:t>日</w:t>
      </w:r>
    </w:p>
    <w:sectPr>
      <w:pgSz w:w="11906" w:h="16838"/>
      <w:pgMar w:top="1644" w:right="1531" w:bottom="1644" w:left="1531" w:header="851" w:footer="992" w:gutter="0"/>
      <w:cols w:space="0" w:num="1"/>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OWVmYmFmYTQ0YWJjNzkwMjNiYTJmZGZkMzcxYTIifQ=="/>
  </w:docVars>
  <w:rsids>
    <w:rsidRoot w:val="1BAA462A"/>
    <w:rsid w:val="01D07D3B"/>
    <w:rsid w:val="04D00CBB"/>
    <w:rsid w:val="0976316B"/>
    <w:rsid w:val="0AE65882"/>
    <w:rsid w:val="0F5A6BDE"/>
    <w:rsid w:val="0FD01046"/>
    <w:rsid w:val="13AB49E3"/>
    <w:rsid w:val="17A35576"/>
    <w:rsid w:val="18FB7C63"/>
    <w:rsid w:val="1BAA462A"/>
    <w:rsid w:val="1DDC1BCF"/>
    <w:rsid w:val="21941347"/>
    <w:rsid w:val="22927DA7"/>
    <w:rsid w:val="235D4796"/>
    <w:rsid w:val="23E334FE"/>
    <w:rsid w:val="24D9385B"/>
    <w:rsid w:val="2AC11AAE"/>
    <w:rsid w:val="2AE23476"/>
    <w:rsid w:val="2C526E62"/>
    <w:rsid w:val="2CBB4F33"/>
    <w:rsid w:val="2DF11D7E"/>
    <w:rsid w:val="2EFB1076"/>
    <w:rsid w:val="329A6482"/>
    <w:rsid w:val="3364747B"/>
    <w:rsid w:val="352E50E6"/>
    <w:rsid w:val="3C8B41E7"/>
    <w:rsid w:val="3E68075C"/>
    <w:rsid w:val="3F5B202B"/>
    <w:rsid w:val="40B93079"/>
    <w:rsid w:val="420D2912"/>
    <w:rsid w:val="43742980"/>
    <w:rsid w:val="460A3325"/>
    <w:rsid w:val="478C0A7B"/>
    <w:rsid w:val="487A79E4"/>
    <w:rsid w:val="49603A34"/>
    <w:rsid w:val="4A9A55AB"/>
    <w:rsid w:val="4BCA02CF"/>
    <w:rsid w:val="4F5803EF"/>
    <w:rsid w:val="564B20A8"/>
    <w:rsid w:val="57D442B7"/>
    <w:rsid w:val="58305565"/>
    <w:rsid w:val="5A04713E"/>
    <w:rsid w:val="5B664576"/>
    <w:rsid w:val="5B86769A"/>
    <w:rsid w:val="5BC36B85"/>
    <w:rsid w:val="5E8307D5"/>
    <w:rsid w:val="5FA8056B"/>
    <w:rsid w:val="62591CC9"/>
    <w:rsid w:val="64D7657A"/>
    <w:rsid w:val="67566EED"/>
    <w:rsid w:val="67885B78"/>
    <w:rsid w:val="694C2979"/>
    <w:rsid w:val="6D496D0C"/>
    <w:rsid w:val="6E3B488D"/>
    <w:rsid w:val="70203DAF"/>
    <w:rsid w:val="73127670"/>
    <w:rsid w:val="735E0012"/>
    <w:rsid w:val="75CA5BAB"/>
    <w:rsid w:val="7BA6370B"/>
    <w:rsid w:val="7DC41FF0"/>
    <w:rsid w:val="7E5A5758"/>
    <w:rsid w:val="7FDF2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7"/>
    <w:qFormat/>
    <w:uiPriority w:val="0"/>
    <w:pPr>
      <w:keepNext/>
      <w:keepLines/>
      <w:spacing w:line="560" w:lineRule="exact"/>
      <w:outlineLvl w:val="0"/>
    </w:pPr>
    <w:rPr>
      <w:rFonts w:ascii="Times New Roman" w:hAnsi="Times New Roman" w:eastAsia="黑体"/>
      <w:b/>
      <w:bCs/>
      <w:kern w:val="44"/>
      <w:sz w:val="32"/>
      <w:szCs w:val="44"/>
    </w:rPr>
  </w:style>
  <w:style w:type="paragraph" w:styleId="3">
    <w:name w:val="heading 2"/>
    <w:basedOn w:val="1"/>
    <w:next w:val="1"/>
    <w:link w:val="8"/>
    <w:semiHidden/>
    <w:unhideWhenUsed/>
    <w:qFormat/>
    <w:uiPriority w:val="0"/>
    <w:pPr>
      <w:keepNext/>
      <w:keepLines/>
      <w:spacing w:line="560" w:lineRule="exact"/>
      <w:outlineLvl w:val="1"/>
    </w:pPr>
    <w:rPr>
      <w:rFonts w:ascii="Cambria" w:hAnsi="Cambria" w:eastAsia="宋体"/>
      <w:b/>
      <w:bCs/>
      <w:sz w:val="28"/>
      <w:szCs w:val="32"/>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val="0"/>
      <w:ind w:firstLine="567"/>
      <w:jc w:val="both"/>
    </w:pPr>
    <w:rPr>
      <w:rFonts w:asciiTheme="minorAscii" w:hAnsiTheme="minorAscii" w:cstheme="minorBidi"/>
    </w:rPr>
  </w:style>
  <w:style w:type="character" w:customStyle="1" w:styleId="7">
    <w:name w:val="标题 1 字符"/>
    <w:basedOn w:val="6"/>
    <w:link w:val="2"/>
    <w:qFormat/>
    <w:uiPriority w:val="0"/>
    <w:rPr>
      <w:rFonts w:ascii="Times New Roman" w:hAnsi="Times New Roman" w:eastAsia="黑体" w:cs="Times New Roman"/>
      <w:b/>
      <w:bCs/>
      <w:kern w:val="44"/>
      <w:sz w:val="32"/>
      <w:szCs w:val="44"/>
    </w:rPr>
  </w:style>
  <w:style w:type="character" w:customStyle="1" w:styleId="8">
    <w:name w:val="标题 2 字符"/>
    <w:basedOn w:val="6"/>
    <w:link w:val="3"/>
    <w:qFormat/>
    <w:uiPriority w:val="0"/>
    <w:rPr>
      <w:rFonts w:ascii="Cambria" w:hAnsi="Cambria" w:eastAsia="宋体" w:cs="Times New Roman"/>
      <w:b/>
      <w:bCs/>
      <w:sz w:val="28"/>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5125</Words>
  <Characters>5864</Characters>
  <Lines>0</Lines>
  <Paragraphs>0</Paragraphs>
  <TotalTime>2</TotalTime>
  <ScaleCrop>false</ScaleCrop>
  <LinksUpToDate>false</LinksUpToDate>
  <CharactersWithSpaces>5865</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2024-05-30T09:41:00Z</dcterms:created>
  <dc:creator>︶ㄣ娖迹∞</dc:creator>
  <cp:lastModifiedBy>景宁县医疗保障局管理员</cp:lastModifiedBy>
  <dcterms:modified xsi:type="dcterms:W3CDTF">2025-04-30T15:35:52Z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806B7EC650FA4A86A8BFC5C6F8A29D90_13</vt:lpwstr>
  </property>
  <property fmtid="{D5CDD505-2E9C-101B-9397-08002B2CF9AE}" pid="4" name="KSOTemplateDocerSaveRecord">
    <vt:lpwstr>eyJoZGlkIjoiNWUyYzQ1ZDU5NGE3NTlkZmZjYTM1ZjBhZDNiZDc4ZGMiLCJ1c2VySWQiOiI1NDEzMTM3NjQifQ==</vt:lpwstr>
  </property>
</Properties>
</file>