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90845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240" w:lineRule="atLeast"/>
        <w:ind w:left="0" w:right="0" w:firstLine="0"/>
        <w:jc w:val="center"/>
        <w:textAlignment w:val="auto"/>
        <w:rPr>
          <w:rFonts w:hint="default" w:ascii="Helvetica" w:hAnsi="Helvetica" w:eastAsia="Helvetica" w:cs="Helvetica"/>
          <w:i w:val="0"/>
          <w:iCs w:val="0"/>
          <w:caps w:val="0"/>
          <w:color w:val="auto"/>
          <w:spacing w:val="0"/>
          <w:sz w:val="44"/>
          <w:szCs w:val="44"/>
          <w:shd w:val="clear" w:fill="FFFFFF"/>
        </w:rPr>
      </w:pPr>
      <w:r>
        <w:rPr>
          <w:rFonts w:hint="default" w:ascii="Helvetica" w:hAnsi="Helvetica" w:eastAsia="Helvetica" w:cs="Helvetica"/>
          <w:i w:val="0"/>
          <w:iCs w:val="0"/>
          <w:caps w:val="0"/>
          <w:color w:val="auto"/>
          <w:spacing w:val="0"/>
          <w:sz w:val="44"/>
          <w:szCs w:val="44"/>
          <w:shd w:val="clear" w:fill="FFFFFF"/>
        </w:rPr>
        <w:t>诸暨市服务业企业</w:t>
      </w:r>
      <w:r>
        <w:rPr>
          <w:rFonts w:hint="eastAsia" w:ascii="Helvetica" w:hAnsi="Helvetica" w:eastAsia="宋体" w:cs="Helvetica"/>
          <w:i w:val="0"/>
          <w:iCs w:val="0"/>
          <w:caps w:val="0"/>
          <w:color w:val="auto"/>
          <w:spacing w:val="0"/>
          <w:sz w:val="44"/>
          <w:szCs w:val="44"/>
          <w:shd w:val="clear" w:fill="FFFFFF"/>
          <w:lang w:eastAsia="zh-CN"/>
        </w:rPr>
        <w:t>“</w:t>
      </w:r>
      <w:r>
        <w:rPr>
          <w:rFonts w:hint="default" w:ascii="Helvetica" w:hAnsi="Helvetica" w:eastAsia="Helvetica" w:cs="Helvetica"/>
          <w:i w:val="0"/>
          <w:iCs w:val="0"/>
          <w:caps w:val="0"/>
          <w:color w:val="auto"/>
          <w:spacing w:val="0"/>
          <w:sz w:val="44"/>
          <w:szCs w:val="44"/>
          <w:shd w:val="clear" w:fill="FFFFFF"/>
        </w:rPr>
        <w:t>亩产效益</w:t>
      </w:r>
      <w:r>
        <w:rPr>
          <w:rFonts w:hint="eastAsia" w:ascii="Helvetica" w:hAnsi="Helvetica" w:eastAsia="宋体" w:cs="Helvetica"/>
          <w:i w:val="0"/>
          <w:iCs w:val="0"/>
          <w:caps w:val="0"/>
          <w:color w:val="auto"/>
          <w:spacing w:val="0"/>
          <w:sz w:val="44"/>
          <w:szCs w:val="44"/>
          <w:shd w:val="clear" w:fill="FFFFFF"/>
          <w:lang w:eastAsia="zh-CN"/>
        </w:rPr>
        <w:t>”</w:t>
      </w:r>
      <w:r>
        <w:rPr>
          <w:rFonts w:hint="default" w:ascii="Helvetica" w:hAnsi="Helvetica" w:eastAsia="Helvetica" w:cs="Helvetica"/>
          <w:i w:val="0"/>
          <w:iCs w:val="0"/>
          <w:caps w:val="0"/>
          <w:color w:val="auto"/>
          <w:spacing w:val="0"/>
          <w:sz w:val="44"/>
          <w:szCs w:val="44"/>
          <w:shd w:val="clear" w:fill="FFFFFF"/>
        </w:rPr>
        <w:t>综合评价</w:t>
      </w:r>
    </w:p>
    <w:p w14:paraId="755782B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240" w:lineRule="atLeast"/>
        <w:ind w:left="0" w:right="0" w:firstLine="0"/>
        <w:jc w:val="center"/>
        <w:textAlignment w:val="auto"/>
        <w:rPr>
          <w:rFonts w:hint="default" w:ascii="Helvetica" w:hAnsi="Helvetica" w:eastAsia="Helvetica" w:cs="Helvetica"/>
          <w:i w:val="0"/>
          <w:iCs w:val="0"/>
          <w:caps w:val="0"/>
          <w:color w:val="auto"/>
          <w:spacing w:val="0"/>
          <w:sz w:val="30"/>
          <w:szCs w:val="30"/>
          <w:shd w:val="clear" w:fill="FFFFFF"/>
        </w:rPr>
      </w:pPr>
      <w:r>
        <w:rPr>
          <w:rFonts w:hint="eastAsia" w:ascii="Helvetica" w:hAnsi="Helvetica" w:eastAsia="宋体" w:cs="Helvetica"/>
          <w:i w:val="0"/>
          <w:iCs w:val="0"/>
          <w:caps w:val="0"/>
          <w:color w:val="auto"/>
          <w:spacing w:val="0"/>
          <w:sz w:val="44"/>
          <w:szCs w:val="44"/>
          <w:shd w:val="clear" w:fill="FFFFFF"/>
          <w:lang w:val="en-US" w:eastAsia="zh-CN"/>
        </w:rPr>
        <w:t>实施</w:t>
      </w:r>
      <w:bookmarkStart w:id="0" w:name="_GoBack"/>
      <w:bookmarkEnd w:id="0"/>
      <w:r>
        <w:rPr>
          <w:rFonts w:hint="eastAsia" w:ascii="Helvetica" w:hAnsi="Helvetica" w:eastAsia="宋体" w:cs="Helvetica"/>
          <w:i w:val="0"/>
          <w:iCs w:val="0"/>
          <w:caps w:val="0"/>
          <w:color w:val="auto"/>
          <w:spacing w:val="0"/>
          <w:sz w:val="44"/>
          <w:szCs w:val="44"/>
          <w:shd w:val="clear" w:fill="FFFFFF"/>
          <w:lang w:val="en-US" w:eastAsia="zh-CN"/>
        </w:rPr>
        <w:t>办法</w:t>
      </w:r>
      <w:r>
        <w:rPr>
          <w:rFonts w:hint="default" w:ascii="Helvetica" w:hAnsi="Helvetica" w:eastAsia="Helvetica" w:cs="Helvetica"/>
          <w:i w:val="0"/>
          <w:iCs w:val="0"/>
          <w:caps w:val="0"/>
          <w:color w:val="auto"/>
          <w:spacing w:val="0"/>
          <w:sz w:val="44"/>
          <w:szCs w:val="44"/>
          <w:shd w:val="clear" w:fill="FFFFFF"/>
        </w:rPr>
        <w:t>起草说明</w:t>
      </w:r>
    </w:p>
    <w:p w14:paraId="20DA677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left"/>
        <w:rPr>
          <w:rFonts w:hint="default" w:ascii="Helvetica" w:hAnsi="Helvetica" w:eastAsia="Helvetica" w:cs="Helvetica"/>
          <w:i w:val="0"/>
          <w:iCs w:val="0"/>
          <w:caps w:val="0"/>
          <w:color w:val="auto"/>
          <w:spacing w:val="0"/>
          <w:sz w:val="30"/>
          <w:szCs w:val="30"/>
          <w:shd w:val="clear" w:fill="FFFFFF"/>
        </w:rPr>
      </w:pPr>
    </w:p>
    <w:p w14:paraId="06193A63">
      <w:pPr>
        <w:keepNext w:val="0"/>
        <w:keepLines w:val="0"/>
        <w:pageBreakBefore w:val="0"/>
        <w:widowControl w:val="0"/>
        <w:kinsoku/>
        <w:wordWrap/>
        <w:overflowPunct/>
        <w:topLinePunct w:val="0"/>
        <w:autoSpaceDE/>
        <w:autoSpaceDN/>
        <w:bidi w:val="0"/>
        <w:spacing w:beforeLines="-2147483648" w:afterLines="-2147483648" w:line="540" w:lineRule="exact"/>
        <w:ind w:left="640"/>
        <w:jc w:val="left"/>
        <w:textAlignment w:val="auto"/>
        <w:rPr>
          <w:rFonts w:hint="eastAsia" w:ascii="黑体" w:hAnsi="黑体" w:eastAsia="黑体" w:cs="Times New Roman"/>
          <w:sz w:val="32"/>
          <w:szCs w:val="32"/>
          <w:lang w:val="en-US" w:eastAsia="zh-CN" w:bidi="ar-SA"/>
        </w:rPr>
      </w:pPr>
      <w:r>
        <w:rPr>
          <w:rFonts w:hint="eastAsia" w:ascii="黑体" w:hAnsi="黑体" w:eastAsia="黑体" w:cs="Times New Roman"/>
          <w:sz w:val="32"/>
          <w:szCs w:val="32"/>
          <w:lang w:val="en-US" w:eastAsia="zh-CN" w:bidi="ar-SA"/>
        </w:rPr>
        <w:t>一、起草背景</w:t>
      </w:r>
    </w:p>
    <w:p w14:paraId="1730907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rPr>
      </w:pPr>
      <w:r>
        <w:rPr>
          <w:rFonts w:hint="eastAsia" w:ascii="仿宋" w:hAnsi="仿宋" w:eastAsia="仿宋" w:cs="仿宋"/>
          <w:i w:val="0"/>
          <w:iCs w:val="0"/>
          <w:caps w:val="0"/>
          <w:color w:val="auto"/>
          <w:spacing w:val="0"/>
          <w:sz w:val="30"/>
          <w:szCs w:val="30"/>
          <w:shd w:val="clear" w:fill="FFFFFF"/>
        </w:rPr>
        <w:t>随着经济发展和产业结构的优化调整，服务业已成为诸暨市重要的经济增长点。为了进一步提升诸暨市服务业企业的综合竞争力，优化资源配置，推动服务业的高质量发展，需要对服务业企业进行全面、客观、科学的评价。为此，我们制定了《诸暨市服务业企业“亩产效益”综合评价实施办法》，旨在引导企业创新发展，提高亩产效益，增强服务业在区域经济发展中的支撑作用。</w:t>
      </w:r>
    </w:p>
    <w:p w14:paraId="78A0FF24">
      <w:pPr>
        <w:keepNext w:val="0"/>
        <w:keepLines w:val="0"/>
        <w:pageBreakBefore w:val="0"/>
        <w:widowControl w:val="0"/>
        <w:kinsoku/>
        <w:wordWrap/>
        <w:overflowPunct/>
        <w:topLinePunct w:val="0"/>
        <w:autoSpaceDE/>
        <w:autoSpaceDN/>
        <w:bidi w:val="0"/>
        <w:spacing w:beforeLines="-2147483648" w:afterLines="-2147483648" w:line="540" w:lineRule="exact"/>
        <w:ind w:left="640"/>
        <w:jc w:val="left"/>
        <w:textAlignment w:val="auto"/>
        <w:rPr>
          <w:rFonts w:hint="eastAsia" w:ascii="黑体" w:hAnsi="黑体" w:eastAsia="黑体" w:cs="Times New Roman"/>
          <w:sz w:val="32"/>
          <w:szCs w:val="32"/>
          <w:lang w:val="en-US" w:eastAsia="zh-CN" w:bidi="ar-SA"/>
        </w:rPr>
      </w:pPr>
      <w:r>
        <w:rPr>
          <w:rFonts w:hint="eastAsia" w:ascii="黑体" w:hAnsi="黑体" w:eastAsia="黑体" w:cs="Times New Roman"/>
          <w:sz w:val="32"/>
          <w:szCs w:val="32"/>
          <w:lang w:val="en-US" w:eastAsia="zh-CN" w:bidi="ar-SA"/>
        </w:rPr>
        <w:t>二、必要性</w:t>
      </w:r>
    </w:p>
    <w:p w14:paraId="62AA2D6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rPr>
      </w:pPr>
      <w:r>
        <w:rPr>
          <w:rFonts w:hint="eastAsia" w:ascii="仿宋" w:hAnsi="仿宋" w:eastAsia="仿宋" w:cs="仿宋"/>
          <w:i w:val="0"/>
          <w:iCs w:val="0"/>
          <w:caps w:val="0"/>
          <w:color w:val="auto"/>
          <w:spacing w:val="0"/>
          <w:sz w:val="30"/>
          <w:szCs w:val="30"/>
          <w:shd w:val="clear" w:fill="FFFFFF"/>
        </w:rPr>
        <w:t>当前，诸暨市服务业企业存在着发展水平不高、资源利用效率低下等问题，影响了企业的可持续发展。为了解决这些问题，我们需要制定科学的评价办法，以客观反映企业的综合实力和竞争力，并引导企业提高资源利用效率。本评价办法将通过</w:t>
      </w:r>
      <w:r>
        <w:rPr>
          <w:rFonts w:hint="eastAsia" w:ascii="仿宋" w:hAnsi="仿宋" w:eastAsia="仿宋" w:cs="仿宋"/>
          <w:i w:val="0"/>
          <w:iCs w:val="0"/>
          <w:caps w:val="0"/>
          <w:color w:val="auto"/>
          <w:spacing w:val="0"/>
          <w:sz w:val="30"/>
          <w:szCs w:val="30"/>
          <w:shd w:val="clear" w:fill="FFFFFF"/>
          <w:lang w:eastAsia="zh-CN"/>
        </w:rPr>
        <w:t>量化服务业企业各项经营</w:t>
      </w:r>
      <w:r>
        <w:rPr>
          <w:rFonts w:hint="eastAsia" w:ascii="仿宋" w:hAnsi="仿宋" w:eastAsia="仿宋" w:cs="仿宋"/>
          <w:i w:val="0"/>
          <w:iCs w:val="0"/>
          <w:caps w:val="0"/>
          <w:color w:val="auto"/>
          <w:spacing w:val="0"/>
          <w:sz w:val="30"/>
          <w:szCs w:val="30"/>
          <w:shd w:val="clear" w:fill="FFFFFF"/>
        </w:rPr>
        <w:t>指标的方式，对企业进行全面、客观、科学的评价，为政府决策和企业发展提供有力支持。</w:t>
      </w:r>
    </w:p>
    <w:p w14:paraId="003709CB">
      <w:pPr>
        <w:keepNext w:val="0"/>
        <w:keepLines w:val="0"/>
        <w:pageBreakBefore w:val="0"/>
        <w:widowControl w:val="0"/>
        <w:kinsoku/>
        <w:wordWrap/>
        <w:overflowPunct/>
        <w:topLinePunct w:val="0"/>
        <w:autoSpaceDE/>
        <w:autoSpaceDN/>
        <w:bidi w:val="0"/>
        <w:spacing w:beforeLines="-2147483648" w:afterLines="-2147483648" w:line="540" w:lineRule="exact"/>
        <w:ind w:left="640"/>
        <w:jc w:val="left"/>
        <w:textAlignment w:val="auto"/>
        <w:rPr>
          <w:rFonts w:hint="eastAsia" w:ascii="黑体" w:hAnsi="黑体" w:eastAsia="黑体" w:cs="Times New Roman"/>
          <w:sz w:val="32"/>
          <w:szCs w:val="32"/>
          <w:lang w:val="en-US" w:eastAsia="zh-CN" w:bidi="ar-SA"/>
        </w:rPr>
      </w:pPr>
      <w:r>
        <w:rPr>
          <w:rFonts w:hint="eastAsia" w:ascii="黑体" w:hAnsi="黑体" w:eastAsia="黑体" w:cs="Times New Roman"/>
          <w:sz w:val="32"/>
          <w:szCs w:val="32"/>
          <w:lang w:val="en-US" w:eastAsia="zh-CN" w:bidi="ar-SA"/>
        </w:rPr>
        <w:t>三、起草依据</w:t>
      </w:r>
    </w:p>
    <w:p w14:paraId="0D31EF2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rPr>
      </w:pPr>
      <w:r>
        <w:rPr>
          <w:rFonts w:hint="eastAsia" w:ascii="仿宋" w:hAnsi="仿宋" w:eastAsia="仿宋" w:cs="仿宋"/>
          <w:i w:val="0"/>
          <w:iCs w:val="0"/>
          <w:caps w:val="0"/>
          <w:color w:val="auto"/>
          <w:spacing w:val="0"/>
          <w:sz w:val="30"/>
          <w:szCs w:val="30"/>
          <w:shd w:val="clear" w:fill="FFFFFF"/>
        </w:rPr>
        <w:t>在制定本评价办法的过程中，我们参考了《推进我省规模以上服务业企业开展亩产效益综合评价工作的指导意见（试行）》（浙发改经贸〔2018〕689号）</w:t>
      </w:r>
      <w:r>
        <w:rPr>
          <w:rFonts w:hint="eastAsia" w:ascii="仿宋" w:hAnsi="仿宋" w:eastAsia="仿宋" w:cs="仿宋"/>
          <w:i w:val="0"/>
          <w:iCs w:val="0"/>
          <w:caps w:val="0"/>
          <w:color w:val="auto"/>
          <w:spacing w:val="0"/>
          <w:sz w:val="30"/>
          <w:szCs w:val="30"/>
          <w:shd w:val="clear" w:fill="FFFFFF"/>
          <w:lang w:eastAsia="zh-CN"/>
        </w:rPr>
        <w:t>、</w:t>
      </w:r>
      <w:r>
        <w:rPr>
          <w:rFonts w:hint="eastAsia" w:ascii="仿宋" w:hAnsi="仿宋" w:eastAsia="仿宋" w:cs="仿宋"/>
          <w:i w:val="0"/>
          <w:iCs w:val="0"/>
          <w:caps w:val="0"/>
          <w:color w:val="auto"/>
          <w:spacing w:val="0"/>
          <w:sz w:val="30"/>
          <w:szCs w:val="30"/>
          <w:shd w:val="clear" w:fill="FFFFFF"/>
        </w:rPr>
        <w:t>《关于开展绍兴市服务业企业“亩产效益”综合评价工作的实施意见》（绍市服务〔2019〕1号）</w:t>
      </w:r>
      <w:r>
        <w:rPr>
          <w:rFonts w:hint="eastAsia" w:ascii="仿宋" w:hAnsi="仿宋" w:eastAsia="仿宋" w:cs="仿宋"/>
          <w:i w:val="0"/>
          <w:iCs w:val="0"/>
          <w:caps w:val="0"/>
          <w:color w:val="auto"/>
          <w:spacing w:val="0"/>
          <w:sz w:val="30"/>
          <w:szCs w:val="30"/>
          <w:shd w:val="clear" w:fill="FFFFFF"/>
          <w:lang w:eastAsia="zh-CN"/>
        </w:rPr>
        <w:t>、</w:t>
      </w:r>
      <w:r>
        <w:rPr>
          <w:rFonts w:hint="eastAsia" w:ascii="仿宋" w:hAnsi="仿宋" w:eastAsia="仿宋" w:cs="仿宋"/>
          <w:i w:val="0"/>
          <w:iCs w:val="0"/>
          <w:caps w:val="0"/>
          <w:color w:val="auto"/>
          <w:spacing w:val="0"/>
          <w:sz w:val="30"/>
          <w:szCs w:val="30"/>
          <w:shd w:val="clear" w:fill="FFFFFF"/>
        </w:rPr>
        <w:t>《诸暨现代服务业发展“十四五”规划》(诸政办发〔2021〕49号)</w:t>
      </w:r>
      <w:r>
        <w:rPr>
          <w:rFonts w:hint="eastAsia" w:ascii="仿宋" w:hAnsi="仿宋" w:eastAsia="仿宋" w:cs="仿宋"/>
          <w:i w:val="0"/>
          <w:iCs w:val="0"/>
          <w:caps w:val="0"/>
          <w:color w:val="auto"/>
          <w:spacing w:val="0"/>
          <w:sz w:val="30"/>
          <w:szCs w:val="30"/>
          <w:shd w:val="clear" w:fill="FFFFFF"/>
          <w:lang w:eastAsia="zh-CN"/>
        </w:rPr>
        <w:t>、</w:t>
      </w:r>
      <w:r>
        <w:rPr>
          <w:rFonts w:hint="eastAsia" w:ascii="仿宋" w:hAnsi="仿宋" w:eastAsia="仿宋" w:cs="仿宋"/>
          <w:i w:val="0"/>
          <w:iCs w:val="0"/>
          <w:caps w:val="0"/>
          <w:color w:val="auto"/>
          <w:spacing w:val="0"/>
          <w:sz w:val="30"/>
          <w:szCs w:val="30"/>
          <w:shd w:val="clear" w:fill="FFFFFF"/>
        </w:rPr>
        <w:t>《诸暨市加快现代服务业高质量发展若干政策》等相关政策、文件和数据。同时，我们还借鉴了国内外先进的评价理念和方法，结合诸暨市服务业企业的实际情况，制定了本评价办法。</w:t>
      </w:r>
    </w:p>
    <w:p w14:paraId="726AEBB0">
      <w:pPr>
        <w:keepNext w:val="0"/>
        <w:keepLines w:val="0"/>
        <w:pageBreakBefore w:val="0"/>
        <w:widowControl w:val="0"/>
        <w:kinsoku/>
        <w:wordWrap/>
        <w:overflowPunct/>
        <w:topLinePunct w:val="0"/>
        <w:autoSpaceDE/>
        <w:autoSpaceDN/>
        <w:bidi w:val="0"/>
        <w:spacing w:beforeLines="-2147483648" w:afterLines="-2147483648" w:line="540" w:lineRule="exact"/>
        <w:ind w:left="640"/>
        <w:jc w:val="left"/>
        <w:textAlignment w:val="auto"/>
        <w:rPr>
          <w:rFonts w:hint="eastAsia" w:ascii="黑体" w:hAnsi="黑体" w:eastAsia="黑体" w:cs="Times New Roman"/>
          <w:sz w:val="32"/>
          <w:szCs w:val="32"/>
          <w:lang w:val="en-US" w:eastAsia="zh-CN" w:bidi="ar-SA"/>
        </w:rPr>
      </w:pPr>
      <w:r>
        <w:rPr>
          <w:rFonts w:hint="eastAsia" w:ascii="黑体" w:hAnsi="黑体" w:eastAsia="黑体" w:cs="Times New Roman"/>
          <w:sz w:val="32"/>
          <w:szCs w:val="32"/>
          <w:lang w:val="en-US" w:eastAsia="zh-CN" w:bidi="ar-SA"/>
        </w:rPr>
        <w:t>四、起草过程</w:t>
      </w:r>
    </w:p>
    <w:p w14:paraId="2451BB9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rPr>
      </w:pPr>
      <w:r>
        <w:rPr>
          <w:rFonts w:hint="eastAsia" w:ascii="仿宋" w:hAnsi="仿宋" w:eastAsia="仿宋" w:cs="仿宋"/>
          <w:i w:val="0"/>
          <w:iCs w:val="0"/>
          <w:caps w:val="0"/>
          <w:color w:val="auto"/>
          <w:spacing w:val="0"/>
          <w:sz w:val="30"/>
          <w:szCs w:val="30"/>
          <w:shd w:val="clear" w:fill="FFFFFF"/>
          <w:lang w:eastAsia="zh-CN"/>
        </w:rPr>
        <w:t>我市根据</w:t>
      </w:r>
      <w:r>
        <w:rPr>
          <w:rFonts w:hint="eastAsia" w:ascii="仿宋" w:hAnsi="仿宋" w:eastAsia="仿宋" w:cs="仿宋"/>
          <w:i w:val="0"/>
          <w:iCs w:val="0"/>
          <w:caps w:val="0"/>
          <w:color w:val="auto"/>
          <w:spacing w:val="0"/>
          <w:sz w:val="30"/>
          <w:szCs w:val="30"/>
          <w:shd w:val="clear" w:fill="FFFFFF"/>
        </w:rPr>
        <w:t>工作</w:t>
      </w:r>
      <w:r>
        <w:rPr>
          <w:rFonts w:hint="eastAsia" w:ascii="仿宋" w:hAnsi="仿宋" w:eastAsia="仿宋" w:cs="仿宋"/>
          <w:i w:val="0"/>
          <w:iCs w:val="0"/>
          <w:caps w:val="0"/>
          <w:color w:val="auto"/>
          <w:spacing w:val="0"/>
          <w:sz w:val="30"/>
          <w:szCs w:val="30"/>
          <w:shd w:val="clear" w:fill="FFFFFF"/>
          <w:lang w:eastAsia="zh-CN"/>
        </w:rPr>
        <w:t>需要</w:t>
      </w:r>
      <w:r>
        <w:rPr>
          <w:rFonts w:hint="eastAsia" w:ascii="仿宋" w:hAnsi="仿宋" w:eastAsia="仿宋" w:cs="仿宋"/>
          <w:i w:val="0"/>
          <w:iCs w:val="0"/>
          <w:caps w:val="0"/>
          <w:color w:val="auto"/>
          <w:spacing w:val="0"/>
          <w:sz w:val="30"/>
          <w:szCs w:val="30"/>
          <w:shd w:val="clear" w:fill="FFFFFF"/>
        </w:rPr>
        <w:t>开展服务业</w:t>
      </w:r>
      <w:r>
        <w:rPr>
          <w:rFonts w:hint="eastAsia" w:ascii="仿宋" w:hAnsi="仿宋" w:eastAsia="仿宋" w:cs="仿宋"/>
          <w:i w:val="0"/>
          <w:iCs w:val="0"/>
          <w:caps w:val="0"/>
          <w:color w:val="auto"/>
          <w:spacing w:val="0"/>
          <w:sz w:val="30"/>
          <w:szCs w:val="30"/>
          <w:shd w:val="clear" w:fill="FFFFFF"/>
          <w:lang w:eastAsia="zh-CN"/>
        </w:rPr>
        <w:t>规上</w:t>
      </w:r>
      <w:r>
        <w:rPr>
          <w:rFonts w:hint="eastAsia" w:ascii="仿宋" w:hAnsi="仿宋" w:eastAsia="仿宋" w:cs="仿宋"/>
          <w:i w:val="0"/>
          <w:iCs w:val="0"/>
          <w:caps w:val="0"/>
          <w:color w:val="auto"/>
          <w:spacing w:val="0"/>
          <w:sz w:val="30"/>
          <w:szCs w:val="30"/>
          <w:shd w:val="clear" w:fill="FFFFFF"/>
        </w:rPr>
        <w:t>企业</w:t>
      </w:r>
      <w:r>
        <w:rPr>
          <w:rFonts w:hint="eastAsia" w:ascii="仿宋" w:hAnsi="仿宋" w:eastAsia="仿宋" w:cs="仿宋"/>
          <w:i w:val="0"/>
          <w:iCs w:val="0"/>
          <w:caps w:val="0"/>
          <w:color w:val="auto"/>
          <w:spacing w:val="0"/>
          <w:sz w:val="30"/>
          <w:szCs w:val="30"/>
          <w:shd w:val="clear" w:fill="FFFFFF"/>
          <w:lang w:eastAsia="zh-CN"/>
        </w:rPr>
        <w:t>“</w:t>
      </w:r>
      <w:r>
        <w:rPr>
          <w:rFonts w:hint="eastAsia" w:ascii="仿宋" w:hAnsi="仿宋" w:eastAsia="仿宋" w:cs="仿宋"/>
          <w:i w:val="0"/>
          <w:iCs w:val="0"/>
          <w:caps w:val="0"/>
          <w:color w:val="auto"/>
          <w:spacing w:val="0"/>
          <w:sz w:val="30"/>
          <w:szCs w:val="30"/>
          <w:shd w:val="clear" w:fill="FFFFFF"/>
        </w:rPr>
        <w:t>亩产效益</w:t>
      </w:r>
      <w:r>
        <w:rPr>
          <w:rFonts w:hint="eastAsia" w:ascii="仿宋" w:hAnsi="仿宋" w:eastAsia="仿宋" w:cs="仿宋"/>
          <w:i w:val="0"/>
          <w:iCs w:val="0"/>
          <w:caps w:val="0"/>
          <w:color w:val="auto"/>
          <w:spacing w:val="0"/>
          <w:sz w:val="30"/>
          <w:szCs w:val="30"/>
          <w:shd w:val="clear" w:fill="FFFFFF"/>
          <w:lang w:eastAsia="zh-CN"/>
        </w:rPr>
        <w:t>”</w:t>
      </w:r>
      <w:r>
        <w:rPr>
          <w:rFonts w:hint="eastAsia" w:ascii="仿宋" w:hAnsi="仿宋" w:eastAsia="仿宋" w:cs="仿宋"/>
          <w:i w:val="0"/>
          <w:iCs w:val="0"/>
          <w:caps w:val="0"/>
          <w:color w:val="auto"/>
          <w:spacing w:val="0"/>
          <w:sz w:val="30"/>
          <w:szCs w:val="30"/>
          <w:shd w:val="clear" w:fill="FFFFFF"/>
        </w:rPr>
        <w:t>综合评价工作。在</w:t>
      </w:r>
      <w:r>
        <w:rPr>
          <w:rFonts w:hint="eastAsia" w:ascii="仿宋" w:hAnsi="仿宋" w:eastAsia="仿宋" w:cs="仿宋"/>
          <w:i w:val="0"/>
          <w:iCs w:val="0"/>
          <w:caps w:val="0"/>
          <w:color w:val="auto"/>
          <w:spacing w:val="0"/>
          <w:sz w:val="30"/>
          <w:szCs w:val="30"/>
          <w:shd w:val="clear" w:fill="FFFFFF"/>
          <w:lang w:eastAsia="zh-CN"/>
        </w:rPr>
        <w:t>去年</w:t>
      </w:r>
      <w:r>
        <w:rPr>
          <w:rFonts w:hint="eastAsia" w:ascii="仿宋" w:hAnsi="仿宋" w:eastAsia="仿宋" w:cs="仿宋"/>
          <w:i w:val="0"/>
          <w:iCs w:val="0"/>
          <w:caps w:val="0"/>
          <w:color w:val="auto"/>
          <w:spacing w:val="0"/>
          <w:sz w:val="30"/>
          <w:szCs w:val="30"/>
          <w:shd w:val="clear" w:fill="FFFFFF"/>
        </w:rPr>
        <w:t>实施办法基础上，邀请第三方机构，结合</w:t>
      </w:r>
      <w:r>
        <w:rPr>
          <w:rFonts w:hint="eastAsia" w:ascii="仿宋" w:hAnsi="仿宋" w:eastAsia="仿宋" w:cs="仿宋"/>
          <w:i w:val="0"/>
          <w:iCs w:val="0"/>
          <w:caps w:val="0"/>
          <w:color w:val="auto"/>
          <w:spacing w:val="0"/>
          <w:sz w:val="30"/>
          <w:szCs w:val="30"/>
          <w:shd w:val="clear" w:fill="FFFFFF"/>
          <w:lang w:eastAsia="zh-CN"/>
        </w:rPr>
        <w:t>我市</w:t>
      </w:r>
      <w:r>
        <w:rPr>
          <w:rFonts w:hint="eastAsia" w:ascii="仿宋" w:hAnsi="仿宋" w:eastAsia="仿宋" w:cs="仿宋"/>
          <w:i w:val="0"/>
          <w:iCs w:val="0"/>
          <w:caps w:val="0"/>
          <w:color w:val="auto"/>
          <w:spacing w:val="0"/>
          <w:sz w:val="30"/>
          <w:szCs w:val="30"/>
          <w:shd w:val="clear" w:fill="FFFFFF"/>
        </w:rPr>
        <w:t>实际形成</w:t>
      </w:r>
      <w:r>
        <w:rPr>
          <w:rFonts w:hint="eastAsia" w:ascii="仿宋" w:hAnsi="仿宋" w:eastAsia="仿宋" w:cs="仿宋"/>
          <w:i w:val="0"/>
          <w:iCs w:val="0"/>
          <w:caps w:val="0"/>
          <w:color w:val="auto"/>
          <w:spacing w:val="0"/>
          <w:sz w:val="30"/>
          <w:szCs w:val="30"/>
          <w:shd w:val="clear" w:fill="FFFFFF"/>
          <w:lang w:val="en-US" w:eastAsia="zh-CN"/>
        </w:rPr>
        <w:t>2023年</w:t>
      </w:r>
      <w:r>
        <w:rPr>
          <w:rFonts w:hint="eastAsia" w:ascii="仿宋" w:hAnsi="仿宋" w:eastAsia="仿宋" w:cs="仿宋"/>
          <w:i w:val="0"/>
          <w:iCs w:val="0"/>
          <w:caps w:val="0"/>
          <w:color w:val="auto"/>
          <w:spacing w:val="0"/>
          <w:sz w:val="30"/>
          <w:szCs w:val="30"/>
          <w:shd w:val="clear" w:fill="FFFFFF"/>
        </w:rPr>
        <w:t>实施办法（征求意见稿），发各镇（街道）、</w:t>
      </w:r>
      <w:r>
        <w:rPr>
          <w:rFonts w:hint="eastAsia" w:ascii="仿宋" w:hAnsi="仿宋" w:eastAsia="仿宋" w:cs="仿宋"/>
          <w:i w:val="0"/>
          <w:iCs w:val="0"/>
          <w:caps w:val="0"/>
          <w:color w:val="auto"/>
          <w:spacing w:val="0"/>
          <w:sz w:val="30"/>
          <w:szCs w:val="30"/>
          <w:shd w:val="clear" w:fill="FFFFFF"/>
          <w:lang w:eastAsia="zh-CN"/>
        </w:rPr>
        <w:t>市</w:t>
      </w:r>
      <w:r>
        <w:rPr>
          <w:rFonts w:hint="eastAsia" w:ascii="仿宋" w:hAnsi="仿宋" w:eastAsia="仿宋" w:cs="仿宋"/>
          <w:i w:val="0"/>
          <w:iCs w:val="0"/>
          <w:caps w:val="0"/>
          <w:color w:val="auto"/>
          <w:spacing w:val="0"/>
          <w:sz w:val="30"/>
          <w:szCs w:val="30"/>
          <w:shd w:val="clear" w:fill="FFFFFF"/>
        </w:rPr>
        <w:t>级相关部门征求意见，结合初评结果对</w:t>
      </w:r>
      <w:r>
        <w:rPr>
          <w:rFonts w:hint="eastAsia" w:ascii="仿宋" w:hAnsi="仿宋" w:eastAsia="仿宋" w:cs="仿宋"/>
          <w:i w:val="0"/>
          <w:iCs w:val="0"/>
          <w:caps w:val="0"/>
          <w:color w:val="auto"/>
          <w:spacing w:val="0"/>
          <w:sz w:val="30"/>
          <w:szCs w:val="30"/>
          <w:shd w:val="clear" w:fill="FFFFFF"/>
          <w:lang w:eastAsia="zh-CN"/>
        </w:rPr>
        <w:t>实施办法</w:t>
      </w:r>
      <w:r>
        <w:rPr>
          <w:rFonts w:hint="eastAsia" w:ascii="仿宋" w:hAnsi="仿宋" w:eastAsia="仿宋" w:cs="仿宋"/>
          <w:i w:val="0"/>
          <w:iCs w:val="0"/>
          <w:caps w:val="0"/>
          <w:color w:val="auto"/>
          <w:spacing w:val="0"/>
          <w:sz w:val="30"/>
          <w:szCs w:val="30"/>
          <w:shd w:val="clear" w:fill="FFFFFF"/>
        </w:rPr>
        <w:t>进行深入修改，报部门主要领导同意后，形成上会讨论稿。</w:t>
      </w:r>
    </w:p>
    <w:p w14:paraId="3661CE69">
      <w:pPr>
        <w:keepNext w:val="0"/>
        <w:keepLines w:val="0"/>
        <w:pageBreakBefore w:val="0"/>
        <w:widowControl w:val="0"/>
        <w:kinsoku/>
        <w:wordWrap/>
        <w:overflowPunct/>
        <w:topLinePunct w:val="0"/>
        <w:autoSpaceDE/>
        <w:autoSpaceDN/>
        <w:bidi w:val="0"/>
        <w:spacing w:beforeLines="-2147483648" w:afterLines="-2147483648" w:line="540" w:lineRule="exact"/>
        <w:ind w:left="640"/>
        <w:jc w:val="left"/>
        <w:textAlignment w:val="auto"/>
        <w:rPr>
          <w:rFonts w:hint="eastAsia" w:ascii="黑体" w:hAnsi="黑体" w:eastAsia="黑体" w:cs="Times New Roman"/>
          <w:sz w:val="32"/>
          <w:szCs w:val="32"/>
          <w:lang w:val="en-US" w:eastAsia="zh-CN" w:bidi="ar-SA"/>
        </w:rPr>
      </w:pPr>
      <w:r>
        <w:rPr>
          <w:rFonts w:hint="eastAsia" w:ascii="黑体" w:hAnsi="黑体" w:eastAsia="黑体" w:cs="Times New Roman"/>
          <w:sz w:val="32"/>
          <w:szCs w:val="32"/>
          <w:lang w:val="en-US" w:eastAsia="zh-CN" w:bidi="ar-SA"/>
        </w:rPr>
        <w:t>五、主要内容</w:t>
      </w:r>
    </w:p>
    <w:p w14:paraId="3D99B9F1">
      <w:pPr>
        <w:keepNext w:val="0"/>
        <w:keepLines w:val="0"/>
        <w:pageBreakBefore w:val="0"/>
        <w:widowControl/>
        <w:kinsoku/>
        <w:wordWrap/>
        <w:overflowPunct/>
        <w:topLinePunct w:val="0"/>
        <w:autoSpaceDE/>
        <w:autoSpaceDN/>
        <w:bidi w:val="0"/>
        <w:adjustRightInd/>
        <w:snapToGrid/>
        <w:spacing w:beforeLines="0" w:afterLines="0" w:line="540" w:lineRule="exact"/>
        <w:ind w:firstLine="643" w:firstLineChars="200"/>
        <w:jc w:val="left"/>
        <w:textAlignment w:val="auto"/>
        <w:rPr>
          <w:rFonts w:hint="eastAsia" w:ascii="楷体" w:hAnsi="楷体" w:eastAsia="楷体" w:cs="楷体"/>
          <w:b/>
          <w:bCs/>
          <w:sz w:val="32"/>
          <w:szCs w:val="32"/>
          <w:lang w:val="en-US" w:eastAsia="zh-CN" w:bidi="ar-SA"/>
        </w:rPr>
      </w:pPr>
      <w:r>
        <w:rPr>
          <w:rFonts w:hint="eastAsia" w:ascii="楷体" w:hAnsi="楷体" w:eastAsia="楷体" w:cs="楷体"/>
          <w:b/>
          <w:bCs/>
          <w:sz w:val="32"/>
          <w:szCs w:val="32"/>
          <w:lang w:val="en-US" w:eastAsia="zh-CN" w:bidi="ar-SA"/>
        </w:rPr>
        <w:t>（一）关于评价对象</w:t>
      </w:r>
    </w:p>
    <w:p w14:paraId="7F29108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lang w:eastAsia="zh-CN"/>
        </w:rPr>
      </w:pPr>
      <w:r>
        <w:rPr>
          <w:rFonts w:hint="eastAsia" w:ascii="仿宋" w:hAnsi="仿宋" w:eastAsia="仿宋" w:cs="仿宋"/>
          <w:i w:val="0"/>
          <w:iCs w:val="0"/>
          <w:caps w:val="0"/>
          <w:color w:val="auto"/>
          <w:spacing w:val="0"/>
          <w:sz w:val="30"/>
          <w:szCs w:val="30"/>
          <w:shd w:val="clear" w:fill="FFFFFF"/>
          <w:lang w:eastAsia="zh-CN"/>
        </w:rPr>
        <w:t>服务业企业“亩产效益”综合评价的主要对象是</w:t>
      </w:r>
      <w:r>
        <w:rPr>
          <w:rFonts w:hint="eastAsia" w:ascii="仿宋" w:hAnsi="仿宋" w:eastAsia="仿宋" w:cs="仿宋"/>
          <w:i w:val="0"/>
          <w:iCs w:val="0"/>
          <w:caps w:val="0"/>
          <w:color w:val="auto"/>
          <w:spacing w:val="0"/>
          <w:sz w:val="30"/>
          <w:szCs w:val="30"/>
          <w:shd w:val="clear" w:fill="FFFFFF"/>
        </w:rPr>
        <w:t>规模以上、限额以上服务业企业，</w:t>
      </w:r>
      <w:r>
        <w:rPr>
          <w:rFonts w:hint="eastAsia" w:ascii="仿宋" w:hAnsi="仿宋" w:eastAsia="仿宋" w:cs="仿宋"/>
          <w:i w:val="0"/>
          <w:iCs w:val="0"/>
          <w:caps w:val="0"/>
          <w:color w:val="auto"/>
          <w:spacing w:val="0"/>
          <w:sz w:val="30"/>
          <w:szCs w:val="30"/>
          <w:shd w:val="clear" w:fill="FFFFFF"/>
          <w:lang w:eastAsia="zh-CN"/>
        </w:rPr>
        <w:t>不包括</w:t>
      </w:r>
      <w:r>
        <w:rPr>
          <w:rFonts w:hint="eastAsia" w:ascii="仿宋" w:hAnsi="仿宋" w:eastAsia="仿宋" w:cs="仿宋"/>
          <w:i w:val="0"/>
          <w:iCs w:val="0"/>
          <w:caps w:val="0"/>
          <w:color w:val="auto"/>
          <w:spacing w:val="0"/>
          <w:sz w:val="30"/>
          <w:szCs w:val="30"/>
          <w:shd w:val="clear" w:fill="FFFFFF"/>
        </w:rPr>
        <w:t>银行证券保险、房地产开发经营、农村经济合作社、公共资产管理、承担社会公共服务职能和公益性质等领域企业</w:t>
      </w:r>
      <w:r>
        <w:rPr>
          <w:rFonts w:hint="eastAsia" w:ascii="仿宋" w:hAnsi="仿宋" w:eastAsia="仿宋" w:cs="仿宋"/>
          <w:i w:val="0"/>
          <w:iCs w:val="0"/>
          <w:caps w:val="0"/>
          <w:color w:val="auto"/>
          <w:spacing w:val="0"/>
          <w:sz w:val="30"/>
          <w:szCs w:val="30"/>
          <w:shd w:val="clear" w:fill="FFFFFF"/>
          <w:lang w:eastAsia="zh-CN"/>
        </w:rPr>
        <w:t>，以及已破产、关停的企业。</w:t>
      </w:r>
    </w:p>
    <w:p w14:paraId="130243CC">
      <w:pPr>
        <w:keepNext w:val="0"/>
        <w:keepLines w:val="0"/>
        <w:pageBreakBefore w:val="0"/>
        <w:widowControl/>
        <w:kinsoku/>
        <w:wordWrap/>
        <w:overflowPunct/>
        <w:topLinePunct w:val="0"/>
        <w:autoSpaceDE/>
        <w:autoSpaceDN/>
        <w:bidi w:val="0"/>
        <w:adjustRightInd/>
        <w:snapToGrid/>
        <w:spacing w:beforeLines="0" w:afterLines="0" w:line="540" w:lineRule="exact"/>
        <w:ind w:firstLine="643" w:firstLineChars="200"/>
        <w:jc w:val="left"/>
        <w:textAlignment w:val="auto"/>
        <w:rPr>
          <w:rFonts w:hint="eastAsia" w:ascii="楷体" w:hAnsi="楷体" w:eastAsia="楷体" w:cs="楷体"/>
          <w:b/>
          <w:bCs/>
          <w:sz w:val="32"/>
          <w:szCs w:val="32"/>
          <w:lang w:val="en-US" w:eastAsia="zh-CN" w:bidi="ar-SA"/>
        </w:rPr>
      </w:pPr>
      <w:r>
        <w:rPr>
          <w:rFonts w:hint="eastAsia" w:ascii="楷体" w:hAnsi="楷体" w:eastAsia="楷体" w:cs="楷体"/>
          <w:b/>
          <w:bCs/>
          <w:sz w:val="32"/>
          <w:szCs w:val="32"/>
          <w:lang w:val="en-US" w:eastAsia="zh-CN" w:bidi="ar-SA"/>
        </w:rPr>
        <w:t>（二）关于评价办法</w:t>
      </w:r>
    </w:p>
    <w:p w14:paraId="0ED9EAF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lang w:eastAsia="zh-CN"/>
        </w:rPr>
      </w:pPr>
      <w:r>
        <w:rPr>
          <w:rFonts w:hint="eastAsia" w:ascii="仿宋" w:hAnsi="仿宋" w:eastAsia="仿宋" w:cs="仿宋"/>
          <w:i w:val="0"/>
          <w:iCs w:val="0"/>
          <w:caps w:val="0"/>
          <w:color w:val="auto"/>
          <w:spacing w:val="0"/>
          <w:sz w:val="30"/>
          <w:szCs w:val="30"/>
          <w:shd w:val="clear" w:fill="FFFFFF"/>
          <w:lang w:eastAsia="zh-CN"/>
        </w:rPr>
        <w:t>服务业企业按照规上企业和限上企业根据自有用地、非自有用地分别进行评价，其中规上企业又分为新兴服务业企业和其他服务业企业两类，限上企业分批发、零售、住宿、餐饮四类。与往年相比，今年的办法中对农林牧渔生产用地做了规定，对参与评价的涉农类企业更显公平。</w:t>
      </w:r>
    </w:p>
    <w:p w14:paraId="07DCDF6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评价指标方面，今年规上企业的评价指标调整为七项，在兼顾总量指标和相对指标的基础上，为体现企业在社会就业方面作出的贡献，增加了“就业贡献度”这一指标，同时总量指标和相对指标的权重基本平衡，整个评价体系更科学、更全面。限上企业的评价指标未做调整。</w:t>
      </w:r>
    </w:p>
    <w:p w14:paraId="672ABC8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highlight w:val="none"/>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评分分档方面，综合考虑社会大环境的影响和相关部门的意见，依旧延续往年的比</w:t>
      </w:r>
      <w:r>
        <w:rPr>
          <w:rFonts w:hint="eastAsia" w:ascii="仿宋" w:hAnsi="仿宋" w:eastAsia="仿宋" w:cs="仿宋"/>
          <w:i w:val="0"/>
          <w:iCs w:val="0"/>
          <w:caps w:val="0"/>
          <w:color w:val="auto"/>
          <w:spacing w:val="0"/>
          <w:sz w:val="30"/>
          <w:szCs w:val="30"/>
          <w:highlight w:val="none"/>
          <w:shd w:val="clear" w:fill="FFFFFF"/>
          <w:lang w:val="en-US" w:eastAsia="zh-CN"/>
        </w:rPr>
        <w:t>例，即A档占比10%，B档60%，C档25%，D档5%。</w:t>
      </w:r>
    </w:p>
    <w:p w14:paraId="5C0C24B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default"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同时，为综合反映企业的经济效益、社会效益和生态效益，结合企业在上市、科技创新、税收贡献、环境保护、安全生产等方面的实际情况，在评分分档基础上予以调档和提档。通过对去年评价结果的分析，发现高新技术企业提档对于新兴服务业企业的评价结果影响较大，评价分档比例严重失衡，因此，今年重新设定了该项的提档条件，仅排位为C、D类的国家级高新技术企业可提档。同时，评价办法对预退规退库企业、拒不配合企业以及数据缺失等情况均设定了对应处置内容。</w:t>
      </w:r>
    </w:p>
    <w:p w14:paraId="3F91444C">
      <w:pPr>
        <w:keepNext w:val="0"/>
        <w:keepLines w:val="0"/>
        <w:pageBreakBefore w:val="0"/>
        <w:widowControl/>
        <w:kinsoku/>
        <w:wordWrap/>
        <w:overflowPunct/>
        <w:topLinePunct w:val="0"/>
        <w:autoSpaceDE/>
        <w:autoSpaceDN/>
        <w:bidi w:val="0"/>
        <w:adjustRightInd/>
        <w:snapToGrid/>
        <w:spacing w:beforeLines="0" w:afterLines="0" w:line="540" w:lineRule="exact"/>
        <w:ind w:firstLine="643" w:firstLineChars="200"/>
        <w:jc w:val="left"/>
        <w:textAlignment w:val="auto"/>
        <w:rPr>
          <w:rFonts w:hint="eastAsia" w:ascii="楷体" w:hAnsi="楷体" w:eastAsia="楷体" w:cs="楷体"/>
          <w:b/>
          <w:bCs/>
          <w:sz w:val="32"/>
          <w:szCs w:val="32"/>
          <w:lang w:val="en-US" w:eastAsia="zh-CN" w:bidi="ar-SA"/>
        </w:rPr>
      </w:pPr>
      <w:r>
        <w:rPr>
          <w:rFonts w:hint="eastAsia" w:ascii="楷体" w:hAnsi="楷体" w:eastAsia="楷体" w:cs="楷体"/>
          <w:b/>
          <w:bCs/>
          <w:sz w:val="32"/>
          <w:szCs w:val="32"/>
          <w:lang w:val="en-US" w:eastAsia="zh-CN" w:bidi="ar-SA"/>
        </w:rPr>
        <w:t>（三）关于结果应用</w:t>
      </w:r>
    </w:p>
    <w:p w14:paraId="02CA2AD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rPr>
      </w:pPr>
      <w:r>
        <w:rPr>
          <w:rFonts w:hint="eastAsia" w:ascii="仿宋" w:hAnsi="仿宋" w:eastAsia="仿宋" w:cs="仿宋"/>
          <w:i w:val="0"/>
          <w:iCs w:val="0"/>
          <w:caps w:val="0"/>
          <w:color w:val="auto"/>
          <w:spacing w:val="0"/>
          <w:sz w:val="30"/>
          <w:szCs w:val="30"/>
          <w:shd w:val="clear" w:fill="FFFFFF"/>
        </w:rPr>
        <w:t>根据评价结果</w:t>
      </w:r>
      <w:r>
        <w:rPr>
          <w:rFonts w:hint="eastAsia" w:ascii="仿宋" w:hAnsi="仿宋" w:eastAsia="仿宋" w:cs="仿宋"/>
          <w:i w:val="0"/>
          <w:iCs w:val="0"/>
          <w:caps w:val="0"/>
          <w:color w:val="auto"/>
          <w:spacing w:val="0"/>
          <w:sz w:val="30"/>
          <w:szCs w:val="30"/>
          <w:shd w:val="clear" w:fill="FFFFFF"/>
          <w:lang w:val="en-US" w:eastAsia="zh-CN"/>
        </w:rPr>
        <w:t>等级的不同，参照相关文件对企业在土地、财政等方面执行资源要素差别化政策，</w:t>
      </w:r>
      <w:r>
        <w:rPr>
          <w:rFonts w:hint="eastAsia" w:ascii="仿宋" w:hAnsi="仿宋" w:eastAsia="仿宋" w:cs="仿宋"/>
          <w:i w:val="0"/>
          <w:iCs w:val="0"/>
          <w:caps w:val="0"/>
          <w:color w:val="auto"/>
          <w:spacing w:val="0"/>
          <w:sz w:val="30"/>
          <w:szCs w:val="30"/>
          <w:shd w:val="clear" w:fill="FFFFFF"/>
        </w:rPr>
        <w:t>以鼓励企业提升综合竞争力和亩产效益。</w:t>
      </w:r>
    </w:p>
    <w:p w14:paraId="27206E7C">
      <w:pPr>
        <w:keepNext w:val="0"/>
        <w:keepLines w:val="0"/>
        <w:pageBreakBefore w:val="0"/>
        <w:widowControl/>
        <w:kinsoku/>
        <w:wordWrap/>
        <w:overflowPunct/>
        <w:topLinePunct w:val="0"/>
        <w:autoSpaceDE/>
        <w:autoSpaceDN/>
        <w:bidi w:val="0"/>
        <w:adjustRightInd/>
        <w:snapToGrid/>
        <w:spacing w:beforeLines="0" w:afterLines="0" w:line="540" w:lineRule="exact"/>
        <w:ind w:firstLine="643" w:firstLineChars="200"/>
        <w:jc w:val="left"/>
        <w:textAlignment w:val="auto"/>
        <w:rPr>
          <w:rFonts w:hint="eastAsia" w:ascii="楷体" w:hAnsi="楷体" w:eastAsia="楷体" w:cs="楷体"/>
          <w:b/>
          <w:bCs/>
          <w:sz w:val="32"/>
          <w:szCs w:val="32"/>
          <w:lang w:val="en-US" w:eastAsia="zh-CN" w:bidi="ar-SA"/>
        </w:rPr>
      </w:pPr>
      <w:r>
        <w:rPr>
          <w:rFonts w:hint="eastAsia" w:ascii="楷体" w:hAnsi="楷体" w:eastAsia="楷体" w:cs="楷体"/>
          <w:b/>
          <w:bCs/>
          <w:sz w:val="32"/>
          <w:szCs w:val="32"/>
          <w:lang w:val="en-US" w:eastAsia="zh-CN" w:bidi="ar-SA"/>
        </w:rPr>
        <w:t>（四）修订内容</w:t>
      </w:r>
    </w:p>
    <w:p w14:paraId="46C17EF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1.因为没有相关判定标准，因此删除不参评类型中的“涉农企业”，增加条款“直接用于农、林、牧、渔业的生产用地不计入评价面积”。</w:t>
      </w:r>
    </w:p>
    <w:p w14:paraId="01B9483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2.部分条款做了对象限定，如“已纳入工业企业亩均评价范围的，……原则上不再参与服务业‘亩产效益’综合评价”、“以土地面积形式承租的，按自有用地企业评价”等仅适用于规上服务业企业。</w:t>
      </w:r>
    </w:p>
    <w:p w14:paraId="21F445C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3.考虑评价结果的应用，已破产、已关停企业不参与评价。同时对于预退规退库企业，不得进入A、B档。</w:t>
      </w:r>
    </w:p>
    <w:p w14:paraId="5E0D790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4.为使评价体系更科学，结合实际工作需求，规上服务业评价指标减少了亩均增加值、人均营业收入2项，增加了营业收入、亩均营业收入、就业贡献度（就业贡献度=企业平均用工人数/全市纳入评价的企业平均用工人数）3项。指标权重做了调整，总量指标权重适当提升，与相对指标权重相当。</w:t>
      </w:r>
    </w:p>
    <w:p w14:paraId="3791F72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default"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5.为使评价结果更合理，避免因部分条款导致评价分档比例失衡，结合往年评价数据，将“有效期内的国家级服务业企高新技术企业……可提一档”调整为“有效期内的国家级服务业企高新技术企业排位为C、D类的可提一档”。</w:t>
      </w:r>
    </w:p>
    <w:p w14:paraId="485AA74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6.增加低效企业的判定标准，由原先“当年度本地税收实际贡献低于10万元的企业……不得列入A、B档”调整为“当年度本地税收实际贡献低于10万元或亩均税收低于1万元/亩（万元/百平米的企业……不得列入A、B档）”。</w:t>
      </w:r>
    </w:p>
    <w:p w14:paraId="641E7DD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default" w:ascii="仿宋" w:hAnsi="仿宋" w:eastAsia="仿宋" w:cs="仿宋"/>
          <w:i w:val="0"/>
          <w:iCs w:val="0"/>
          <w:caps w:val="0"/>
          <w:color w:val="auto"/>
          <w:spacing w:val="0"/>
          <w:sz w:val="30"/>
          <w:szCs w:val="30"/>
          <w:shd w:val="clear" w:fill="FFFFFF"/>
          <w:lang w:val="en-US" w:eastAsia="zh-CN"/>
        </w:rPr>
      </w:pPr>
      <w:r>
        <w:rPr>
          <w:rFonts w:hint="eastAsia" w:ascii="仿宋" w:hAnsi="仿宋" w:eastAsia="仿宋" w:cs="仿宋"/>
          <w:i w:val="0"/>
          <w:iCs w:val="0"/>
          <w:caps w:val="0"/>
          <w:color w:val="auto"/>
          <w:spacing w:val="0"/>
          <w:sz w:val="30"/>
          <w:szCs w:val="30"/>
          <w:shd w:val="clear" w:fill="FFFFFF"/>
          <w:lang w:val="en-US" w:eastAsia="zh-CN"/>
        </w:rPr>
        <w:t>7.明确对不配合企业的处理办法，“属于评价对象却拒不配合提供相关资料数据或瞒报、故意漏报及逃避评价的企业，不列入A、B档，缺失数据或税收数据为负值的指标值按0处理”。</w:t>
      </w:r>
    </w:p>
    <w:p w14:paraId="285A7E23">
      <w:pPr>
        <w:keepNext w:val="0"/>
        <w:keepLines w:val="0"/>
        <w:pageBreakBefore w:val="0"/>
        <w:widowControl w:val="0"/>
        <w:kinsoku/>
        <w:wordWrap/>
        <w:overflowPunct/>
        <w:topLinePunct w:val="0"/>
        <w:autoSpaceDE/>
        <w:autoSpaceDN/>
        <w:bidi w:val="0"/>
        <w:spacing w:beforeLines="-2147483648" w:afterLines="-2147483648" w:line="540" w:lineRule="exact"/>
        <w:ind w:left="640"/>
        <w:jc w:val="left"/>
        <w:textAlignment w:val="auto"/>
        <w:rPr>
          <w:rFonts w:hint="eastAsia" w:ascii="黑体" w:hAnsi="黑体" w:eastAsia="黑体" w:cs="Times New Roman"/>
          <w:sz w:val="32"/>
          <w:szCs w:val="32"/>
          <w:lang w:val="en-US" w:eastAsia="zh-CN" w:bidi="ar-SA"/>
        </w:rPr>
      </w:pPr>
      <w:r>
        <w:rPr>
          <w:rFonts w:hint="eastAsia" w:ascii="黑体" w:hAnsi="黑体" w:eastAsia="黑体" w:cs="Times New Roman"/>
          <w:sz w:val="32"/>
          <w:szCs w:val="32"/>
          <w:lang w:val="en-US" w:eastAsia="zh-CN" w:bidi="ar-SA"/>
        </w:rPr>
        <w:t>六、其他说明</w:t>
      </w:r>
    </w:p>
    <w:p w14:paraId="64CDF8E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rPr>
      </w:pPr>
      <w:r>
        <w:rPr>
          <w:rFonts w:hint="eastAsia" w:ascii="仿宋" w:hAnsi="仿宋" w:eastAsia="仿宋" w:cs="仿宋"/>
          <w:i w:val="0"/>
          <w:iCs w:val="0"/>
          <w:caps w:val="0"/>
          <w:color w:val="auto"/>
          <w:spacing w:val="0"/>
          <w:sz w:val="30"/>
          <w:szCs w:val="30"/>
          <w:shd w:val="clear" w:fill="FFFFFF"/>
        </w:rPr>
        <w:t>在评价过程中，我们将关注不同行业和地区的发展特点和实际情况，以实现评价的差异化和灵活性。</w:t>
      </w:r>
      <w:r>
        <w:rPr>
          <w:rFonts w:hint="eastAsia" w:ascii="仿宋" w:hAnsi="仿宋" w:eastAsia="仿宋" w:cs="仿宋"/>
          <w:i w:val="0"/>
          <w:iCs w:val="0"/>
          <w:caps w:val="0"/>
          <w:color w:val="auto"/>
          <w:spacing w:val="0"/>
          <w:sz w:val="30"/>
          <w:szCs w:val="30"/>
          <w:shd w:val="clear" w:fill="FFFFFF"/>
          <w:lang w:val="en-US" w:eastAsia="zh-CN"/>
        </w:rPr>
        <w:t>同时，</w:t>
      </w:r>
      <w:r>
        <w:rPr>
          <w:rFonts w:hint="eastAsia" w:ascii="仿宋" w:hAnsi="仿宋" w:eastAsia="仿宋" w:cs="仿宋"/>
          <w:i w:val="0"/>
          <w:iCs w:val="0"/>
          <w:caps w:val="0"/>
          <w:color w:val="auto"/>
          <w:spacing w:val="0"/>
          <w:sz w:val="30"/>
          <w:szCs w:val="30"/>
          <w:shd w:val="clear" w:fill="FFFFFF"/>
        </w:rPr>
        <w:t>将建立评价数据库，对企业进行评价跟踪和分析，以为政府决策和企业发展提供持续支持。</w:t>
      </w:r>
    </w:p>
    <w:p w14:paraId="555AC48A">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仿宋" w:hAnsi="仿宋" w:eastAsia="仿宋" w:cs="仿宋"/>
          <w:i w:val="0"/>
          <w:iCs w:val="0"/>
          <w:caps w:val="0"/>
          <w:color w:val="auto"/>
          <w:spacing w:val="0"/>
          <w:sz w:val="30"/>
          <w:szCs w:val="30"/>
          <w:shd w:val="clear" w:fill="FFFFFF"/>
        </w:rPr>
      </w:pPr>
      <w:r>
        <w:rPr>
          <w:rFonts w:hint="eastAsia" w:ascii="仿宋" w:hAnsi="仿宋" w:eastAsia="仿宋" w:cs="仿宋"/>
          <w:i w:val="0"/>
          <w:iCs w:val="0"/>
          <w:caps w:val="0"/>
          <w:color w:val="auto"/>
          <w:spacing w:val="0"/>
          <w:sz w:val="30"/>
          <w:szCs w:val="30"/>
          <w:shd w:val="clear" w:fill="FFFFFF"/>
        </w:rPr>
        <w:t>总之，《诸暨市服务业企业“亩产效益”综合评价工作实施办法》旨在全面、客观、科学地评价服务业企业的综合实力和竞争力，引导企业提高资源利用效率，推动诸暨市服务业的高质量发展。我们将根据实际情况不断修订和完善评价办法，以适应经济发展趋势和服务业企业的实际需求。</w:t>
      </w:r>
    </w:p>
    <w:p w14:paraId="3F1053C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left"/>
        <w:rPr>
          <w:rFonts w:hint="default" w:ascii="Helvetica" w:hAnsi="Helvetica" w:eastAsia="Helvetica" w:cs="Helvetica"/>
          <w:i w:val="0"/>
          <w:iCs w:val="0"/>
          <w:caps w:val="0"/>
          <w:color w:val="auto"/>
          <w:spacing w:val="0"/>
          <w:sz w:val="30"/>
          <w:szCs w:val="30"/>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ZkYzIzZWE3NDU0MmM3M2Y5OGU1ZmRmYzM2MWZkNmIifQ=="/>
  </w:docVars>
  <w:rsids>
    <w:rsidRoot w:val="4EAD432A"/>
    <w:rsid w:val="00D61C41"/>
    <w:rsid w:val="0CCA62D0"/>
    <w:rsid w:val="2BB93535"/>
    <w:rsid w:val="3D6174E9"/>
    <w:rsid w:val="4EAD432A"/>
    <w:rsid w:val="5FD662B0"/>
    <w:rsid w:val="7FFF14D5"/>
    <w:rsid w:val="AF7AF5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Normal Indent"/>
    <w:basedOn w:val="1"/>
    <w:qFormat/>
    <w:uiPriority w:val="0"/>
    <w:pPr>
      <w:ind w:firstLine="420" w:firstLineChars="200"/>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2274</Words>
  <Characters>2305</Characters>
  <Lines>0</Lines>
  <Paragraphs>0</Paragraphs>
  <TotalTime>197</TotalTime>
  <ScaleCrop>false</ScaleCrop>
  <LinksUpToDate>false</LinksUpToDate>
  <CharactersWithSpaces>2305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2023-09-21T05:59:00Z</dcterms:created>
  <dc:creator>火炎焱燚</dc:creator>
  <cp:lastModifiedBy>EMo 、</cp:lastModifiedBy>
  <dcterms:modified xsi:type="dcterms:W3CDTF">2025-05-08T02:06:41Z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D5E9681BE628445784FFC19D4AAC11D3_11</vt:lpwstr>
  </property>
  <property fmtid="{D5CDD505-2E9C-101B-9397-08002B2CF9AE}" pid="4" name="KSOTemplateDocerSaveRecord">
    <vt:lpwstr>eyJoZGlkIjoiNTFmY2M5ZTlmZDY0NjQzZDFiMTRmMDdmYTM1YjkzZTgiLCJ1c2VySWQiOiI0MjY0OTY1NjcifQ==</vt:lpwstr>
  </property>
</Properties>
</file>