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8E3F">
      <w:pPr>
        <w:spacing w:line="560" w:lineRule="exact"/>
        <w:ind w:firstLine="640" w:firstLineChars="200"/>
        <w:rPr>
          <w:sz w:val="32"/>
          <w:szCs w:val="32"/>
          <w:highlight w:val="none"/>
        </w:rPr>
      </w:pPr>
    </w:p>
    <w:p w14:paraId="3F62AB5F">
      <w:pPr>
        <w:spacing w:line="560" w:lineRule="exact"/>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乐清市国有土地使用权出让收支</w:t>
      </w:r>
    </w:p>
    <w:p w14:paraId="05FE1534">
      <w:pPr>
        <w:spacing w:line="560" w:lineRule="exact"/>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管理办法（</w:t>
      </w:r>
      <w:r>
        <w:rPr>
          <w:rFonts w:hint="eastAsia" w:ascii="方正小标宋简体" w:hAnsi="方正小标宋简体" w:eastAsia="方正小标宋简体" w:cs="方正小标宋简体"/>
          <w:bCs/>
          <w:sz w:val="44"/>
          <w:szCs w:val="44"/>
          <w:highlight w:val="none"/>
          <w:lang w:eastAsia="zh-CN"/>
        </w:rPr>
        <w:t>征求意见稿</w:t>
      </w:r>
      <w:r>
        <w:rPr>
          <w:rFonts w:hint="eastAsia" w:ascii="方正小标宋简体" w:hAnsi="方正小标宋简体" w:eastAsia="方正小标宋简体" w:cs="方正小标宋简体"/>
          <w:bCs/>
          <w:sz w:val="44"/>
          <w:szCs w:val="44"/>
          <w:highlight w:val="none"/>
        </w:rPr>
        <w:t>）</w:t>
      </w:r>
    </w:p>
    <w:p w14:paraId="3A3505DE">
      <w:pPr>
        <w:spacing w:line="560" w:lineRule="exact"/>
        <w:ind w:firstLine="420" w:firstLineChars="200"/>
        <w:rPr>
          <w:highlight w:val="none"/>
        </w:rPr>
      </w:pPr>
    </w:p>
    <w:p w14:paraId="0EECD759">
      <w:pPr>
        <w:numPr>
          <w:ilvl w:val="0"/>
          <w:numId w:val="1"/>
        </w:num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 xml:space="preserve"> 总  则</w:t>
      </w:r>
    </w:p>
    <w:p w14:paraId="36B586F6">
      <w:pPr>
        <w:numPr>
          <w:ilvl w:val="255"/>
          <w:numId w:val="0"/>
        </w:numPr>
        <w:spacing w:line="560" w:lineRule="exact"/>
        <w:ind w:firstLine="640" w:firstLineChars="200"/>
        <w:rPr>
          <w:rFonts w:ascii="黑体" w:hAnsi="黑体" w:eastAsia="黑体" w:cs="黑体"/>
          <w:bCs/>
          <w:sz w:val="32"/>
          <w:szCs w:val="32"/>
          <w:highlight w:val="none"/>
        </w:rPr>
      </w:pPr>
    </w:p>
    <w:p w14:paraId="00EEA22C">
      <w:pPr>
        <w:widowControl/>
        <w:spacing w:line="560" w:lineRule="exact"/>
        <w:ind w:firstLine="640" w:firstLineChars="200"/>
        <w:rPr>
          <w:rFonts w:ascii="Times New Roman" w:hAnsi="Times New Roman"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为规范国有土地使用权出让收支管理，根据 《中华人民共和国土地管理法》《国务</w:t>
      </w:r>
      <w:r>
        <w:rPr>
          <w:rFonts w:hint="eastAsia" w:ascii="Times New Roman" w:hAnsi="Times New Roman" w:eastAsia="仿宋_GB2312" w:cs="仿宋_GB2312"/>
          <w:sz w:val="32"/>
          <w:szCs w:val="32"/>
          <w:highlight w:val="none"/>
        </w:rPr>
        <w:t>院办公厅关于规范国有土地使用权出让收支管理的通知》（国办发〔2006〕100 号）、《</w:t>
      </w:r>
      <w:bookmarkStart w:id="0" w:name="OLE_LINK2"/>
      <w:r>
        <w:rPr>
          <w:rFonts w:hint="eastAsia" w:ascii="Times New Roman" w:hAnsi="Times New Roman" w:eastAsia="仿宋_GB2312" w:cs="仿宋_GB2312"/>
          <w:sz w:val="32"/>
          <w:szCs w:val="32"/>
          <w:highlight w:val="none"/>
        </w:rPr>
        <w:t>财政部、国土资源部、中国人民银行关于印发国有土地使用权出让收支管理办法的通知》（财综〔2006〕68 号）</w:t>
      </w:r>
      <w:bookmarkEnd w:id="0"/>
      <w:r>
        <w:rPr>
          <w:rFonts w:hint="eastAsia" w:ascii="Times New Roman" w:hAnsi="Times New Roman" w:eastAsia="仿宋_GB2312" w:cs="仿宋_GB2312"/>
          <w:sz w:val="32"/>
          <w:szCs w:val="32"/>
          <w:highlight w:val="none"/>
        </w:rPr>
        <w:t>和《浙江省财政厅、国土资源厅、中国人民银行杭州中心支行转发财政部 国土资源部 中国人民银行关于印发国有土地使用权出让收支管理办法的通知（浙财综字〔2007〕23号）</w:t>
      </w:r>
      <w:r>
        <w:rPr>
          <w:rFonts w:hint="eastAsia" w:ascii="Times New Roman" w:hAnsi="Times New Roman" w:eastAsia="仿宋_GB2312" w:cs="仿宋_GB2312"/>
          <w:sz w:val="32"/>
          <w:szCs w:val="32"/>
          <w:highlight w:val="none"/>
          <w:lang w:eastAsia="zh-CN"/>
        </w:rPr>
        <w:t>》《浙江省人民政府办公厅关于调整耕地开垦费等有关政策的通知》（浙政办函〔2025〕2号）</w:t>
      </w:r>
      <w:r>
        <w:rPr>
          <w:rFonts w:hint="eastAsia" w:ascii="Times New Roman" w:hAnsi="Times New Roman" w:eastAsia="仿宋_GB2312" w:cs="仿宋_GB2312"/>
          <w:sz w:val="32"/>
          <w:szCs w:val="32"/>
          <w:highlight w:val="none"/>
        </w:rPr>
        <w:t>等有关规定，结合我市实际，制定本办法。</w:t>
      </w:r>
    </w:p>
    <w:p w14:paraId="14B1AF65">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本办法所称国有土地使用权出让收入（以下简称“土地出让收入”）是指市政府以出让等方式配置国有土地使用权取得的全部土地价款。具体包括：</w:t>
      </w:r>
    </w:p>
    <w:p w14:paraId="6A760A7A">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（一）以招标、拍卖、挂牌和协议方式出让国有土地使用权所取得的总成交价款（不含代收代缴的税费）；</w:t>
      </w:r>
    </w:p>
    <w:p w14:paraId="571FBA30">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（二）转让划拨国有土地使用权或者依法利用原划拨土地进行经营性建设应当补缴的土地价款；</w:t>
      </w:r>
    </w:p>
    <w:p w14:paraId="088B6E8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（三）处置抵押划拨国有土地使用权应当补缴的土地价款；</w:t>
      </w:r>
    </w:p>
    <w:p w14:paraId="32AC5725">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（四）转让房改房、经济适用住房按照规定应当补缴的土地价款；</w:t>
      </w:r>
    </w:p>
    <w:p w14:paraId="08228774">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（五）改变出让国有土地使用权土地用途、容积率等土地使用条件应当补缴的土地价款，以及其他和国有土地使用权出让或者变更有关的收入等；</w:t>
      </w:r>
    </w:p>
    <w:p w14:paraId="178E01AF">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（六）自然资源和规划部门依法出租国有土地向承租者收取的土地租金收入；出租划拨土地上的房屋应当上缴的土地收益；</w:t>
      </w:r>
    </w:p>
    <w:p w14:paraId="015C978C">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（七）土地使用者以划拨方式取得国有土地使用权， 依法向市政府缴纳的土地补偿费、安置补助费、地上附着物和青苗补偿费、拆迁补偿费、被征地农民社会保障费、保持被征地农民原有生活水平补贴等费用； </w:t>
      </w:r>
    </w:p>
    <w:p w14:paraId="3F19D67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规定依法向国有土地使用权受让人（以下简称“受让人”）收取的定金、保证金和预付款，在国有土地使用权出让合同（以下简称“土地出让合同”）生效后可以抵作土地价款。划拨土地的预付款也按照上述要求管理。</w:t>
      </w:r>
    </w:p>
    <w:p w14:paraId="62790229">
      <w:pPr>
        <w:spacing w:line="560" w:lineRule="exact"/>
        <w:ind w:firstLine="420" w:firstLineChars="200"/>
        <w:rPr>
          <w:rFonts w:ascii="仿宋_GB2312" w:hAnsi="仿宋_GB2312" w:eastAsia="仿宋_GB2312" w:cs="仿宋_GB2312"/>
          <w:sz w:val="32"/>
          <w:szCs w:val="32"/>
          <w:highlight w:val="none"/>
        </w:rPr>
      </w:pPr>
      <w:r>
        <w:rPr>
          <w:rFonts w:hint="eastAsia"/>
          <w:lang w:val="en-US" w:eastAsia="zh-CN"/>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土地出让收支全额纳入地方政府性基金预算管理。土地出让收入全部缴入地方国库，支出一律通过地方政府性基金预算从土地出让收入中予以安排，实行彻底的“收支两条线”管理。</w:t>
      </w:r>
    </w:p>
    <w:p w14:paraId="5FE295D6">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lang w:val="en-US" w:eastAsia="zh-CN"/>
        </w:rPr>
        <w:t xml:space="preserve"> </w:t>
      </w:r>
      <w:r>
        <w:rPr>
          <w:rFonts w:hint="eastAsia" w:ascii="仿宋_GB2312" w:hAnsi="仿宋_GB2312" w:eastAsia="仿宋_GB2312" w:cs="仿宋_GB2312"/>
          <w:sz w:val="32"/>
          <w:szCs w:val="32"/>
          <w:highlight w:val="none"/>
        </w:rPr>
        <w:t xml:space="preserve">市自然资源和规划部门、市财政部门、市税务部门、地方国库按照职责分工，分别做好土地出让收支管理工作。 </w:t>
      </w:r>
    </w:p>
    <w:p w14:paraId="3FAFA244">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市自然资源和规划部门负责制定和落实土地出让年度计划、土地储备计划，按宗地管理与核算要求建立出让土地宗地管理档案并提供宗地费源信息。</w:t>
      </w:r>
    </w:p>
    <w:p w14:paraId="0B49153D">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市财政部门负责土地出让收支管理和征收管理工作，按宗地管理与核算要求建立土地出让分宗地收入核算，建立健全土地出让收支报表体系，及时反映土地出让收支执行情况，做好土地出让收支预决算工作。 </w:t>
      </w:r>
    </w:p>
    <w:p w14:paraId="5D3C734B">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市税务部门负责土地出让收入征收和催收催缴、入库等各项业务，及时向市财政部门、</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自然资源和规划部门提供相关报表和资料。</w:t>
      </w:r>
    </w:p>
    <w:p w14:paraId="4093B289">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地方国库负责土地出让收入的收纳工作。</w:t>
      </w:r>
    </w:p>
    <w:p w14:paraId="504F5EF0">
      <w:pPr>
        <w:spacing w:line="560" w:lineRule="exact"/>
        <w:ind w:firstLine="640" w:firstLineChars="200"/>
        <w:rPr>
          <w:rFonts w:ascii="仿宋_GB2312" w:hAnsi="仿宋_GB2312" w:eastAsia="仿宋_GB2312" w:cs="仿宋_GB2312"/>
          <w:sz w:val="32"/>
          <w:szCs w:val="32"/>
          <w:highlight w:val="none"/>
        </w:rPr>
      </w:pPr>
    </w:p>
    <w:p w14:paraId="3538D1D1">
      <w:p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第二章</w:t>
      </w:r>
      <w:r>
        <w:rPr>
          <w:rFonts w:hint="eastAsia" w:ascii="黑体" w:hAnsi="黑体" w:eastAsia="黑体" w:cs="黑体"/>
          <w:bCs/>
          <w:sz w:val="32"/>
          <w:szCs w:val="32"/>
          <w:highlight w:val="none"/>
          <w:lang w:val="en-US" w:eastAsia="zh-CN"/>
        </w:rPr>
        <w:t xml:space="preserve">  </w:t>
      </w:r>
      <w:r>
        <w:rPr>
          <w:rFonts w:hint="eastAsia" w:ascii="黑体" w:hAnsi="黑体" w:eastAsia="黑体" w:cs="黑体"/>
          <w:bCs/>
          <w:sz w:val="32"/>
          <w:szCs w:val="32"/>
          <w:highlight w:val="none"/>
        </w:rPr>
        <w:t>征收管理</w:t>
      </w:r>
    </w:p>
    <w:p w14:paraId="3264AC89">
      <w:pPr>
        <w:numPr>
          <w:ilvl w:val="255"/>
          <w:numId w:val="0"/>
        </w:numPr>
        <w:spacing w:line="560" w:lineRule="exact"/>
        <w:ind w:firstLine="640" w:firstLineChars="200"/>
        <w:rPr>
          <w:rFonts w:ascii="黑体" w:hAnsi="黑体" w:eastAsia="黑体" w:cs="黑体"/>
          <w:bCs/>
          <w:sz w:val="32"/>
          <w:szCs w:val="32"/>
          <w:highlight w:val="none"/>
        </w:rPr>
      </w:pPr>
    </w:p>
    <w:p w14:paraId="35CDFACF">
      <w:pPr>
        <w:spacing w:line="560" w:lineRule="exact"/>
        <w:ind w:firstLine="420" w:firstLineChars="200"/>
        <w:rPr>
          <w:rFonts w:ascii="仿宋_GB2312" w:hAnsi="仿宋_GB2312" w:eastAsia="仿宋_GB2312" w:cs="仿宋_GB2312"/>
          <w:sz w:val="32"/>
          <w:szCs w:val="32"/>
          <w:highlight w:val="none"/>
        </w:rPr>
      </w:pPr>
      <w:r>
        <w:rPr>
          <w:rFonts w:hint="eastAsia"/>
          <w:lang w:val="en-US" w:eastAsia="zh-CN"/>
        </w:rPr>
        <w:t xml:space="preserve"> </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市自然资源和规划部门应当与受让人及时签订土地出让合同，明确约定受让人应当缴纳的土地出让收入具体数额、缴交国库的具体时限以及违约责任等，并</w:t>
      </w:r>
      <w:r>
        <w:rPr>
          <w:rFonts w:hint="eastAsia" w:ascii="仿宋_GB2312" w:hAnsi="仿宋_GB2312" w:eastAsia="仿宋_GB2312" w:cs="仿宋_GB2312"/>
          <w:sz w:val="32"/>
          <w:szCs w:val="32"/>
          <w:highlight w:val="none"/>
          <w:lang w:eastAsia="zh-CN"/>
        </w:rPr>
        <w:t>协同市税务部门</w:t>
      </w:r>
      <w:r>
        <w:rPr>
          <w:rFonts w:hint="eastAsia" w:ascii="仿宋_GB2312" w:hAnsi="仿宋_GB2312" w:eastAsia="仿宋_GB2312" w:cs="仿宋_GB2312"/>
          <w:sz w:val="32"/>
          <w:szCs w:val="32"/>
          <w:highlight w:val="none"/>
        </w:rPr>
        <w:t>准确反映出让土地地号、位置、容积率、出让地块面积及建筑面积等基本要素</w:t>
      </w:r>
      <w:r>
        <w:rPr>
          <w:rFonts w:hint="eastAsia" w:ascii="仿宋_GB2312" w:hAnsi="仿宋_GB2312" w:eastAsia="仿宋_GB2312" w:cs="仿宋_GB2312"/>
          <w:sz w:val="32"/>
          <w:szCs w:val="32"/>
          <w:highlight w:val="none"/>
          <w:lang w:eastAsia="zh-CN"/>
        </w:rPr>
        <w:t>，录入土地出让金管理系统</w:t>
      </w:r>
      <w:r>
        <w:rPr>
          <w:rFonts w:hint="eastAsia" w:ascii="仿宋_GB2312" w:hAnsi="仿宋_GB2312" w:eastAsia="仿宋_GB2312" w:cs="仿宋_GB2312"/>
          <w:sz w:val="32"/>
          <w:szCs w:val="32"/>
          <w:highlight w:val="none"/>
        </w:rPr>
        <w:t>，以利于</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自然资源和规划部门、</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税务部门、地方国库四方进行宗地核算与核对。</w:t>
      </w:r>
    </w:p>
    <w:p w14:paraId="26DD21C4">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六、市</w:t>
      </w:r>
      <w:r>
        <w:rPr>
          <w:rFonts w:hint="eastAsia" w:ascii="仿宋_GB2312" w:hAnsi="仿宋_GB2312" w:eastAsia="仿宋_GB2312" w:cs="仿宋_GB2312"/>
          <w:sz w:val="32"/>
          <w:szCs w:val="32"/>
          <w:highlight w:val="none"/>
        </w:rPr>
        <w:t>自然资源和规划部门根据土地出让合同或者划拨用地批准文件，开具“土地出让金缴纳通知书”，通知书应当明确供应土地的面积、土地出让收入总额以及依法分期缴纳的具体数额和时限等，并</w:t>
      </w:r>
      <w:r>
        <w:rPr>
          <w:rFonts w:hint="eastAsia" w:ascii="仿宋_GB2312" w:hAnsi="仿宋_GB2312" w:eastAsia="仿宋_GB2312" w:cs="仿宋_GB2312"/>
          <w:sz w:val="32"/>
          <w:szCs w:val="32"/>
          <w:highlight w:val="none"/>
          <w:lang w:eastAsia="zh-CN"/>
        </w:rPr>
        <w:t>配合市税务部门</w:t>
      </w:r>
      <w:r>
        <w:rPr>
          <w:rFonts w:hint="eastAsia" w:ascii="仿宋_GB2312" w:hAnsi="仿宋_GB2312" w:eastAsia="仿宋_GB2312" w:cs="仿宋_GB2312"/>
          <w:sz w:val="32"/>
          <w:szCs w:val="32"/>
          <w:highlight w:val="none"/>
        </w:rPr>
        <w:t>督促受让人依法缴纳土地出让收入。</w:t>
      </w:r>
    </w:p>
    <w:p w14:paraId="14CF42CD">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七</w:t>
      </w:r>
      <w:bookmarkStart w:id="1" w:name="OLE_LINK3"/>
      <w:r>
        <w:rPr>
          <w:rFonts w:hint="eastAsia" w:ascii="仿宋_GB2312" w:hAnsi="Calibri" w:eastAsia="仿宋_GB2312" w:cs="仿宋_GB2312"/>
          <w:kern w:val="2"/>
          <w:sz w:val="32"/>
          <w:szCs w:val="32"/>
          <w:highlight w:val="none"/>
          <w:lang w:val="en-US" w:eastAsia="zh-CN" w:bidi="ar"/>
        </w:rPr>
        <w:t>、</w:t>
      </w:r>
      <w:r>
        <w:rPr>
          <w:rFonts w:hint="default" w:ascii="仿宋_GB2312" w:hAnsi="Calibri" w:eastAsia="仿宋_GB2312" w:cs="仿宋_GB2312"/>
          <w:kern w:val="2"/>
          <w:sz w:val="32"/>
          <w:szCs w:val="32"/>
          <w:highlight w:val="none"/>
          <w:lang w:val="en-US" w:eastAsia="zh-CN" w:bidi="ar"/>
        </w:rPr>
        <w:t>非农业建设</w:t>
      </w:r>
      <w:r>
        <w:rPr>
          <w:rFonts w:hint="eastAsia" w:ascii="仿宋_GB2312" w:hAnsi="Calibri" w:eastAsia="仿宋_GB2312" w:cs="仿宋_GB2312"/>
          <w:kern w:val="2"/>
          <w:sz w:val="32"/>
          <w:szCs w:val="32"/>
          <w:highlight w:val="none"/>
          <w:lang w:val="en-US" w:eastAsia="zh-CN" w:bidi="ar"/>
        </w:rPr>
        <w:t>经批准</w:t>
      </w:r>
      <w:r>
        <w:rPr>
          <w:rFonts w:hint="default" w:ascii="仿宋_GB2312" w:hAnsi="Calibri" w:eastAsia="仿宋_GB2312" w:cs="仿宋_GB2312"/>
          <w:kern w:val="2"/>
          <w:sz w:val="32"/>
          <w:szCs w:val="32"/>
          <w:highlight w:val="none"/>
          <w:lang w:val="en-US" w:eastAsia="zh-CN" w:bidi="ar"/>
        </w:rPr>
        <w:t>占用耕地的项目</w:t>
      </w:r>
      <w:bookmarkEnd w:id="1"/>
      <w:r>
        <w:rPr>
          <w:rFonts w:hint="default"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由占用耕地的单位或者个人负责开垦与占用耕地数量相等和质量相当的耕地，没有条件开垦或者开垦的耕地不符合要求的，按照规定</w:t>
      </w:r>
      <w:r>
        <w:rPr>
          <w:rFonts w:hint="default" w:ascii="仿宋_GB2312" w:hAnsi="Calibri" w:eastAsia="仿宋_GB2312" w:cs="仿宋_GB2312"/>
          <w:kern w:val="2"/>
          <w:sz w:val="32"/>
          <w:szCs w:val="32"/>
          <w:highlight w:val="none"/>
          <w:lang w:val="en-US" w:eastAsia="zh-CN" w:bidi="ar"/>
        </w:rPr>
        <w:t>在申请办理农用地转用审批前，由市自然资源和规划部门开具耕地开垦费和补充耕地资金缴款通知书，</w:t>
      </w:r>
      <w:r>
        <w:rPr>
          <w:rFonts w:hint="eastAsia" w:ascii="仿宋_GB2312" w:hAnsi="Calibri" w:eastAsia="仿宋_GB2312" w:cs="仿宋_GB2312"/>
          <w:kern w:val="2"/>
          <w:sz w:val="32"/>
          <w:szCs w:val="32"/>
          <w:highlight w:val="none"/>
          <w:lang w:val="en-US" w:eastAsia="zh-CN" w:bidi="ar"/>
        </w:rPr>
        <w:t>占用耕地的</w:t>
      </w:r>
      <w:r>
        <w:rPr>
          <w:rFonts w:hint="default" w:ascii="仿宋_GB2312" w:hAnsi="Calibri" w:eastAsia="仿宋_GB2312" w:cs="仿宋_GB2312"/>
          <w:kern w:val="2"/>
          <w:sz w:val="32"/>
          <w:szCs w:val="32"/>
          <w:highlight w:val="none"/>
          <w:lang w:val="en-US" w:eastAsia="zh-CN" w:bidi="ar"/>
        </w:rPr>
        <w:t>单位</w:t>
      </w:r>
      <w:r>
        <w:rPr>
          <w:rFonts w:hint="eastAsia" w:ascii="仿宋_GB2312" w:hAnsi="Calibri" w:eastAsia="仿宋_GB2312" w:cs="仿宋_GB2312"/>
          <w:kern w:val="2"/>
          <w:sz w:val="32"/>
          <w:szCs w:val="32"/>
          <w:highlight w:val="none"/>
          <w:lang w:val="en-US" w:eastAsia="zh-CN" w:bidi="ar"/>
        </w:rPr>
        <w:t>或者个人</w:t>
      </w:r>
      <w:r>
        <w:rPr>
          <w:rFonts w:hint="default" w:ascii="仿宋_GB2312" w:hAnsi="Calibri" w:eastAsia="仿宋_GB2312" w:cs="仿宋_GB2312"/>
          <w:kern w:val="2"/>
          <w:sz w:val="32"/>
          <w:szCs w:val="32"/>
          <w:highlight w:val="none"/>
          <w:lang w:val="en-US" w:eastAsia="zh-CN" w:bidi="ar"/>
        </w:rPr>
        <w:t>需足额缴纳。其中划拨类及村集体使用类项目，直接由用地单位缴纳；招拍挂出让类项目由市土地储备中心作为用地单位负责缴纳。待农转用项目批复后，由市土地储备中心负责缴纳耕地占用税。同步以清单形式写明各类费用的项目和金额，抄送市财政部门，作为市财政部门土地出让收入分解提取依据。</w:t>
      </w:r>
      <w:r>
        <w:rPr>
          <w:rFonts w:hint="eastAsia" w:ascii="仿宋_GB2312" w:hAnsi="Calibri" w:eastAsia="仿宋_GB2312" w:cs="仿宋_GB2312"/>
          <w:kern w:val="2"/>
          <w:sz w:val="32"/>
          <w:szCs w:val="32"/>
          <w:highlight w:val="none"/>
          <w:lang w:val="en-US" w:eastAsia="zh-CN" w:bidi="ar"/>
        </w:rPr>
        <w:t xml:space="preserve"> </w:t>
      </w:r>
    </w:p>
    <w:p w14:paraId="5C8035EA">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任何乡镇（街道）、部门和单位都不得以“招商引资”“旧城改造”“国有企业改制”等各种名义减免土地出让收入，或者以土地换项目、先征后返、补贴等形式变相减免土地出让收入；也不得违反规定通过签订协议等方式，将应缴地方国库的土地出让收入，由国有土地使用权受让人直接将征地和拆迁补偿 费支付给村集体经济组织或者农民等。</w:t>
      </w:r>
    </w:p>
    <w:p w14:paraId="18E28FC3">
      <w:pPr>
        <w:spacing w:line="560" w:lineRule="exact"/>
        <w:ind w:firstLine="640" w:firstLineChars="200"/>
        <w:rPr>
          <w:rFonts w:ascii="仿宋_GB2312" w:hAnsi="仿宋_GB2312" w:eastAsia="仿宋_GB2312" w:cs="仿宋_GB2312"/>
          <w:sz w:val="32"/>
          <w:szCs w:val="32"/>
          <w:highlight w:val="none"/>
        </w:rPr>
      </w:pPr>
    </w:p>
    <w:p w14:paraId="3D2DA740">
      <w:p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第三章</w:t>
      </w:r>
      <w:r>
        <w:rPr>
          <w:rFonts w:hint="eastAsia" w:ascii="黑体" w:hAnsi="黑体" w:eastAsia="黑体" w:cs="黑体"/>
          <w:bCs/>
          <w:sz w:val="32"/>
          <w:szCs w:val="32"/>
          <w:highlight w:val="none"/>
          <w:lang w:val="en-US" w:eastAsia="zh-CN"/>
        </w:rPr>
        <w:t xml:space="preserve">  </w:t>
      </w:r>
      <w:r>
        <w:rPr>
          <w:rFonts w:hint="eastAsia" w:ascii="黑体" w:hAnsi="黑体" w:eastAsia="黑体" w:cs="黑体"/>
          <w:bCs/>
          <w:sz w:val="32"/>
          <w:szCs w:val="32"/>
          <w:highlight w:val="none"/>
        </w:rPr>
        <w:t>使用管理</w:t>
      </w:r>
    </w:p>
    <w:p w14:paraId="6FC20591">
      <w:pPr>
        <w:numPr>
          <w:ilvl w:val="255"/>
          <w:numId w:val="0"/>
        </w:numPr>
        <w:spacing w:line="560" w:lineRule="exact"/>
        <w:ind w:firstLine="640" w:firstLineChars="200"/>
        <w:rPr>
          <w:rFonts w:ascii="黑体" w:hAnsi="黑体" w:eastAsia="黑体" w:cs="黑体"/>
          <w:bCs/>
          <w:sz w:val="32"/>
          <w:szCs w:val="32"/>
          <w:highlight w:val="none"/>
        </w:rPr>
      </w:pPr>
    </w:p>
    <w:p w14:paraId="4AC8D5D1">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土地出让收入使用范围包括征地和拆迁补偿支出、土地开发支出、支农支出、城市建设支出以及其他支出。</w:t>
      </w:r>
    </w:p>
    <w:p w14:paraId="72E00910">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征地和拆迁补偿支出。包括土地补偿费、安置补助费、地上附着物和青苗补偿费、拆迁补偿费，按照市政府批准的征地补偿方案、拆迁补偿方案以及</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财政部门核定的预算执行。</w:t>
      </w:r>
    </w:p>
    <w:p w14:paraId="4E2ACB9F">
      <w:pPr>
        <w:spacing w:line="560" w:lineRule="exact"/>
        <w:ind w:firstLine="420" w:firstLineChars="200"/>
        <w:rPr>
          <w:rFonts w:ascii="仿宋_GB2312" w:hAnsi="仿宋_GB2312" w:eastAsia="仿宋_GB2312" w:cs="仿宋_GB2312"/>
          <w:sz w:val="32"/>
          <w:szCs w:val="32"/>
          <w:highlight w:val="none"/>
        </w:rPr>
      </w:pPr>
      <w:r>
        <w:rPr>
          <w:rFonts w:hint="eastAsia"/>
          <w:lang w:val="en-US" w:eastAsia="zh-CN"/>
        </w:rPr>
        <w:t xml:space="preserve">  </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土地开发支出。包括与前期土地开发相关的道路、供水、供电、供气、排水、通讯、照明、土地平整等基础设施建设支出，以及需要支付的银行贷款本息等支出，按照</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财政部门核定的预算安排。</w:t>
      </w:r>
    </w:p>
    <w:p w14:paraId="00D405FA">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 xml:space="preserve">支农支出。包括用于保持被征地农民原有生活水平补贴支出、补助被征地农民社会保障支出、农业土地开发支出以及农村基础设施建设支出。 </w:t>
      </w:r>
    </w:p>
    <w:p w14:paraId="0DFC832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（一）保持被征地农民原有生活水平补贴支出。从土地出让收入中，安排用于保持被征地农民原有生活水平的补贴支出，按照市政府规定以及</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财政部门核定的预算执行。 </w:t>
      </w:r>
    </w:p>
    <w:p w14:paraId="7F969200">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（二）补助被征地农民社会保障支出。由</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财政部门按照上级有关文件规定从缴入地方国库的土地出让收入中，安排用于补助被征地农民社会保障的支出，按照市政府规定以及</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财政部门核定的预算执行。 </w:t>
      </w:r>
    </w:p>
    <w:p w14:paraId="7CAF1482">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（三）农业土地开发资金支出。按照《浙江省用于农业土地开发的土地出让金使用管理办法》（浙财农〔</w:t>
      </w:r>
      <w:r>
        <w:rPr>
          <w:rFonts w:hint="default" w:ascii="Times New Roman" w:hAnsi="Times New Roman" w:eastAsia="仿宋_GB2312" w:cs="Times New Roman"/>
          <w:sz w:val="32"/>
          <w:szCs w:val="32"/>
          <w:highlight w:val="none"/>
        </w:rPr>
        <w:t>2010</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30</w:t>
      </w:r>
      <w:r>
        <w:rPr>
          <w:rFonts w:hint="eastAsia" w:ascii="仿宋_GB2312" w:hAnsi="仿宋_GB2312" w:eastAsia="仿宋_GB2312" w:cs="仿宋_GB2312"/>
          <w:sz w:val="32"/>
          <w:szCs w:val="32"/>
          <w:highlight w:val="none"/>
        </w:rPr>
        <w:t>号）规定，由</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财政部门从计提的农业土地开发资金中安排，按照核定的预算执行。 </w:t>
      </w:r>
    </w:p>
    <w:p w14:paraId="2A658EE4">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（四）农村基础设施建设支出。由市财政、各乡镇（街道）从土地出让收入中安排用于农村饮水、沼气、道路、环境、卫生、教育以及文化等基础设施建设项目支出，按照上级有关规定以及</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财政部门核定的预算执行。</w:t>
      </w:r>
    </w:p>
    <w:p w14:paraId="68B03A60">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城市建设支出。由市财政、各乡镇（街道）、功能区安排用于完善国有土地使用功能的配套设施建设以及城市基础设施建设支出，按照市政府规定以及</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财政部门核定的预算执行。</w:t>
      </w:r>
    </w:p>
    <w:p w14:paraId="7A09028E">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其他支出。包括土地出让业务支出、缴纳新增建设用地有偿使用费、国有土地收益基金支出、保障性住房和住房改革支出、支付破产或者改制国有企业职工安置费用以及被征地农民基本养老保障风险准备金支出等。 </w:t>
      </w:r>
    </w:p>
    <w:p w14:paraId="401D24E7">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（一）土地出让业务支出。包括出让土地需要支付的土地勘测费、评估费、公告费、场地租金和评标费用等，在土地出让业务支出科目中安排，使用按照</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财政部门核定的预算安排。 </w:t>
      </w:r>
    </w:p>
    <w:p w14:paraId="3AF240C3">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（二）缴纳新增建设用地土地有偿使用费。</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财政部门按照</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财政部、国土资源部关于调整部分地区新增建设用地土地有偿使用费征收等别的通知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财综</w:t>
      </w:r>
      <w:r>
        <w:rPr>
          <w:rFonts w:hint="eastAsia" w:ascii="仿宋_GB2312" w:hAnsi="仿宋_GB2312" w:eastAsia="仿宋_GB2312" w:cs="仿宋_GB2312"/>
          <w:sz w:val="32"/>
          <w:szCs w:val="32"/>
          <w:highlight w:val="none"/>
          <w:lang w:eastAsia="zh-CN"/>
        </w:rPr>
        <w:t>〔</w:t>
      </w:r>
      <w:r>
        <w:rPr>
          <w:rFonts w:hint="default" w:ascii="Times New Roman" w:hAnsi="Times New Roman" w:eastAsia="黑体" w:cs="Times New Roman"/>
          <w:sz w:val="32"/>
          <w:szCs w:val="32"/>
          <w:highlight w:val="none"/>
          <w:lang w:eastAsia="zh-CN"/>
        </w:rPr>
        <w:t>2009</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eastAsia="zh-CN"/>
        </w:rPr>
        <w:t>24</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规定执行。</w:t>
      </w:r>
    </w:p>
    <w:p w14:paraId="7693A93A">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（三）国有土地收益基金支出。从国有土地收益基金收入中安排用于土地收购储备的支出，包括土地补偿费、安置补助费、地上附着物和青苗补偿费、拆迁补偿费</w:t>
      </w:r>
      <w:r>
        <w:rPr>
          <w:rFonts w:hint="eastAsia" w:ascii="仿宋_GB2312" w:hAnsi="仿宋_GB2312" w:eastAsia="仿宋_GB2312" w:cs="仿宋_GB2312"/>
          <w:sz w:val="32"/>
          <w:szCs w:val="32"/>
          <w:highlight w:val="none"/>
          <w:lang w:eastAsia="zh-CN"/>
        </w:rPr>
        <w:t>、考古前置调查费、土壤污染状况调查费</w:t>
      </w:r>
      <w:r>
        <w:rPr>
          <w:rFonts w:hint="eastAsia" w:ascii="仿宋_GB2312" w:hAnsi="仿宋_GB2312" w:eastAsia="仿宋_GB2312" w:cs="仿宋_GB2312"/>
          <w:sz w:val="32"/>
          <w:szCs w:val="32"/>
          <w:highlight w:val="none"/>
        </w:rPr>
        <w:t>以及前期土地开发支出等，按照市政府批准的收购土地补偿方案、拆迁补偿方案及</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财政部门核定的预算执行。</w:t>
      </w:r>
    </w:p>
    <w:p w14:paraId="0861FFDE">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（四）公共租赁住房保障支出。由</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财政部门从缴入地方国库的土地出让收入中，用于公共租赁住房保障支出，按照市政府规定以及</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财政部门核定的预算执行。</w:t>
      </w:r>
    </w:p>
    <w:p w14:paraId="09463462">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（五）支付破产或者改制国有企业职工安置费用支出。根据国家有关规定，从破产或者改制国有企业国有建设用地使用权出让收入中，安排用于支付破产或者改制国有企业职工安置费用。</w:t>
      </w:r>
    </w:p>
    <w:p w14:paraId="765F73F5">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（六）农田水利建设资金支出。根据《财政部、水利部关于在土地出让收益中计提农田水利建设资金的通知》（财综〔</w:t>
      </w:r>
      <w:r>
        <w:rPr>
          <w:rFonts w:hint="default" w:ascii="Times New Roman" w:hAnsi="Times New Roman" w:eastAsia="仿宋_GB2312" w:cs="Times New Roman"/>
          <w:sz w:val="32"/>
          <w:szCs w:val="32"/>
          <w:highlight w:val="none"/>
        </w:rPr>
        <w:t>2011</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48</w:t>
      </w:r>
      <w:r>
        <w:rPr>
          <w:rFonts w:hint="eastAsia" w:ascii="仿宋_GB2312" w:hAnsi="仿宋_GB2312" w:eastAsia="仿宋_GB2312" w:cs="仿宋_GB2312"/>
          <w:sz w:val="32"/>
          <w:szCs w:val="32"/>
          <w:highlight w:val="none"/>
        </w:rPr>
        <w:t xml:space="preserve"> 号）规定，安排用于农田水利设施建设。</w:t>
      </w:r>
    </w:p>
    <w:p w14:paraId="02770A21">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（七）教育资金支出。根据《财政部、教育部关于在土地出让收益中计提教育资金的通知》（财综〔</w:t>
      </w:r>
      <w:r>
        <w:rPr>
          <w:rFonts w:hint="default" w:ascii="Times New Roman" w:hAnsi="Times New Roman" w:eastAsia="仿宋_GB2312" w:cs="Times New Roman"/>
          <w:sz w:val="32"/>
          <w:szCs w:val="32"/>
          <w:highlight w:val="none"/>
        </w:rPr>
        <w:t>2011</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62</w:t>
      </w:r>
      <w:r>
        <w:rPr>
          <w:rFonts w:hint="eastAsia" w:ascii="仿宋_GB2312" w:hAnsi="仿宋_GB2312" w:eastAsia="仿宋_GB2312" w:cs="仿宋_GB2312"/>
          <w:sz w:val="32"/>
          <w:szCs w:val="32"/>
          <w:highlight w:val="none"/>
        </w:rPr>
        <w:t>号）规定，安排用于教育相关支出，重点支持农村基础教育发展。</w:t>
      </w:r>
    </w:p>
    <w:p w14:paraId="7C87F72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（八）弥补企业职工基本养老保险基金。根据《浙江省财政厅关于印发浙江省社会保障风险准备金管理办法的通知》（浙财社〔</w:t>
      </w:r>
      <w:r>
        <w:rPr>
          <w:rFonts w:hint="default" w:ascii="Times New Roman" w:hAnsi="Times New Roman" w:eastAsia="仿宋_GB2312" w:cs="Times New Roman"/>
          <w:sz w:val="32"/>
          <w:szCs w:val="32"/>
          <w:highlight w:val="none"/>
        </w:rPr>
        <w:t>2021</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号）规定，专项用于弥补企业职工基本养老保险基金缺口。</w:t>
      </w:r>
    </w:p>
    <w:p w14:paraId="6BA34021">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十五、</w:t>
      </w:r>
      <w:r>
        <w:rPr>
          <w:rFonts w:hint="eastAsia" w:ascii="仿宋_GB2312" w:hAnsi="仿宋_GB2312" w:eastAsia="仿宋_GB2312" w:cs="仿宋_GB2312"/>
          <w:sz w:val="32"/>
          <w:szCs w:val="32"/>
          <w:highlight w:val="none"/>
        </w:rPr>
        <w:t>土地出让收入的使用要确保足额支付征地和拆迁补偿费、补助被征地农民社会保障支出、保持被征地农民原有生活水平补贴支出，严格按照有关规定将被征地农民的社会保障费用纳入征地补偿安置费用，切实保障被征地农民的合法权益。在出让城市国有建设用地使用权过程中，涉及的拆迁补偿费要严格按照《国有土地上房屋征收与补偿条例》（国务院令第</w:t>
      </w:r>
      <w:r>
        <w:rPr>
          <w:rFonts w:hint="default" w:ascii="Times New Roman" w:hAnsi="Times New Roman" w:eastAsia="仿宋_GB2312" w:cs="Times New Roman"/>
          <w:sz w:val="32"/>
          <w:szCs w:val="32"/>
          <w:highlight w:val="none"/>
        </w:rPr>
        <w:t>590</w:t>
      </w:r>
      <w:r>
        <w:rPr>
          <w:rFonts w:hint="eastAsia" w:ascii="仿宋_GB2312" w:hAnsi="仿宋_GB2312" w:eastAsia="仿宋_GB2312" w:cs="仿宋_GB2312"/>
          <w:sz w:val="32"/>
          <w:szCs w:val="32"/>
          <w:highlight w:val="none"/>
        </w:rPr>
        <w:t>号）等有关规定支付，有效保障被拆迁居民、搬迁企业及其职工的合法权益。</w:t>
      </w:r>
    </w:p>
    <w:p w14:paraId="4C195391">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土地出让收入的使用要重点向农业农村支出倾斜，逐步提高用于农村基础设施建设</w:t>
      </w:r>
      <w:r>
        <w:rPr>
          <w:rFonts w:hint="eastAsia" w:ascii="仿宋_GB2312" w:hAnsi="仿宋_GB2312" w:eastAsia="仿宋_GB2312" w:cs="仿宋_GB2312"/>
          <w:sz w:val="32"/>
          <w:szCs w:val="32"/>
          <w:highlight w:val="none"/>
          <w:lang w:eastAsia="zh-CN"/>
        </w:rPr>
        <w:t>、农业生产发展、农村社会事业、农业农村生态环境等农业农村支出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比例</w:t>
      </w:r>
      <w:r>
        <w:rPr>
          <w:rFonts w:hint="eastAsia" w:ascii="仿宋_GB2312" w:hAnsi="仿宋_GB2312" w:eastAsia="仿宋_GB2312" w:cs="仿宋_GB2312"/>
          <w:sz w:val="32"/>
          <w:szCs w:val="32"/>
          <w:highlight w:val="none"/>
        </w:rPr>
        <w:t>，逐步改善农民的生产、生活条件和居住环境，努力提高农民的生活水平。</w:t>
      </w:r>
    </w:p>
    <w:p w14:paraId="7FC35D8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土地前期开发要积极引入市场机制、严格控制支出，通过政府采购招投标方式选择评估、拆迁、工程施工、监理等单位，努力降低开发成本。 </w:t>
      </w:r>
    </w:p>
    <w:p w14:paraId="5FFDDB41">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城市建设支出和其他支出要严格按照批准的预算执行。编制政府采购预算的，应当严格按照政府采购的有关规定执行。</w:t>
      </w:r>
    </w:p>
    <w:p w14:paraId="7B3D63A5">
      <w:pPr>
        <w:spacing w:line="560" w:lineRule="exact"/>
        <w:ind w:firstLine="640" w:firstLineChars="200"/>
        <w:rPr>
          <w:rFonts w:ascii="仿宋_GB2312" w:hAnsi="仿宋_GB2312" w:eastAsia="仿宋_GB2312" w:cs="仿宋_GB2312"/>
          <w:sz w:val="32"/>
          <w:szCs w:val="32"/>
          <w:highlight w:val="none"/>
        </w:rPr>
      </w:pPr>
    </w:p>
    <w:p w14:paraId="304B52FE">
      <w:p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第四章 土地出让收入的计提和分配</w:t>
      </w:r>
    </w:p>
    <w:p w14:paraId="7C4DA116">
      <w:pPr>
        <w:numPr>
          <w:ilvl w:val="255"/>
          <w:numId w:val="0"/>
        </w:numPr>
        <w:spacing w:line="560" w:lineRule="exact"/>
        <w:ind w:firstLine="640" w:firstLineChars="200"/>
        <w:rPr>
          <w:rFonts w:ascii="黑体" w:hAnsi="黑体" w:eastAsia="黑体" w:cs="黑体"/>
          <w:bCs/>
          <w:sz w:val="32"/>
          <w:szCs w:val="32"/>
          <w:highlight w:val="none"/>
        </w:rPr>
      </w:pPr>
    </w:p>
    <w:p w14:paraId="10CBF234">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土地出让收入中按以下项目计提和扣除（详见附件1）：</w:t>
      </w:r>
    </w:p>
    <w:p w14:paraId="1D16F8FE">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（一）国有土地收益基金；根据《财政部、国土资源部、中国人民银行关于印发国有土地使用权出让收支管理办法的通知》（财综〔</w:t>
      </w:r>
      <w:r>
        <w:rPr>
          <w:rFonts w:hint="default" w:ascii="Times New Roman" w:hAnsi="Times New Roman" w:eastAsia="仿宋_GB2312" w:cs="Times New Roman"/>
          <w:sz w:val="32"/>
          <w:szCs w:val="32"/>
          <w:highlight w:val="none"/>
        </w:rPr>
        <w:t>2006</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68</w:t>
      </w:r>
      <w:r>
        <w:rPr>
          <w:rFonts w:hint="eastAsia" w:ascii="仿宋_GB2312" w:hAnsi="仿宋_GB2312" w:eastAsia="仿宋_GB2312" w:cs="仿宋_GB2312"/>
          <w:sz w:val="32"/>
          <w:szCs w:val="32"/>
          <w:highlight w:val="none"/>
        </w:rPr>
        <w:t xml:space="preserve"> 号）</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 xml:space="preserve"> 浙江省人民政府关于进一步加强国有土地使用权出让收支管理的通知</w:t>
      </w:r>
      <w:r>
        <w:rPr>
          <w:rFonts w:hint="eastAsia" w:ascii="仿宋_GB2312" w:hAnsi="仿宋_GB2312" w:eastAsia="仿宋_GB2312" w:cs="仿宋_GB2312"/>
          <w:sz w:val="32"/>
          <w:szCs w:val="32"/>
          <w:highlight w:val="none"/>
          <w:lang w:eastAsia="zh-CN"/>
        </w:rPr>
        <w:t>》（浙政发〔</w:t>
      </w:r>
      <w:r>
        <w:rPr>
          <w:rFonts w:hint="default" w:ascii="Times New Roman" w:hAnsi="Times New Roman" w:eastAsia="仿宋_GB2312" w:cs="Times New Roman"/>
          <w:sz w:val="32"/>
          <w:szCs w:val="32"/>
          <w:highlight w:val="none"/>
          <w:lang w:eastAsia="zh-CN"/>
        </w:rPr>
        <w:t>2011</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val="en-US" w:eastAsia="zh-CN"/>
        </w:rPr>
        <w:t>34</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rPr>
        <w:t>规定，按出让国有土地使用权所取得的总成交价款的</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计提。</w:t>
      </w:r>
    </w:p>
    <w:p w14:paraId="2FD2260C">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（二）农业土地开发资金；根据《</w:t>
      </w:r>
      <w:bookmarkStart w:id="2" w:name="OLE_LINK1"/>
      <w:r>
        <w:rPr>
          <w:rFonts w:hint="eastAsia" w:ascii="仿宋_GB2312" w:hAnsi="仿宋_GB2312" w:eastAsia="仿宋_GB2312" w:cs="仿宋_GB2312"/>
          <w:sz w:val="32"/>
          <w:szCs w:val="32"/>
          <w:highlight w:val="none"/>
        </w:rPr>
        <w:t>财政部、国土资源部关于印发〈</w:t>
      </w:r>
      <w:bookmarkStart w:id="3" w:name="OLE_LINK6"/>
      <w:r>
        <w:rPr>
          <w:rFonts w:hint="eastAsia" w:ascii="仿宋_GB2312" w:hAnsi="仿宋_GB2312" w:eastAsia="仿宋_GB2312" w:cs="仿宋_GB2312"/>
          <w:sz w:val="32"/>
          <w:szCs w:val="32"/>
          <w:highlight w:val="none"/>
        </w:rPr>
        <w:t>用于农业土地开发的土地出让金收入管理办法</w:t>
      </w:r>
      <w:bookmarkEnd w:id="3"/>
      <w:r>
        <w:rPr>
          <w:rFonts w:hint="eastAsia" w:ascii="仿宋_GB2312" w:hAnsi="仿宋_GB2312" w:eastAsia="仿宋_GB2312" w:cs="仿宋_GB2312"/>
          <w:sz w:val="32"/>
          <w:szCs w:val="32"/>
          <w:highlight w:val="none"/>
        </w:rPr>
        <w:t>〉通知</w:t>
      </w:r>
      <w:bookmarkEnd w:id="2"/>
      <w:r>
        <w:rPr>
          <w:rFonts w:hint="eastAsia" w:ascii="仿宋_GB2312" w:hAnsi="仿宋_GB2312" w:eastAsia="仿宋_GB2312" w:cs="仿宋_GB2312"/>
          <w:sz w:val="32"/>
          <w:szCs w:val="32"/>
          <w:highlight w:val="none"/>
        </w:rPr>
        <w:t>》（财综〔</w:t>
      </w:r>
      <w:r>
        <w:rPr>
          <w:rFonts w:hint="default" w:ascii="Times New Roman" w:hAnsi="Times New Roman" w:eastAsia="仿宋_GB2312" w:cs="Times New Roman"/>
          <w:sz w:val="32"/>
          <w:szCs w:val="32"/>
          <w:highlight w:val="none"/>
        </w:rPr>
        <w:t>2004</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49</w:t>
      </w:r>
      <w:r>
        <w:rPr>
          <w:rFonts w:hint="eastAsia" w:ascii="仿宋_GB2312" w:hAnsi="仿宋_GB2312" w:eastAsia="仿宋_GB2312" w:cs="仿宋_GB2312"/>
          <w:sz w:val="32"/>
          <w:szCs w:val="32"/>
          <w:highlight w:val="none"/>
        </w:rPr>
        <w:t>号）规定，按出让面积每亩</w:t>
      </w:r>
      <w:r>
        <w:rPr>
          <w:rFonts w:hint="default" w:ascii="Times New Roman" w:hAnsi="Times New Roman" w:eastAsia="仿宋_GB2312" w:cs="Times New Roman"/>
          <w:sz w:val="32"/>
          <w:szCs w:val="32"/>
          <w:highlight w:val="none"/>
        </w:rPr>
        <w:t>4100</w:t>
      </w:r>
      <w:r>
        <w:rPr>
          <w:rFonts w:hint="eastAsia" w:ascii="仿宋_GB2312" w:hAnsi="仿宋_GB2312" w:eastAsia="仿宋_GB2312" w:cs="仿宋_GB2312"/>
          <w:sz w:val="32"/>
          <w:szCs w:val="32"/>
          <w:highlight w:val="none"/>
        </w:rPr>
        <w:t>元计提。</w:t>
      </w:r>
    </w:p>
    <w:p w14:paraId="1BC99CBA">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bookmarkStart w:id="4" w:name="OLE_LINK12"/>
      <w:r>
        <w:rPr>
          <w:rFonts w:hint="eastAsia" w:ascii="仿宋_GB2312" w:hAnsi="仿宋_GB2312" w:eastAsia="仿宋_GB2312" w:cs="仿宋_GB2312"/>
          <w:sz w:val="32"/>
          <w:szCs w:val="32"/>
          <w:highlight w:val="none"/>
        </w:rPr>
        <w:t>被征地农民基本养老保障调节基金</w:t>
      </w:r>
      <w:bookmarkEnd w:id="4"/>
      <w:r>
        <w:rPr>
          <w:rFonts w:hint="eastAsia" w:ascii="仿宋_GB2312" w:hAnsi="仿宋_GB2312" w:eastAsia="仿宋_GB2312" w:cs="仿宋_GB2312"/>
          <w:sz w:val="32"/>
          <w:szCs w:val="32"/>
          <w:highlight w:val="none"/>
        </w:rPr>
        <w:t>；根据</w:t>
      </w:r>
      <w:bookmarkStart w:id="5" w:name="OLE_LINK10"/>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国务院办公厅关于规范国有土地使用权出让收支管理的</w:t>
      </w:r>
      <w:r>
        <w:rPr>
          <w:rFonts w:hint="eastAsia" w:ascii="仿宋_GB2312" w:hAnsi="仿宋_GB2312" w:eastAsia="仿宋_GB2312" w:cs="仿宋_GB2312"/>
          <w:sz w:val="32"/>
          <w:szCs w:val="32"/>
          <w:highlight w:val="none"/>
          <w:lang w:eastAsia="zh-CN"/>
        </w:rPr>
        <w:t>通知》（国办发〔</w:t>
      </w:r>
      <w:r>
        <w:rPr>
          <w:rFonts w:hint="default" w:ascii="Times New Roman" w:hAnsi="Times New Roman" w:eastAsia="仿宋_GB2312" w:cs="Times New Roman"/>
          <w:sz w:val="32"/>
          <w:szCs w:val="32"/>
          <w:highlight w:val="none"/>
          <w:lang w:eastAsia="zh-CN"/>
        </w:rPr>
        <w:t>2006</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eastAsia="zh-CN"/>
        </w:rPr>
        <w:t>100</w:t>
      </w:r>
      <w:r>
        <w:rPr>
          <w:rFonts w:hint="eastAsia" w:ascii="仿宋_GB2312" w:hAnsi="仿宋_GB2312" w:eastAsia="仿宋_GB2312" w:cs="仿宋_GB2312"/>
          <w:sz w:val="32"/>
          <w:szCs w:val="32"/>
          <w:highlight w:val="none"/>
          <w:lang w:eastAsia="zh-CN"/>
        </w:rPr>
        <w:t>号）和</w:t>
      </w:r>
      <w:r>
        <w:rPr>
          <w:rFonts w:hint="eastAsia" w:ascii="仿宋_GB2312" w:hAnsi="仿宋_GB2312" w:eastAsia="仿宋_GB2312" w:cs="仿宋_GB2312"/>
          <w:sz w:val="32"/>
          <w:szCs w:val="32"/>
          <w:highlight w:val="none"/>
        </w:rPr>
        <w:t>《浙江省人力资源和社会保障厅 浙江省财政厅 浙江省自然资源厅 国家税务总局浙江省税务局</w:t>
      </w:r>
      <w:bookmarkStart w:id="6" w:name="OLE_LINK9"/>
      <w:r>
        <w:rPr>
          <w:rFonts w:hint="eastAsia" w:ascii="仿宋_GB2312" w:hAnsi="仿宋_GB2312" w:eastAsia="仿宋_GB2312" w:cs="仿宋_GB2312"/>
          <w:sz w:val="32"/>
          <w:szCs w:val="32"/>
          <w:highlight w:val="none"/>
        </w:rPr>
        <w:t>关于进一步做好被征地农民参加基本养老保险有关工作的通知</w:t>
      </w:r>
      <w:bookmarkEnd w:id="6"/>
      <w:r>
        <w:rPr>
          <w:rFonts w:hint="eastAsia" w:ascii="仿宋_GB2312" w:hAnsi="仿宋_GB2312" w:eastAsia="仿宋_GB2312" w:cs="仿宋_GB2312"/>
          <w:sz w:val="32"/>
          <w:szCs w:val="32"/>
          <w:highlight w:val="none"/>
        </w:rPr>
        <w:t>》（浙人社发〔</w:t>
      </w:r>
      <w:r>
        <w:rPr>
          <w:rFonts w:hint="default" w:ascii="Times New Roman" w:hAnsi="Times New Roman" w:eastAsia="仿宋_GB2312" w:cs="Times New Roman"/>
          <w:sz w:val="32"/>
          <w:szCs w:val="32"/>
          <w:highlight w:val="none"/>
        </w:rPr>
        <w:t>2020</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61</w:t>
      </w:r>
      <w:r>
        <w:rPr>
          <w:rFonts w:hint="eastAsia" w:ascii="仿宋_GB2312" w:hAnsi="仿宋_GB2312" w:eastAsia="仿宋_GB2312" w:cs="仿宋_GB2312"/>
          <w:sz w:val="32"/>
          <w:szCs w:val="32"/>
          <w:highlight w:val="none"/>
        </w:rPr>
        <w:t xml:space="preserve"> 号）</w:t>
      </w:r>
      <w:bookmarkEnd w:id="5"/>
      <w:r>
        <w:rPr>
          <w:rFonts w:hint="eastAsia" w:ascii="仿宋_GB2312" w:hAnsi="仿宋_GB2312" w:eastAsia="仿宋_GB2312" w:cs="仿宋_GB2312"/>
          <w:sz w:val="32"/>
          <w:szCs w:val="32"/>
          <w:highlight w:val="none"/>
        </w:rPr>
        <w:t>规定，按出让国有土地使用权所取得的总成交价款的</w:t>
      </w:r>
      <w:r>
        <w:rPr>
          <w:rFonts w:hint="default" w:ascii="Times New Roman" w:hAnsi="Times New Roman" w:eastAsia="仿宋_GB2312" w:cs="Times New Roman"/>
          <w:sz w:val="32"/>
          <w:szCs w:val="32"/>
          <w:highlight w:val="none"/>
        </w:rPr>
        <w:t>6%</w:t>
      </w:r>
      <w:r>
        <w:rPr>
          <w:rFonts w:hint="eastAsia" w:ascii="仿宋_GB2312" w:hAnsi="仿宋_GB2312" w:eastAsia="仿宋_GB2312" w:cs="仿宋_GB2312"/>
          <w:sz w:val="32"/>
          <w:szCs w:val="32"/>
          <w:highlight w:val="none"/>
        </w:rPr>
        <w:t>计提。</w:t>
      </w:r>
    </w:p>
    <w:p w14:paraId="600EF47F">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bookmarkStart w:id="7" w:name="OLE_LINK11"/>
      <w:r>
        <w:rPr>
          <w:rFonts w:hint="eastAsia" w:ascii="仿宋_GB2312" w:hAnsi="仿宋_GB2312" w:eastAsia="仿宋_GB2312" w:cs="仿宋_GB2312"/>
          <w:sz w:val="32"/>
          <w:szCs w:val="32"/>
          <w:highlight w:val="none"/>
        </w:rPr>
        <w:t>社会保障风险准备金</w:t>
      </w:r>
      <w:bookmarkEnd w:id="7"/>
      <w:r>
        <w:rPr>
          <w:rFonts w:hint="eastAsia" w:ascii="仿宋_GB2312" w:hAnsi="仿宋_GB2312" w:eastAsia="仿宋_GB2312" w:cs="仿宋_GB2312"/>
          <w:sz w:val="32"/>
          <w:szCs w:val="32"/>
          <w:highlight w:val="none"/>
        </w:rPr>
        <w:t>；根据《</w:t>
      </w:r>
      <w:bookmarkStart w:id="8" w:name="OLE_LINK5"/>
      <w:r>
        <w:rPr>
          <w:rFonts w:hint="eastAsia" w:ascii="仿宋_GB2312" w:hAnsi="仿宋_GB2312" w:eastAsia="仿宋_GB2312" w:cs="仿宋_GB2312"/>
          <w:sz w:val="32"/>
          <w:szCs w:val="32"/>
          <w:highlight w:val="none"/>
        </w:rPr>
        <w:t>浙江省财政厅关于印发</w:t>
      </w:r>
      <w:bookmarkStart w:id="9" w:name="OLE_LINK8"/>
      <w:r>
        <w:rPr>
          <w:rFonts w:hint="eastAsia" w:ascii="仿宋_GB2312" w:hAnsi="仿宋_GB2312" w:eastAsia="仿宋_GB2312" w:cs="仿宋_GB2312"/>
          <w:sz w:val="32"/>
          <w:szCs w:val="32"/>
          <w:highlight w:val="none"/>
        </w:rPr>
        <w:t>浙江省社会保障风险准备金管理办法的通知</w:t>
      </w:r>
      <w:bookmarkEnd w:id="8"/>
      <w:bookmarkEnd w:id="9"/>
      <w:r>
        <w:rPr>
          <w:rFonts w:hint="eastAsia" w:ascii="仿宋_GB2312" w:hAnsi="仿宋_GB2312" w:eastAsia="仿宋_GB2312" w:cs="仿宋_GB2312"/>
          <w:sz w:val="32"/>
          <w:szCs w:val="32"/>
          <w:highlight w:val="none"/>
        </w:rPr>
        <w:t>》（浙财社〔</w:t>
      </w:r>
      <w:r>
        <w:rPr>
          <w:rFonts w:hint="default" w:ascii="Times New Roman" w:hAnsi="Times New Roman" w:eastAsia="仿宋_GB2312" w:cs="Times New Roman"/>
          <w:sz w:val="32"/>
          <w:szCs w:val="32"/>
          <w:highlight w:val="none"/>
        </w:rPr>
        <w:t>2021</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号）规定，按出让国有土地使用权所取得的总成交价款的</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rPr>
        <w:t>的计提。</w:t>
      </w:r>
    </w:p>
    <w:p w14:paraId="31D0D371">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（五）教育资金；根据《财政部 教育部关于从土地出让收益中计提教育资金有关事项的通知》（财综〔</w:t>
      </w:r>
      <w:r>
        <w:rPr>
          <w:rFonts w:hint="default" w:ascii="Times New Roman" w:hAnsi="Times New Roman" w:eastAsia="仿宋_GB2312" w:cs="Times New Roman"/>
          <w:sz w:val="32"/>
          <w:szCs w:val="32"/>
          <w:highlight w:val="none"/>
        </w:rPr>
        <w:t>2011</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62</w:t>
      </w:r>
      <w:r>
        <w:rPr>
          <w:rFonts w:hint="eastAsia" w:ascii="仿宋_GB2312" w:hAnsi="仿宋_GB2312" w:eastAsia="仿宋_GB2312" w:cs="仿宋_GB2312"/>
          <w:sz w:val="32"/>
          <w:szCs w:val="32"/>
          <w:highlight w:val="none"/>
        </w:rPr>
        <w:t xml:space="preserve"> 号）规定，按出让国有土地使用权所取得的总成交价款的</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预提。</w:t>
      </w:r>
    </w:p>
    <w:p w14:paraId="52688F69">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（六）农田水利资金；根据《财政部 水利部关于从土地出让收益中计提农田水利建设资金有关事项的通知》（财综〔</w:t>
      </w:r>
      <w:r>
        <w:rPr>
          <w:rFonts w:hint="default" w:ascii="Times New Roman" w:hAnsi="Times New Roman" w:eastAsia="仿宋_GB2312" w:cs="Times New Roman"/>
          <w:sz w:val="32"/>
          <w:szCs w:val="32"/>
          <w:highlight w:val="none"/>
        </w:rPr>
        <w:t>2011</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48</w:t>
      </w:r>
      <w:r>
        <w:rPr>
          <w:rFonts w:hint="eastAsia" w:ascii="仿宋_GB2312" w:hAnsi="仿宋_GB2312" w:eastAsia="仿宋_GB2312" w:cs="仿宋_GB2312"/>
          <w:sz w:val="32"/>
          <w:szCs w:val="32"/>
          <w:highlight w:val="none"/>
        </w:rPr>
        <w:t xml:space="preserve"> 号）</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 xml:space="preserve"> 浙江省人民政府关于进一步加强国有土地使用权出让收支管理的通知</w:t>
      </w:r>
      <w:r>
        <w:rPr>
          <w:rFonts w:hint="eastAsia" w:ascii="仿宋_GB2312" w:hAnsi="仿宋_GB2312" w:eastAsia="仿宋_GB2312" w:cs="仿宋_GB2312"/>
          <w:sz w:val="32"/>
          <w:szCs w:val="32"/>
          <w:highlight w:val="none"/>
          <w:lang w:eastAsia="zh-CN"/>
        </w:rPr>
        <w:t>》（浙政发〔</w:t>
      </w:r>
      <w:r>
        <w:rPr>
          <w:rFonts w:hint="default" w:ascii="Times New Roman" w:hAnsi="Times New Roman" w:eastAsia="仿宋_GB2312" w:cs="Times New Roman"/>
          <w:sz w:val="32"/>
          <w:szCs w:val="32"/>
          <w:highlight w:val="none"/>
          <w:lang w:eastAsia="zh-CN"/>
        </w:rPr>
        <w:t>2011</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eastAsia="zh-CN"/>
        </w:rPr>
        <w:t>34</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规定，按出让国有土地使用权所取得的总成交价款的</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预提。</w:t>
      </w:r>
    </w:p>
    <w:p w14:paraId="78292D37">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（七）土地出让业务支出；根据《</w:t>
      </w:r>
      <w:bookmarkStart w:id="10" w:name="OLE_LINK13"/>
      <w:r>
        <w:rPr>
          <w:rFonts w:hint="eastAsia" w:ascii="仿宋_GB2312" w:hAnsi="仿宋_GB2312" w:eastAsia="仿宋_GB2312" w:cs="仿宋_GB2312"/>
          <w:sz w:val="32"/>
          <w:szCs w:val="32"/>
          <w:highlight w:val="none"/>
        </w:rPr>
        <w:t>财政部、国土资源部、中国人民银行关于印发国有土地使用权出让收支管理办法的通知</w:t>
      </w:r>
      <w:bookmarkEnd w:id="10"/>
      <w:r>
        <w:rPr>
          <w:rFonts w:hint="eastAsia" w:ascii="仿宋_GB2312" w:hAnsi="仿宋_GB2312" w:eastAsia="仿宋_GB2312" w:cs="仿宋_GB2312"/>
          <w:sz w:val="32"/>
          <w:szCs w:val="32"/>
          <w:highlight w:val="none"/>
        </w:rPr>
        <w:t>》（财综〔</w:t>
      </w:r>
      <w:r>
        <w:rPr>
          <w:rFonts w:hint="default" w:ascii="Times New Roman" w:hAnsi="Times New Roman" w:eastAsia="仿宋_GB2312" w:cs="Times New Roman"/>
          <w:sz w:val="32"/>
          <w:szCs w:val="32"/>
          <w:highlight w:val="none"/>
        </w:rPr>
        <w:t>2006</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68</w:t>
      </w:r>
      <w:r>
        <w:rPr>
          <w:rFonts w:hint="eastAsia" w:ascii="仿宋_GB2312" w:hAnsi="仿宋_GB2312" w:eastAsia="仿宋_GB2312" w:cs="仿宋_GB2312"/>
          <w:sz w:val="32"/>
          <w:szCs w:val="32"/>
          <w:highlight w:val="none"/>
        </w:rPr>
        <w:t xml:space="preserve"> 号）规定，按出让国有土地使用权所取得的总成交价款的2%计提。</w:t>
      </w:r>
    </w:p>
    <w:p w14:paraId="6C902994">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（八）新增建设用地土地有偿使用费；按照《财政部、国土资源部、中国人民银行</w:t>
      </w:r>
      <w:bookmarkStart w:id="11" w:name="OLE_LINK14"/>
      <w:r>
        <w:rPr>
          <w:rFonts w:hint="eastAsia" w:ascii="仿宋_GB2312" w:hAnsi="仿宋_GB2312" w:eastAsia="仿宋_GB2312" w:cs="仿宋_GB2312"/>
          <w:sz w:val="32"/>
          <w:szCs w:val="32"/>
          <w:highlight w:val="none"/>
        </w:rPr>
        <w:t>关于调整新增建设用地土地有偿使用费政策等问题的通知</w:t>
      </w:r>
      <w:bookmarkEnd w:id="11"/>
      <w:r>
        <w:rPr>
          <w:rFonts w:hint="eastAsia" w:ascii="仿宋_GB2312" w:hAnsi="仿宋_GB2312" w:eastAsia="仿宋_GB2312" w:cs="仿宋_GB2312"/>
          <w:sz w:val="32"/>
          <w:szCs w:val="32"/>
          <w:highlight w:val="none"/>
        </w:rPr>
        <w:t>》（财综〔</w:t>
      </w:r>
      <w:r>
        <w:rPr>
          <w:rFonts w:hint="default" w:ascii="Times New Roman" w:hAnsi="Times New Roman" w:eastAsia="仿宋_GB2312" w:cs="Times New Roman"/>
          <w:sz w:val="32"/>
          <w:szCs w:val="32"/>
          <w:highlight w:val="none"/>
        </w:rPr>
        <w:t>2006</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48</w:t>
      </w:r>
      <w:r>
        <w:rPr>
          <w:rFonts w:hint="eastAsia" w:ascii="仿宋_GB2312" w:hAnsi="仿宋_GB2312" w:eastAsia="仿宋_GB2312" w:cs="仿宋_GB2312"/>
          <w:sz w:val="32"/>
          <w:szCs w:val="32"/>
          <w:highlight w:val="none"/>
        </w:rPr>
        <w:t>号）规定，按出让面积每平方</w:t>
      </w:r>
      <w:r>
        <w:rPr>
          <w:rFonts w:hint="default" w:ascii="Times New Roman" w:hAnsi="Times New Roman" w:eastAsia="仿宋_GB2312" w:cs="Times New Roman"/>
          <w:sz w:val="32"/>
          <w:szCs w:val="32"/>
          <w:highlight w:val="none"/>
        </w:rPr>
        <w:t>28</w:t>
      </w:r>
      <w:r>
        <w:rPr>
          <w:rFonts w:hint="eastAsia" w:ascii="仿宋_GB2312" w:hAnsi="仿宋_GB2312" w:eastAsia="仿宋_GB2312" w:cs="仿宋_GB2312"/>
          <w:sz w:val="32"/>
          <w:szCs w:val="32"/>
          <w:highlight w:val="none"/>
        </w:rPr>
        <w:t>元缴纳。</w:t>
      </w:r>
    </w:p>
    <w:p w14:paraId="03B226CE">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（九）公共租赁住房保障支出；根据《财政部、国土资源部、中国人民银行关于印发国有土地使用权出让收支管理办法的通知》（财综〔</w:t>
      </w:r>
      <w:r>
        <w:rPr>
          <w:rFonts w:hint="default" w:ascii="Times New Roman" w:hAnsi="Times New Roman" w:eastAsia="仿宋_GB2312" w:cs="Times New Roman"/>
          <w:sz w:val="32"/>
          <w:szCs w:val="32"/>
          <w:highlight w:val="none"/>
        </w:rPr>
        <w:t>2006</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 xml:space="preserve">68 </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 xml:space="preserve"> 浙江省人民政府关于进一步加强国有土地使用权出让收支管理的通知</w:t>
      </w:r>
      <w:r>
        <w:rPr>
          <w:rFonts w:hint="eastAsia" w:ascii="仿宋_GB2312" w:hAnsi="仿宋_GB2312" w:eastAsia="仿宋_GB2312" w:cs="仿宋_GB2312"/>
          <w:sz w:val="32"/>
          <w:szCs w:val="32"/>
          <w:highlight w:val="none"/>
          <w:lang w:eastAsia="zh-CN"/>
        </w:rPr>
        <w:t>》（浙政发〔</w:t>
      </w:r>
      <w:r>
        <w:rPr>
          <w:rFonts w:hint="default" w:ascii="Times New Roman" w:hAnsi="Times New Roman" w:eastAsia="仿宋_GB2312" w:cs="Times New Roman"/>
          <w:sz w:val="32"/>
          <w:szCs w:val="32"/>
          <w:highlight w:val="none"/>
          <w:lang w:eastAsia="zh-CN"/>
        </w:rPr>
        <w:t>2011</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eastAsia="zh-CN"/>
        </w:rPr>
        <w:t>34</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规定，按出让国有土地使用权所取得的总成交价款的</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计提。</w:t>
      </w:r>
    </w:p>
    <w:p w14:paraId="41BDF9F7">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（十）“腾笼换鸟”专项经费；根据《</w:t>
      </w:r>
      <w:r>
        <w:rPr>
          <w:rFonts w:hint="eastAsia" w:ascii="仿宋_GB2312" w:hAnsi="仿宋_GB2312" w:eastAsia="仿宋_GB2312" w:cs="仿宋_GB2312"/>
          <w:sz w:val="32"/>
          <w:szCs w:val="32"/>
          <w:highlight w:val="none"/>
          <w:lang w:eastAsia="zh-CN"/>
        </w:rPr>
        <w:t>浙江省制高办</w:t>
      </w:r>
      <w:r>
        <w:rPr>
          <w:rFonts w:hint="eastAsia" w:ascii="仿宋_GB2312" w:hAnsi="仿宋_GB2312" w:eastAsia="仿宋_GB2312" w:cs="仿宋_GB2312"/>
          <w:sz w:val="32"/>
          <w:szCs w:val="32"/>
          <w:highlight w:val="none"/>
          <w:lang w:val="en-US" w:eastAsia="zh-CN"/>
        </w:rPr>
        <w:t xml:space="preserve"> 浙江省经信厅 浙江省财政厅</w:t>
      </w:r>
      <w:r>
        <w:rPr>
          <w:rFonts w:hint="eastAsia" w:ascii="仿宋_GB2312" w:hAnsi="仿宋_GB2312" w:eastAsia="仿宋_GB2312" w:cs="仿宋_GB2312"/>
          <w:sz w:val="32"/>
          <w:szCs w:val="32"/>
          <w:highlight w:val="none"/>
        </w:rPr>
        <w:t>关于做好“腾笼换鸟”专项经费</w:t>
      </w:r>
      <w:r>
        <w:rPr>
          <w:rFonts w:hint="eastAsia" w:ascii="仿宋_GB2312" w:hAnsi="仿宋_GB2312" w:eastAsia="仿宋_GB2312" w:cs="仿宋_GB2312"/>
          <w:sz w:val="32"/>
          <w:szCs w:val="32"/>
          <w:highlight w:val="none"/>
          <w:lang w:eastAsia="zh-CN"/>
        </w:rPr>
        <w:t>管理工作的补充</w:t>
      </w:r>
      <w:r>
        <w:rPr>
          <w:rFonts w:hint="eastAsia" w:ascii="仿宋_GB2312" w:hAnsi="仿宋_GB2312" w:eastAsia="仿宋_GB2312" w:cs="仿宋_GB2312"/>
          <w:sz w:val="32"/>
          <w:szCs w:val="32"/>
          <w:highlight w:val="none"/>
        </w:rPr>
        <w:t>通知》规定，按土地出让收入的</w:t>
      </w:r>
      <w:r>
        <w:rPr>
          <w:rFonts w:hint="default" w:ascii="Times New Roman" w:hAnsi="Times New Roman" w:eastAsia="仿宋_GB2312" w:cs="Times New Roman"/>
          <w:sz w:val="32"/>
          <w:szCs w:val="32"/>
          <w:highlight w:val="none"/>
        </w:rPr>
        <w:t>0.5%</w:t>
      </w:r>
      <w:r>
        <w:rPr>
          <w:rFonts w:hint="eastAsia" w:ascii="仿宋_GB2312" w:hAnsi="仿宋_GB2312" w:eastAsia="仿宋_GB2312" w:cs="仿宋_GB2312"/>
          <w:sz w:val="32"/>
          <w:szCs w:val="32"/>
          <w:highlight w:val="none"/>
        </w:rPr>
        <w:t>计提。</w:t>
      </w:r>
    </w:p>
    <w:p w14:paraId="2D580094">
      <w:pPr>
        <w:numPr>
          <w:ilvl w:val="255"/>
          <w:numId w:val="0"/>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（十一）成本类费用；包括土地补偿费、安置补助费、</w:t>
      </w:r>
      <w:r>
        <w:rPr>
          <w:rFonts w:hint="eastAsia" w:ascii="仿宋_GB2312" w:hAnsi="仿宋_GB2312" w:eastAsia="仿宋_GB2312" w:cs="仿宋_GB2312"/>
          <w:sz w:val="32"/>
          <w:szCs w:val="32"/>
          <w:highlight w:val="none"/>
          <w:lang w:eastAsia="zh-CN"/>
        </w:rPr>
        <w:t>耕地开垦费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补充耕地资金、</w:t>
      </w:r>
      <w:r>
        <w:rPr>
          <w:rFonts w:hint="eastAsia" w:ascii="仿宋_GB2312" w:hAnsi="仿宋_GB2312" w:eastAsia="仿宋_GB2312" w:cs="仿宋_GB2312"/>
          <w:sz w:val="32"/>
          <w:szCs w:val="32"/>
          <w:highlight w:val="none"/>
        </w:rPr>
        <w:t>土地收储成本等。</w:t>
      </w:r>
      <w:r>
        <w:rPr>
          <w:rFonts w:hint="eastAsia" w:ascii="仿宋_GB2312" w:hAnsi="仿宋_GB2312" w:eastAsia="仿宋_GB2312" w:cs="仿宋_GB2312"/>
          <w:sz w:val="32"/>
          <w:szCs w:val="32"/>
          <w:highlight w:val="none"/>
          <w:lang w:eastAsia="zh-CN"/>
        </w:rPr>
        <w:t>具体金额</w:t>
      </w:r>
      <w:r>
        <w:rPr>
          <w:rFonts w:hint="eastAsia" w:ascii="仿宋_GB2312" w:hAnsi="仿宋_GB2312" w:eastAsia="仿宋_GB2312" w:cs="仿宋_GB2312"/>
          <w:sz w:val="32"/>
          <w:szCs w:val="32"/>
          <w:highlight w:val="none"/>
        </w:rPr>
        <w:t>按实际支出</w:t>
      </w:r>
      <w:r>
        <w:rPr>
          <w:rFonts w:hint="eastAsia" w:ascii="仿宋_GB2312" w:hAnsi="仿宋_GB2312" w:eastAsia="仿宋_GB2312" w:cs="仿宋_GB2312"/>
          <w:sz w:val="32"/>
          <w:szCs w:val="32"/>
          <w:highlight w:val="none"/>
          <w:lang w:eastAsia="zh-CN"/>
        </w:rPr>
        <w:t>予以</w:t>
      </w:r>
      <w:r>
        <w:rPr>
          <w:rFonts w:hint="eastAsia" w:ascii="仿宋_GB2312" w:hAnsi="仿宋_GB2312" w:eastAsia="仿宋_GB2312" w:cs="仿宋_GB2312"/>
          <w:sz w:val="32"/>
          <w:szCs w:val="32"/>
          <w:highlight w:val="none"/>
        </w:rPr>
        <w:t>结算。</w:t>
      </w:r>
    </w:p>
    <w:p w14:paraId="1D1D9393">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青苗补偿费、地上附着物补偿费、拆迁补偿费等费用由土地所属乡镇</w:t>
      </w:r>
      <w:r>
        <w:rPr>
          <w:rFonts w:hint="eastAsia" w:ascii="仿宋_GB2312" w:hAnsi="仿宋_GB2312" w:eastAsia="仿宋_GB2312" w:cs="仿宋_GB2312"/>
          <w:sz w:val="32"/>
          <w:szCs w:val="32"/>
          <w:highlight w:val="none"/>
          <w:lang w:eastAsia="zh-CN"/>
        </w:rPr>
        <w:t>（街道）</w:t>
      </w:r>
      <w:r>
        <w:rPr>
          <w:rFonts w:hint="eastAsia" w:ascii="仿宋_GB2312" w:hAnsi="仿宋_GB2312" w:eastAsia="仿宋_GB2312" w:cs="仿宋_GB2312"/>
          <w:sz w:val="32"/>
          <w:szCs w:val="32"/>
          <w:highlight w:val="none"/>
        </w:rPr>
        <w:t>、功能区负担。</w:t>
      </w:r>
    </w:p>
    <w:p w14:paraId="7B30A67C">
      <w:pPr>
        <w:numPr>
          <w:ilvl w:val="255"/>
          <w:numId w:val="0"/>
        </w:num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属地乡镇（街道）、功能区在征收、做地过程中应建立专账核算，在地块出让前，应及时将实际发生的成本类费用报送市自然资源和规划部门，由市自然资源和规划部门核实归集后并抄送市财政部门。</w:t>
      </w:r>
    </w:p>
    <w:p w14:paraId="00C4F56A">
      <w:pPr>
        <w:widowControl/>
        <w:numPr>
          <w:ilvl w:val="0"/>
          <w:numId w:val="0"/>
        </w:numPr>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rPr>
        <w:t>国有土地使用权收入按上述标准计提和扣除后，剩余部分作为待分配收入，由市财政和乡镇（街道）、功能区财政按规定比例，通过预算安排使用。市财政与各乡镇（街道）、功能区的分成比例为：乐成中心城区区域内的国有土地出让，其土地出让收入由市财政全额统筹安排预算支出；柳市镇、乐清经济开发区、乐清湾港区按</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lang w:val="en-US" w:eastAsia="zh-CN"/>
        </w:rPr>
        <w:t>80</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rPr>
        <w:t>的比例分成；其他乡镇（街道）按</w:t>
      </w:r>
      <w:r>
        <w:rPr>
          <w:rFonts w:hint="default"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lang w:val="en-US" w:eastAsia="zh-CN"/>
        </w:rPr>
        <w:t>69</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highlight w:val="none"/>
        </w:rPr>
        <w:t>的比例分成。</w:t>
      </w:r>
    </w:p>
    <w:p w14:paraId="13C1FB0F">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征用</w:t>
      </w:r>
      <w:r>
        <w:rPr>
          <w:rFonts w:hint="eastAsia" w:ascii="仿宋_GB2312" w:hAnsi="仿宋_GB2312" w:eastAsia="仿宋_GB2312" w:cs="仿宋_GB2312"/>
          <w:sz w:val="32"/>
          <w:szCs w:val="32"/>
          <w:highlight w:val="none"/>
          <w:lang w:eastAsia="zh-CN"/>
        </w:rPr>
        <w:t>村集体</w:t>
      </w:r>
      <w:r>
        <w:rPr>
          <w:rFonts w:hint="eastAsia" w:ascii="仿宋_GB2312" w:hAnsi="仿宋_GB2312" w:eastAsia="仿宋_GB2312" w:cs="仿宋_GB2312"/>
          <w:sz w:val="32"/>
          <w:szCs w:val="32"/>
          <w:highlight w:val="none"/>
        </w:rPr>
        <w:t>的土地，用于经营性商住的，由各乡镇（街道）、功能区在各自的土地出让金分成所得中，按土地出让成交价的</w:t>
      </w:r>
      <w:r>
        <w:rPr>
          <w:rFonts w:hint="default" w:ascii="Times New Roman" w:hAnsi="Times New Roman" w:eastAsia="仿宋_GB2312" w:cs="Times New Roman"/>
          <w:sz w:val="32"/>
          <w:szCs w:val="32"/>
          <w:highlight w:val="none"/>
        </w:rPr>
        <w:t>12%</w:t>
      </w:r>
      <w:r>
        <w:rPr>
          <w:rFonts w:hint="eastAsia" w:ascii="仿宋_GB2312" w:hAnsi="仿宋_GB2312" w:eastAsia="仿宋_GB2312" w:cs="仿宋_GB2312"/>
          <w:sz w:val="32"/>
          <w:szCs w:val="32"/>
          <w:highlight w:val="none"/>
        </w:rPr>
        <w:t>补助给被征地村；用于工业、福利性住宅、医疗、教育项目的，按每亩</w:t>
      </w:r>
      <w:r>
        <w:rPr>
          <w:rFonts w:hint="eastAsia" w:ascii="仿宋_GB2312" w:hAnsi="仿宋_GB2312" w:eastAsia="仿宋_GB2312" w:cs="仿宋_GB2312"/>
          <w:sz w:val="32"/>
          <w:szCs w:val="32"/>
          <w:highlight w:val="none"/>
          <w:lang w:eastAsia="zh-CN"/>
        </w:rPr>
        <w:t>按</w:t>
      </w:r>
      <w:r>
        <w:rPr>
          <w:rFonts w:hint="default" w:ascii="Times New Roman" w:hAnsi="Times New Roman" w:eastAsia="仿宋_GB2312" w:cs="Times New Roman"/>
          <w:sz w:val="32"/>
          <w:szCs w:val="32"/>
          <w:highlight w:val="none"/>
        </w:rPr>
        <w:t>10</w:t>
      </w:r>
      <w:r>
        <w:rPr>
          <w:rFonts w:hint="eastAsia" w:ascii="仿宋_GB2312" w:hAnsi="仿宋_GB2312" w:eastAsia="仿宋_GB2312" w:cs="仿宋_GB2312"/>
          <w:sz w:val="32"/>
          <w:szCs w:val="32"/>
          <w:highlight w:val="none"/>
        </w:rPr>
        <w:t>万元的标准，在土地征收方案批准后，由市财政部门与各乡镇（街道）、功能区分成比例结算、承担，并补助给被征地村。</w:t>
      </w:r>
      <w:r>
        <w:rPr>
          <w:rFonts w:hint="eastAsia" w:ascii="仿宋_GB2312" w:hAnsi="仿宋_GB2312" w:eastAsia="仿宋_GB2312" w:cs="仿宋_GB2312"/>
          <w:sz w:val="32"/>
          <w:szCs w:val="32"/>
          <w:highlight w:val="none"/>
          <w:lang w:eastAsia="zh-CN"/>
        </w:rPr>
        <w:t>各乡镇（街道）、功能区不得</w:t>
      </w:r>
      <w:r>
        <w:rPr>
          <w:rFonts w:hint="default" w:ascii="仿宋_GB2312" w:hAnsi="仿宋_GB2312" w:eastAsia="仿宋_GB2312" w:cs="仿宋_GB2312"/>
          <w:sz w:val="32"/>
          <w:szCs w:val="32"/>
          <w:highlight w:val="none"/>
          <w:lang w:eastAsia="zh-CN"/>
        </w:rPr>
        <w:t>以各种名义</w:t>
      </w:r>
      <w:r>
        <w:rPr>
          <w:rFonts w:hint="eastAsia" w:ascii="仿宋_GB2312" w:hAnsi="仿宋_GB2312" w:eastAsia="仿宋_GB2312" w:cs="仿宋_GB2312"/>
          <w:sz w:val="32"/>
          <w:szCs w:val="32"/>
          <w:highlight w:val="none"/>
          <w:lang w:eastAsia="zh-CN"/>
        </w:rPr>
        <w:t>擅自突破政策给予被征地村</w:t>
      </w:r>
      <w:r>
        <w:rPr>
          <w:rFonts w:hint="default" w:ascii="仿宋_GB2312" w:hAnsi="仿宋_GB2312" w:eastAsia="仿宋_GB2312" w:cs="仿宋_GB2312"/>
          <w:sz w:val="32"/>
          <w:szCs w:val="32"/>
          <w:highlight w:val="none"/>
          <w:lang w:eastAsia="zh-CN"/>
        </w:rPr>
        <w:t>相关补助</w:t>
      </w:r>
      <w:r>
        <w:rPr>
          <w:rFonts w:hint="eastAsia" w:ascii="仿宋_GB2312" w:hAnsi="仿宋_GB2312" w:eastAsia="仿宋_GB2312" w:cs="仿宋_GB2312"/>
          <w:sz w:val="32"/>
          <w:szCs w:val="32"/>
          <w:highlight w:val="none"/>
          <w:lang w:eastAsia="zh-CN"/>
        </w:rPr>
        <w:t>。</w:t>
      </w:r>
    </w:p>
    <w:p w14:paraId="08CA769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村集体安置留用土地出让的，土地出让收入一律全额缴入国库，按下列规定进行处置：</w:t>
      </w:r>
    </w:p>
    <w:p w14:paraId="34E3209F">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）村集体安置用地中，村民住宅建设部分与用于房地产开发部分全部出让用于房地产开发的，</w:t>
      </w:r>
      <w:r>
        <w:rPr>
          <w:rFonts w:hint="default" w:ascii="Times New Roman" w:hAnsi="Times New Roman" w:eastAsia="仿宋_GB2312" w:cs="Times New Roman"/>
          <w:sz w:val="32"/>
          <w:szCs w:val="32"/>
          <w:highlight w:val="none"/>
        </w:rPr>
        <w:t>80%</w:t>
      </w:r>
      <w:r>
        <w:rPr>
          <w:rFonts w:hint="eastAsia" w:ascii="仿宋_GB2312" w:hAnsi="仿宋_GB2312" w:eastAsia="仿宋_GB2312" w:cs="仿宋_GB2312"/>
          <w:sz w:val="32"/>
          <w:szCs w:val="32"/>
          <w:highlight w:val="none"/>
        </w:rPr>
        <w:t>通过乡镇（街道）补助给村集体，</w:t>
      </w:r>
      <w:r>
        <w:rPr>
          <w:rFonts w:hint="default" w:ascii="Times New Roman" w:hAnsi="Times New Roman" w:eastAsia="仿宋_GB2312" w:cs="Times New Roman"/>
          <w:sz w:val="32"/>
          <w:szCs w:val="32"/>
          <w:highlight w:val="none"/>
        </w:rPr>
        <w:t>20%</w:t>
      </w:r>
      <w:r>
        <w:rPr>
          <w:rFonts w:hint="eastAsia" w:ascii="仿宋_GB2312" w:hAnsi="仿宋_GB2312" w:eastAsia="仿宋_GB2312" w:cs="仿宋_GB2312"/>
          <w:sz w:val="32"/>
          <w:szCs w:val="32"/>
          <w:highlight w:val="none"/>
        </w:rPr>
        <w:t xml:space="preserve">由市财政统筹安排。 </w:t>
      </w:r>
    </w:p>
    <w:p w14:paraId="74C690A3">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）村集体安置用地中，“三产”用房部分用地进入市场公开出让的，</w:t>
      </w:r>
      <w:r>
        <w:rPr>
          <w:rFonts w:hint="default" w:ascii="Times New Roman" w:hAnsi="Times New Roman" w:eastAsia="仿宋_GB2312" w:cs="Times New Roman"/>
          <w:sz w:val="32"/>
          <w:szCs w:val="32"/>
          <w:highlight w:val="none"/>
        </w:rPr>
        <w:t>70%</w:t>
      </w:r>
      <w:r>
        <w:rPr>
          <w:rFonts w:hint="eastAsia" w:ascii="仿宋_GB2312" w:hAnsi="仿宋_GB2312" w:eastAsia="仿宋_GB2312" w:cs="仿宋_GB2312"/>
          <w:sz w:val="32"/>
          <w:szCs w:val="32"/>
          <w:highlight w:val="none"/>
        </w:rPr>
        <w:t>通过乡镇（街道）补助给村集体，</w:t>
      </w:r>
      <w:r>
        <w:rPr>
          <w:rFonts w:hint="default" w:ascii="Times New Roman" w:hAnsi="Times New Roman" w:eastAsia="仿宋_GB2312" w:cs="Times New Roman"/>
          <w:sz w:val="32"/>
          <w:szCs w:val="32"/>
          <w:highlight w:val="none"/>
        </w:rPr>
        <w:t>30%</w:t>
      </w:r>
      <w:r>
        <w:rPr>
          <w:rFonts w:hint="eastAsia" w:ascii="仿宋_GB2312" w:hAnsi="仿宋_GB2312" w:eastAsia="仿宋_GB2312" w:cs="仿宋_GB2312"/>
          <w:sz w:val="32"/>
          <w:szCs w:val="32"/>
          <w:highlight w:val="none"/>
        </w:rPr>
        <w:t>部分划归市财政，主要用于被征地农民社会养老保险。</w:t>
      </w:r>
    </w:p>
    <w:p w14:paraId="6E8E624C">
      <w:pPr>
        <w:spacing w:line="560" w:lineRule="exact"/>
        <w:ind w:firstLine="640" w:firstLineChars="200"/>
        <w:rPr>
          <w:rFonts w:ascii="Times New Roman" w:hAnsi="Times New Roman"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）对超过</w:t>
      </w:r>
      <w:r>
        <w:rPr>
          <w:rFonts w:hint="default" w:ascii="Times New Roman" w:hAnsi="Times New Roman" w:eastAsia="仿宋_GB2312" w:cs="Times New Roman"/>
          <w:sz w:val="32"/>
          <w:szCs w:val="32"/>
          <w:highlight w:val="none"/>
        </w:rPr>
        <w:t>10%</w:t>
      </w:r>
      <w:r>
        <w:rPr>
          <w:rFonts w:hint="eastAsia" w:ascii="Times New Roman" w:hAnsi="Times New Roman" w:eastAsia="仿宋_GB2312" w:cs="仿宋_GB2312"/>
          <w:sz w:val="32"/>
          <w:szCs w:val="32"/>
          <w:highlight w:val="none"/>
        </w:rPr>
        <w:t>部分遗留的村集体留用安置土地进入市场公开出让的，</w:t>
      </w:r>
      <w:r>
        <w:rPr>
          <w:rFonts w:hint="default" w:ascii="Times New Roman" w:hAnsi="Times New Roman" w:eastAsia="仿宋_GB2312" w:cs="Times New Roman"/>
          <w:sz w:val="32"/>
          <w:szCs w:val="32"/>
          <w:highlight w:val="none"/>
        </w:rPr>
        <w:t>50%</w:t>
      </w:r>
      <w:r>
        <w:rPr>
          <w:rFonts w:hint="eastAsia" w:ascii="Times New Roman" w:hAnsi="Times New Roman" w:eastAsia="仿宋_GB2312" w:cs="仿宋_GB2312"/>
          <w:sz w:val="32"/>
          <w:szCs w:val="32"/>
          <w:highlight w:val="none"/>
        </w:rPr>
        <w:t>通过乡镇（街道）补助给村集体，</w:t>
      </w:r>
      <w:r>
        <w:rPr>
          <w:rFonts w:hint="default" w:ascii="Times New Roman" w:hAnsi="Times New Roman" w:eastAsia="仿宋_GB2312" w:cs="Times New Roman"/>
          <w:sz w:val="32"/>
          <w:szCs w:val="32"/>
          <w:highlight w:val="none"/>
        </w:rPr>
        <w:t>50%</w:t>
      </w:r>
      <w:r>
        <w:rPr>
          <w:rFonts w:hint="eastAsia" w:ascii="Times New Roman" w:hAnsi="Times New Roman" w:eastAsia="仿宋_GB2312" w:cs="仿宋_GB2312"/>
          <w:sz w:val="32"/>
          <w:szCs w:val="32"/>
          <w:highlight w:val="none"/>
        </w:rPr>
        <w:t>部分由市财政统筹安排。</w:t>
      </w:r>
    </w:p>
    <w:p w14:paraId="5FED076C">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各乡镇（街道）、功能区支出市财政补助的土地出让收入时，应当向</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财政部门提出预算申请，主要用于征地和拆迁补偿支出、土地开发支出、支农支出、城市建设支出。</w:t>
      </w:r>
    </w:p>
    <w:p w14:paraId="561FDB86">
      <w:pPr>
        <w:spacing w:line="560" w:lineRule="exact"/>
        <w:ind w:firstLine="640" w:firstLineChars="200"/>
        <w:jc w:val="left"/>
        <w:rPr>
          <w:rFonts w:ascii="仿宋_GB2312" w:hAnsi="仿宋_GB2312" w:eastAsia="仿宋_GB2312" w:cs="仿宋_GB2312"/>
          <w:sz w:val="32"/>
          <w:szCs w:val="32"/>
          <w:highlight w:val="none"/>
        </w:rPr>
      </w:pPr>
    </w:p>
    <w:p w14:paraId="4D5B4A1A">
      <w:pPr>
        <w:numPr>
          <w:ilvl w:val="255"/>
          <w:numId w:val="0"/>
        </w:num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第五章</w:t>
      </w:r>
      <w:r>
        <w:rPr>
          <w:rFonts w:hint="eastAsia" w:ascii="黑体" w:hAnsi="黑体" w:eastAsia="黑体" w:cs="黑体"/>
          <w:bCs/>
          <w:sz w:val="32"/>
          <w:szCs w:val="32"/>
          <w:highlight w:val="none"/>
          <w:lang w:val="en-US" w:eastAsia="zh-CN"/>
        </w:rPr>
        <w:t xml:space="preserve">  </w:t>
      </w:r>
      <w:bookmarkStart w:id="12" w:name="OLE_LINK15"/>
      <w:r>
        <w:rPr>
          <w:rFonts w:hint="eastAsia" w:ascii="黑体" w:hAnsi="黑体" w:eastAsia="黑体" w:cs="黑体"/>
          <w:bCs/>
          <w:sz w:val="32"/>
          <w:szCs w:val="32"/>
          <w:highlight w:val="none"/>
        </w:rPr>
        <w:t>国有土地使用权划拨价款收取规定</w:t>
      </w:r>
      <w:bookmarkEnd w:id="12"/>
    </w:p>
    <w:p w14:paraId="7EDA84EC">
      <w:pPr>
        <w:numPr>
          <w:ilvl w:val="255"/>
          <w:numId w:val="0"/>
        </w:numPr>
        <w:spacing w:line="560" w:lineRule="exact"/>
        <w:ind w:firstLine="643" w:firstLineChars="200"/>
        <w:rPr>
          <w:b/>
          <w:bCs/>
          <w:sz w:val="32"/>
          <w:szCs w:val="32"/>
          <w:highlight w:val="none"/>
        </w:rPr>
      </w:pPr>
    </w:p>
    <w:p w14:paraId="3F03EB10">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w:t>
      </w:r>
      <w:r>
        <w:rPr>
          <w:rFonts w:hint="eastAsia" w:ascii="仿宋_GB2312" w:hAnsi="仿宋_GB2312" w:eastAsia="仿宋_GB2312" w:cs="仿宋_GB2312"/>
          <w:sz w:val="32"/>
          <w:szCs w:val="32"/>
          <w:highlight w:val="none"/>
        </w:rPr>
        <w:t>国有土地使用权划拨价款依据土地取得成本确定，具体由</w:t>
      </w:r>
      <w:r>
        <w:rPr>
          <w:rFonts w:hint="eastAsia" w:ascii="仿宋_GB2312" w:hAnsi="仿宋_GB2312" w:eastAsia="仿宋_GB2312" w:cs="仿宋_GB2312"/>
          <w:sz w:val="32"/>
          <w:szCs w:val="32"/>
          <w:highlight w:val="none"/>
          <w:lang w:eastAsia="zh-CN"/>
        </w:rPr>
        <w:t>补充耕地资金</w:t>
      </w:r>
      <w:r>
        <w:rPr>
          <w:rFonts w:hint="eastAsia" w:ascii="仿宋_GB2312" w:hAnsi="仿宋_GB2312" w:eastAsia="仿宋_GB2312" w:cs="仿宋_GB2312"/>
          <w:sz w:val="32"/>
          <w:szCs w:val="32"/>
          <w:highlight w:val="none"/>
        </w:rPr>
        <w:t>、片区综合价、保持被征地农民生活水平资金或国有土地收回成本、被征地农民养老保险资金、被征地村集体补助资金、其</w:t>
      </w:r>
      <w:r>
        <w:rPr>
          <w:rFonts w:hint="eastAsia" w:ascii="Times New Roman" w:hAnsi="Times New Roman" w:eastAsia="仿宋_GB2312" w:cs="仿宋_GB2312"/>
          <w:sz w:val="32"/>
          <w:szCs w:val="32"/>
          <w:highlight w:val="none"/>
        </w:rPr>
        <w:t>他等组成（详见附件</w:t>
      </w:r>
      <w:r>
        <w:rPr>
          <w:rFonts w:hint="default" w:ascii="Times New Roman" w:hAnsi="Times New Roman" w:eastAsia="仿宋_GB2312" w:cs="Times New Roman"/>
          <w:sz w:val="32"/>
          <w:szCs w:val="32"/>
          <w:highlight w:val="none"/>
        </w:rPr>
        <w:t>2</w:t>
      </w:r>
      <w:r>
        <w:rPr>
          <w:rFonts w:hint="eastAsia" w:ascii="Times New Roman" w:hAnsi="Times New Roman" w:eastAsia="仿宋_GB2312" w:cs="仿宋_GB2312"/>
          <w:sz w:val="32"/>
          <w:szCs w:val="32"/>
          <w:highlight w:val="none"/>
        </w:rPr>
        <w:t>），全市范围内统筹考虑，一律按照</w:t>
      </w:r>
      <w:r>
        <w:rPr>
          <w:rFonts w:hint="default" w:ascii="Times New Roman" w:hAnsi="Times New Roman" w:eastAsia="仿宋_GB2312" w:cs="Times New Roman"/>
          <w:sz w:val="32"/>
          <w:szCs w:val="32"/>
          <w:highlight w:val="none"/>
        </w:rPr>
        <w:t>95</w:t>
      </w:r>
      <w:r>
        <w:rPr>
          <w:rFonts w:hint="eastAsia" w:ascii="Times New Roman" w:hAnsi="Times New Roman" w:eastAsia="仿宋_GB2312" w:cs="仿宋_GB2312"/>
          <w:sz w:val="32"/>
          <w:szCs w:val="32"/>
          <w:highlight w:val="none"/>
        </w:rPr>
        <w:t>万</w:t>
      </w:r>
      <w:r>
        <w:rPr>
          <w:rFonts w:hint="eastAsia" w:ascii="仿宋_GB2312" w:hAnsi="仿宋_GB2312" w:eastAsia="仿宋_GB2312" w:cs="仿宋_GB2312"/>
          <w:sz w:val="32"/>
          <w:szCs w:val="32"/>
          <w:highlight w:val="none"/>
        </w:rPr>
        <w:t>/亩收取土地划拨价款。</w:t>
      </w:r>
    </w:p>
    <w:p w14:paraId="3C793D43">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二十一、</w:t>
      </w:r>
      <w:r>
        <w:rPr>
          <w:rFonts w:hint="eastAsia" w:ascii="仿宋_GB2312" w:hAnsi="仿宋_GB2312" w:eastAsia="仿宋_GB2312" w:cs="仿宋_GB2312"/>
          <w:sz w:val="32"/>
          <w:szCs w:val="32"/>
          <w:highlight w:val="none"/>
        </w:rPr>
        <w:t>土地划拨成本收支作为政府性基金预算收入和工程项目成本，应纳入相关预算管理范围。市自然资源和规划部门应认真对接各项目建设单位用地情况，准确测算全市全年土地划拨收入预算，全部计入年度政府基金收入范围。各建设单位在确保收支平衡的基础上，将工程项目土地划拨成本纳入工程项目预算，统筹考虑部门预算收支管理。</w:t>
      </w:r>
    </w:p>
    <w:p w14:paraId="71E1687E">
      <w:pPr>
        <w:spacing w:line="560" w:lineRule="exact"/>
        <w:ind w:firstLine="640" w:firstLineChars="200"/>
        <w:rPr>
          <w:rFonts w:ascii="Times New Roman" w:hAnsi="Times New Roman"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土地划拨价款在土地划拨批准之后一次性按划拨面积收取。土地划拨前已由用地单位实际分期支付的征地费用、</w:t>
      </w:r>
      <w:r>
        <w:rPr>
          <w:rFonts w:hint="eastAsia" w:ascii="仿宋_GB2312" w:hAnsi="仿宋_GB2312" w:eastAsia="仿宋_GB2312" w:cs="仿宋_GB2312"/>
          <w:sz w:val="32"/>
          <w:szCs w:val="32"/>
          <w:highlight w:val="none"/>
          <w:lang w:eastAsia="zh-CN"/>
        </w:rPr>
        <w:t>补充耕地资金</w:t>
      </w:r>
      <w:r>
        <w:rPr>
          <w:rFonts w:hint="eastAsia" w:ascii="仿宋_GB2312" w:hAnsi="仿宋_GB2312" w:eastAsia="仿宋_GB2312" w:cs="仿宋_GB2312"/>
          <w:sz w:val="32"/>
          <w:szCs w:val="32"/>
          <w:highlight w:val="none"/>
        </w:rPr>
        <w:t>、社会保障等费用，在收取土地划拨地价款时可凭</w:t>
      </w:r>
      <w:r>
        <w:rPr>
          <w:rFonts w:hint="eastAsia" w:ascii="Times New Roman" w:hAnsi="Times New Roman" w:eastAsia="仿宋_GB2312" w:cs="仿宋_GB2312"/>
          <w:sz w:val="32"/>
          <w:szCs w:val="32"/>
          <w:highlight w:val="none"/>
        </w:rPr>
        <w:t>相关凭证材料予以直接抵扣，土地划拨价款按差额缴纳；其直接抵扣的相关凭证材料须经市自然资源和规划部门确认。（详见附件3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4）</w:t>
      </w:r>
    </w:p>
    <w:p w14:paraId="7E696570">
      <w:pPr>
        <w:spacing w:line="560" w:lineRule="exact"/>
        <w:ind w:firstLine="640" w:firstLineChars="200"/>
        <w:rPr>
          <w:rFonts w:ascii="Times New Roman" w:hAnsi="Times New Roman" w:eastAsia="仿宋_GB2312" w:cs="仿宋_GB2312"/>
          <w:strike w:val="0"/>
          <w:dstrike w:val="0"/>
          <w:sz w:val="32"/>
          <w:szCs w:val="32"/>
          <w:highlight w:val="none"/>
        </w:rPr>
      </w:pPr>
      <w:r>
        <w:rPr>
          <w:rFonts w:hint="eastAsia" w:ascii="Times New Roman" w:hAnsi="Times New Roman" w:eastAsia="仿宋_GB2312" w:cs="仿宋_GB2312"/>
          <w:strike w:val="0"/>
          <w:dstrike w:val="0"/>
          <w:sz w:val="32"/>
          <w:szCs w:val="32"/>
          <w:highlight w:val="none"/>
          <w:lang w:eastAsia="zh-CN"/>
        </w:rPr>
        <w:t>二十三、</w:t>
      </w:r>
      <w:r>
        <w:rPr>
          <w:rFonts w:hint="eastAsia" w:ascii="Times New Roman" w:hAnsi="Times New Roman" w:eastAsia="仿宋_GB2312" w:cs="仿宋_GB2312"/>
          <w:strike w:val="0"/>
          <w:dstrike w:val="0"/>
          <w:sz w:val="32"/>
          <w:szCs w:val="32"/>
          <w:highlight w:val="none"/>
        </w:rPr>
        <w:t>按本办法规定的标准缴纳土地划拨成本且由乡镇</w:t>
      </w:r>
      <w:r>
        <w:rPr>
          <w:rFonts w:hint="eastAsia" w:ascii="Times New Roman" w:hAnsi="Times New Roman" w:eastAsia="仿宋_GB2312" w:cs="仿宋_GB2312"/>
          <w:strike w:val="0"/>
          <w:dstrike w:val="0"/>
          <w:sz w:val="32"/>
          <w:szCs w:val="32"/>
          <w:highlight w:val="none"/>
          <w:lang w:eastAsia="zh-CN"/>
        </w:rPr>
        <w:t>（街道）</w:t>
      </w:r>
      <w:r>
        <w:rPr>
          <w:rFonts w:hint="eastAsia" w:ascii="Times New Roman" w:hAnsi="Times New Roman" w:eastAsia="仿宋_GB2312" w:cs="仿宋_GB2312"/>
          <w:strike w:val="0"/>
          <w:dstrike w:val="0"/>
          <w:sz w:val="32"/>
          <w:szCs w:val="32"/>
          <w:highlight w:val="none"/>
        </w:rPr>
        <w:t>、功能区负责投资实施的政府投资项目在全额缴纳土地划拨成本后，按划拨面积以每亩</w:t>
      </w:r>
      <w:r>
        <w:rPr>
          <w:rFonts w:hint="eastAsia" w:ascii="Times New Roman" w:hAnsi="Times New Roman" w:eastAsia="仿宋_GB2312" w:cs="仿宋_GB2312"/>
          <w:strike w:val="0"/>
          <w:dstrike w:val="0"/>
          <w:sz w:val="32"/>
          <w:szCs w:val="32"/>
          <w:highlight w:val="none"/>
          <w:lang w:val="en-US" w:eastAsia="zh-CN"/>
        </w:rPr>
        <w:t>20</w:t>
      </w:r>
      <w:r>
        <w:rPr>
          <w:rFonts w:hint="eastAsia" w:ascii="Times New Roman" w:hAnsi="Times New Roman" w:eastAsia="仿宋_GB2312" w:cs="仿宋_GB2312"/>
          <w:strike w:val="0"/>
          <w:dstrike w:val="0"/>
          <w:sz w:val="32"/>
          <w:szCs w:val="32"/>
          <w:highlight w:val="none"/>
        </w:rPr>
        <w:t>万元的标准通过财力转移方式安排项目所属乡镇、功能区使用。</w:t>
      </w:r>
    </w:p>
    <w:p w14:paraId="1144C0DC">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日（不包括本日）前已批准农转用征收的项目在本《办法》下发后申请供应的，不</w:t>
      </w:r>
      <w:r>
        <w:rPr>
          <w:rFonts w:hint="eastAsia" w:ascii="仿宋_GB2312" w:hAnsi="仿宋_GB2312" w:eastAsia="仿宋_GB2312" w:cs="仿宋_GB2312"/>
          <w:sz w:val="32"/>
          <w:szCs w:val="32"/>
          <w:highlight w:val="none"/>
        </w:rPr>
        <w:t>适用本《办法》标准，按原农转用征收批准时的</w:t>
      </w:r>
      <w:r>
        <w:rPr>
          <w:rFonts w:hint="eastAsia" w:ascii="仿宋_GB2312" w:hAnsi="仿宋_GB2312" w:eastAsia="仿宋_GB2312" w:cs="仿宋_GB2312"/>
          <w:sz w:val="32"/>
          <w:szCs w:val="32"/>
          <w:highlight w:val="none"/>
          <w:lang w:eastAsia="zh-CN"/>
        </w:rPr>
        <w:t>标准</w:t>
      </w:r>
      <w:r>
        <w:rPr>
          <w:rFonts w:hint="eastAsia" w:ascii="仿宋_GB2312" w:hAnsi="仿宋_GB2312" w:eastAsia="仿宋_GB2312" w:cs="仿宋_GB2312"/>
          <w:sz w:val="32"/>
          <w:szCs w:val="32"/>
          <w:highlight w:val="none"/>
        </w:rPr>
        <w:t>支付缴纳土地划拨价款。</w:t>
      </w:r>
    </w:p>
    <w:p w14:paraId="5216CC6E">
      <w:pPr>
        <w:spacing w:line="560" w:lineRule="exact"/>
        <w:ind w:firstLine="640" w:firstLineChars="200"/>
        <w:rPr>
          <w:sz w:val="32"/>
          <w:szCs w:val="32"/>
          <w:highlight w:val="none"/>
        </w:rPr>
      </w:pPr>
    </w:p>
    <w:p w14:paraId="0F77BA41">
      <w:p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第六章 预决算管理</w:t>
      </w:r>
    </w:p>
    <w:p w14:paraId="374F0C66">
      <w:pPr>
        <w:spacing w:line="560" w:lineRule="exact"/>
        <w:ind w:firstLine="640" w:firstLineChars="200"/>
        <w:rPr>
          <w:sz w:val="32"/>
          <w:szCs w:val="32"/>
          <w:highlight w:val="none"/>
        </w:rPr>
      </w:pPr>
    </w:p>
    <w:p w14:paraId="439AD060">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建立健全年度土地出让收支预决算管理制度。市自然资源和规划部门要在每年第三季度</w:t>
      </w:r>
      <w:r>
        <w:rPr>
          <w:rFonts w:hint="eastAsia" w:ascii="仿宋_GB2312" w:hAnsi="仿宋_GB2312" w:eastAsia="仿宋_GB2312" w:cs="仿宋_GB2312"/>
          <w:sz w:val="32"/>
          <w:szCs w:val="32"/>
          <w:highlight w:val="none"/>
          <w:lang w:eastAsia="zh-CN"/>
        </w:rPr>
        <w:t>向各乡镇（街道）、功能区下达编制</w:t>
      </w:r>
      <w:r>
        <w:rPr>
          <w:rFonts w:hint="eastAsia" w:ascii="仿宋_GB2312" w:hAnsi="仿宋_GB2312" w:eastAsia="仿宋_GB2312" w:cs="仿宋_GB2312"/>
          <w:sz w:val="32"/>
          <w:szCs w:val="32"/>
          <w:highlight w:val="none"/>
        </w:rPr>
        <w:t>下一年度</w:t>
      </w:r>
      <w:r>
        <w:rPr>
          <w:rFonts w:hint="eastAsia" w:ascii="Times New Roman" w:hAnsi="Times New Roman" w:eastAsia="仿宋_GB2312" w:cs="仿宋_GB2312"/>
          <w:sz w:val="32"/>
          <w:szCs w:val="32"/>
          <w:highlight w:val="none"/>
        </w:rPr>
        <w:t>土地出让计划、土地收储计划及相应土地开发整理支出等，</w:t>
      </w:r>
      <w:r>
        <w:rPr>
          <w:rFonts w:hint="eastAsia" w:ascii="Times New Roman" w:hAnsi="Times New Roman" w:eastAsia="仿宋_GB2312" w:cs="仿宋_GB2312"/>
          <w:sz w:val="32"/>
          <w:szCs w:val="32"/>
          <w:highlight w:val="none"/>
          <w:lang w:eastAsia="zh-CN"/>
        </w:rPr>
        <w:t>要求各相关单位于每年</w:t>
      </w:r>
      <w:r>
        <w:rPr>
          <w:rFonts w:hint="eastAsia" w:ascii="Times New Roman" w:hAnsi="Times New Roman" w:eastAsia="仿宋_GB2312" w:cs="仿宋_GB2312"/>
          <w:sz w:val="32"/>
          <w:szCs w:val="32"/>
          <w:highlight w:val="none"/>
          <w:lang w:val="en-US" w:eastAsia="zh-CN"/>
        </w:rPr>
        <w:t>10月15日前上报</w:t>
      </w:r>
      <w:r>
        <w:rPr>
          <w:rFonts w:hint="eastAsia" w:ascii="Times New Roman" w:hAnsi="Times New Roman" w:eastAsia="仿宋_GB2312" w:cs="仿宋_GB2312"/>
          <w:sz w:val="32"/>
          <w:szCs w:val="32"/>
          <w:highlight w:val="none"/>
          <w:lang w:eastAsia="zh-CN"/>
        </w:rPr>
        <w:t>，归集后</w:t>
      </w:r>
      <w:r>
        <w:rPr>
          <w:rFonts w:hint="eastAsia" w:ascii="Times New Roman" w:hAnsi="Times New Roman" w:eastAsia="仿宋_GB2312" w:cs="仿宋_GB2312"/>
          <w:sz w:val="32"/>
          <w:szCs w:val="32"/>
          <w:highlight w:val="none"/>
        </w:rPr>
        <w:t>于每年</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月底前将</w:t>
      </w:r>
      <w:r>
        <w:rPr>
          <w:rFonts w:hint="eastAsia" w:ascii="Times New Roman" w:hAnsi="Times New Roman" w:eastAsia="仿宋_GB2312" w:cs="仿宋_GB2312"/>
          <w:strike w:val="0"/>
          <w:sz w:val="32"/>
          <w:szCs w:val="32"/>
          <w:highlight w:val="none"/>
        </w:rPr>
        <w:t>下一年</w:t>
      </w:r>
      <w:r>
        <w:rPr>
          <w:rFonts w:hint="eastAsia" w:ascii="Times New Roman" w:hAnsi="Times New Roman" w:eastAsia="仿宋_GB2312" w:cs="仿宋_GB2312"/>
          <w:sz w:val="32"/>
          <w:szCs w:val="32"/>
          <w:highlight w:val="none"/>
        </w:rPr>
        <w:t>度土地出让及储备计划等报市政府批准。市财政部门根据市自然资源和规划部门审查通过的计划及有关乡镇（街道）、部门编制的土地出让收支预算，审核后汇总上报市政府批准，并报市人大按规定程序批准后执行，纳入政府性基金收支预算。土地出让收入资金拨付，按照财政国库管理制度有关规定执行。</w:t>
      </w:r>
      <w:r>
        <w:rPr>
          <w:rFonts w:hint="eastAsia" w:ascii="仿宋_GB2312" w:hAnsi="仿宋_GB2312" w:eastAsia="仿宋_GB2312" w:cs="仿宋_GB2312"/>
          <w:sz w:val="32"/>
          <w:szCs w:val="32"/>
          <w:highlight w:val="none"/>
        </w:rPr>
        <w:t xml:space="preserve"> </w:t>
      </w:r>
    </w:p>
    <w:p w14:paraId="6C050A11">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编制年度土地出让收支预算要坚持“以收定支、收支平衡”的原则。土地出让收入预算按照上年土地出让收入情况、年度土地供应计划、地价水平等因素编制；土地出让支出预算根据预计年度土地出让收入情况，按照年度土地征收计划、拆迁计划以及规定的用途、支出范围和支出标准等因素编制。其中：属于政府采购范围的，应当按照规定编制政府采购预算，并严格按照政府采购的有关规定执行。 </w:t>
      </w:r>
    </w:p>
    <w:p w14:paraId="0B150E4C">
      <w:pPr>
        <w:widowControl/>
        <w:spacing w:line="560" w:lineRule="exact"/>
        <w:ind w:firstLine="640" w:firstLineChars="200"/>
        <w:jc w:val="left"/>
        <w:rPr>
          <w:sz w:val="32"/>
          <w:szCs w:val="32"/>
          <w:highlight w:val="none"/>
        </w:rPr>
      </w:pPr>
      <w:r>
        <w:rPr>
          <w:rFonts w:hint="eastAsia" w:ascii="仿宋_GB2312" w:hAnsi="仿宋_GB2312" w:eastAsia="仿宋_GB2312" w:cs="仿宋_GB2312"/>
          <w:sz w:val="32"/>
          <w:szCs w:val="32"/>
          <w:highlight w:val="none"/>
        </w:rPr>
        <w:t>每年年终，有关部门应当严格按照</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财政部门规定编制土地出让收支决算，并纳入政府性基金收支决算，报</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财政部门审核汇总后，向市政府报告，并由市政府向市人大报告。</w:t>
      </w:r>
    </w:p>
    <w:p w14:paraId="3E2F9429">
      <w:pPr>
        <w:spacing w:line="560" w:lineRule="exact"/>
        <w:ind w:firstLine="640" w:firstLineChars="200"/>
        <w:rPr>
          <w:sz w:val="32"/>
          <w:szCs w:val="32"/>
          <w:highlight w:val="none"/>
        </w:rPr>
      </w:pPr>
      <w:r>
        <w:rPr>
          <w:rFonts w:hint="eastAsia" w:ascii="仿宋_GB2312" w:hAnsi="仿宋_GB2312" w:eastAsia="仿宋_GB2312" w:cs="仿宋_GB2312"/>
          <w:sz w:val="32"/>
          <w:szCs w:val="32"/>
          <w:highlight w:val="none"/>
          <w:lang w:eastAsia="zh-CN"/>
        </w:rPr>
        <w:t>二十五、市</w:t>
      </w:r>
      <w:r>
        <w:rPr>
          <w:rFonts w:hint="eastAsia" w:ascii="仿宋_GB2312" w:hAnsi="仿宋_GB2312" w:eastAsia="仿宋_GB2312" w:cs="仿宋_GB2312"/>
          <w:sz w:val="32"/>
          <w:szCs w:val="32"/>
          <w:highlight w:val="none"/>
        </w:rPr>
        <w:t>自然资源和规划部门与市财政部门要加强协作，建立国有土地出让、储备及收支信息共享制度。市自然资源和规划部门应当将年度土地供应计划、年度土地储备计划以及相关资料及时抄送市财政部门，市财政部门应当及时将土地出让收支情况反馈给市自然资源和规划部门。</w:t>
      </w:r>
    </w:p>
    <w:p w14:paraId="69AE6475">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市财政部门要会同市自然资源和规划部门、人民银行机构建立健全年度土地出让收支统计报表以及分季收支统计明细报表体系，统一土地出让收支统计口径，确保土地出让收支统计数据及时、准确、真实，为加强土地出让收支管理提供准确的基础数据。</w:t>
      </w:r>
    </w:p>
    <w:p w14:paraId="4ECA127A">
      <w:pPr>
        <w:spacing w:line="560" w:lineRule="exact"/>
        <w:ind w:firstLine="640" w:firstLineChars="200"/>
        <w:rPr>
          <w:sz w:val="32"/>
          <w:szCs w:val="32"/>
          <w:highlight w:val="none"/>
        </w:rPr>
      </w:pPr>
    </w:p>
    <w:p w14:paraId="5DD7F52D">
      <w:p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第七章 监督检查</w:t>
      </w:r>
    </w:p>
    <w:p w14:paraId="20FC5FEB">
      <w:pPr>
        <w:spacing w:line="560" w:lineRule="exact"/>
        <w:ind w:firstLine="640" w:firstLineChars="200"/>
        <w:rPr>
          <w:sz w:val="32"/>
          <w:szCs w:val="32"/>
          <w:highlight w:val="none"/>
        </w:rPr>
      </w:pPr>
    </w:p>
    <w:p w14:paraId="51059747">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市财政部门、市自然资源和规划部门、市</w:t>
      </w:r>
      <w:r>
        <w:rPr>
          <w:rFonts w:ascii="仿宋_GB2312" w:hAnsi="仿宋_GB2312" w:eastAsia="仿宋_GB2312" w:cs="仿宋_GB2312"/>
          <w:sz w:val="32"/>
          <w:szCs w:val="32"/>
          <w:highlight w:val="none"/>
        </w:rPr>
        <w:t>税务部门、</w:t>
      </w:r>
      <w:r>
        <w:rPr>
          <w:rFonts w:hint="eastAsia" w:ascii="仿宋_GB2312" w:hAnsi="仿宋_GB2312" w:eastAsia="仿宋_GB2312" w:cs="仿宋_GB2312"/>
          <w:sz w:val="32"/>
          <w:szCs w:val="32"/>
          <w:highlight w:val="none"/>
        </w:rPr>
        <w:t xml:space="preserve">人民银行机构以及审计机关要建立健全对土地出让收支情况的定期和不定期监督检查制度，强化对土地出让收支的监督管理，确保土地出让收入及时足额上缴国库，支出严格按照财政预算管理规定执行。 </w:t>
      </w:r>
    </w:p>
    <w:p w14:paraId="50DA7B70">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对违反规定，擅自减免、截留、挤占、挪用应缴国库的土地出让收入，不执行国家统一规定的会计、政府采购等制</w:t>
      </w:r>
      <w:r>
        <w:rPr>
          <w:rFonts w:hint="eastAsia" w:ascii="Times New Roman" w:hAnsi="Times New Roman" w:eastAsia="仿宋_GB2312" w:cs="仿宋_GB2312"/>
          <w:sz w:val="32"/>
          <w:szCs w:val="32"/>
          <w:highlight w:val="none"/>
        </w:rPr>
        <w:t>度的，要严格按照《土地管理法》《会计法》《审计法》《政府采购法》和《财政违法行为处罚处分条例》（国务院令第427号）、《金融违法行为处罚办法》（国务院令第260号）等有关法律法规规定进行处理，并依法追究有关责任人的责任。</w:t>
      </w:r>
      <w:r>
        <w:rPr>
          <w:rFonts w:hint="eastAsia" w:ascii="仿宋_GB2312" w:hAnsi="仿宋_GB2312" w:eastAsia="仿宋_GB2312" w:cs="仿宋_GB2312"/>
          <w:sz w:val="32"/>
          <w:szCs w:val="32"/>
          <w:highlight w:val="none"/>
        </w:rPr>
        <w:t>触犯《刑法》的，要依法追究有关人员的刑事责任。</w:t>
      </w:r>
    </w:p>
    <w:p w14:paraId="31D3B5B8">
      <w:pPr>
        <w:spacing w:line="560" w:lineRule="exact"/>
        <w:ind w:firstLine="640" w:firstLineChars="200"/>
        <w:rPr>
          <w:sz w:val="32"/>
          <w:szCs w:val="32"/>
          <w:highlight w:val="none"/>
        </w:rPr>
      </w:pPr>
    </w:p>
    <w:p w14:paraId="63038E1F">
      <w:pPr>
        <w:spacing w:line="560" w:lineRule="exact"/>
        <w:ind w:firstLine="640" w:firstLineChars="200"/>
        <w:jc w:val="center"/>
        <w:rPr>
          <w:rFonts w:ascii="黑体" w:hAnsi="黑体" w:eastAsia="黑体" w:cs="黑体"/>
          <w:bCs/>
          <w:sz w:val="32"/>
          <w:szCs w:val="32"/>
          <w:highlight w:val="none"/>
        </w:rPr>
      </w:pPr>
      <w:r>
        <w:rPr>
          <w:rFonts w:hint="eastAsia" w:ascii="黑体" w:hAnsi="黑体" w:eastAsia="黑体" w:cs="黑体"/>
          <w:bCs/>
          <w:sz w:val="32"/>
          <w:szCs w:val="32"/>
          <w:highlight w:val="none"/>
        </w:rPr>
        <w:t>第八章 附 则</w:t>
      </w:r>
    </w:p>
    <w:p w14:paraId="1D02F942">
      <w:pPr>
        <w:spacing w:line="560" w:lineRule="exact"/>
        <w:ind w:firstLine="640" w:firstLineChars="200"/>
        <w:rPr>
          <w:sz w:val="32"/>
          <w:szCs w:val="32"/>
          <w:highlight w:val="none"/>
        </w:rPr>
      </w:pPr>
    </w:p>
    <w:p w14:paraId="22F421A2">
      <w:pPr>
        <w:pStyle w:val="5"/>
        <w:keepNext w:val="0"/>
        <w:keepLines w:val="0"/>
        <w:widowControl/>
        <w:suppressLineNumbers w:val="0"/>
        <w:spacing w:before="0" w:beforeAutospacing="0" w:after="0" w:afterAutospacing="0"/>
        <w:ind w:left="0" w:right="0" w:firstLine="0"/>
        <w:jc w:val="left"/>
        <w:rPr>
          <w:rFonts w:ascii="仿宋_GB2312" w:hAnsi="仿宋_GB2312" w:eastAsia="仿宋_GB2312" w:cs="仿宋_GB2312"/>
          <w:sz w:val="32"/>
          <w:szCs w:val="32"/>
          <w:highlight w:val="none"/>
        </w:rPr>
      </w:pPr>
      <w:r>
        <w:rPr>
          <w:rFonts w:hint="eastAsia" w:ascii="黑体" w:hAnsi="黑体" w:eastAsia="黑体" w:cs="黑体"/>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二十九、</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Times New Roman" w:hAnsi="Times New Roman" w:eastAsia="仿宋_GB2312" w:cs="仿宋_GB2312"/>
          <w:sz w:val="32"/>
          <w:szCs w:val="32"/>
          <w:highlight w:val="none"/>
        </w:rPr>
        <w:t>办法以土地出让时间为准，自202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 月 日起施行，有效期至2030年 月 日。2018年11月13日发布的《乐清市人民政府关于印发乐清市国有建设用地使用权出让收支管理暂行办法的通知》（乐政发〔2018〕52号）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2022年7月28日发布的《关于调整乐清市国有土地使用权划拨价款收取标准的通知》（乐财预〔2022〕154号）</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lang w:val="en-US" w:eastAsia="zh-CN"/>
        </w:rPr>
        <w:t>2014年9月30日发布的</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乐清市人民政府关于加强农村征地补偿费用分配使用管理和支持发展村集体经济的通知</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乐政发〔2014〕54号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同时废止。此前市政府</w:t>
      </w:r>
      <w:r>
        <w:rPr>
          <w:rFonts w:hint="eastAsia" w:ascii="仿宋_GB2312" w:hAnsi="仿宋_GB2312" w:eastAsia="仿宋_GB2312" w:cs="仿宋_GB2312"/>
          <w:sz w:val="32"/>
          <w:szCs w:val="32"/>
          <w:highlight w:val="none"/>
        </w:rPr>
        <w:t>有关规定与本办法规定不一致的，一律以本办法规定为准。</w:t>
      </w:r>
    </w:p>
    <w:p w14:paraId="4B3CCF6C">
      <w:pPr>
        <w:spacing w:line="560" w:lineRule="exact"/>
        <w:ind w:firstLine="640" w:firstLineChars="200"/>
        <w:rPr>
          <w:sz w:val="32"/>
          <w:szCs w:val="32"/>
          <w:highlight w:val="none"/>
        </w:rPr>
      </w:pPr>
    </w:p>
    <w:p w14:paraId="25375357">
      <w:pPr>
        <w:spacing w:line="560" w:lineRule="exact"/>
        <w:ind w:firstLine="640" w:firstLineChars="200"/>
        <w:rPr>
          <w:sz w:val="32"/>
          <w:szCs w:val="32"/>
          <w:highlight w:val="none"/>
        </w:rPr>
      </w:pPr>
    </w:p>
    <w:p w14:paraId="08438E8D">
      <w:pPr>
        <w:spacing w:line="560" w:lineRule="exact"/>
        <w:ind w:firstLine="640" w:firstLineChars="200"/>
        <w:rPr>
          <w:sz w:val="32"/>
          <w:szCs w:val="32"/>
          <w:highlight w:val="none"/>
        </w:rPr>
      </w:pPr>
    </w:p>
    <w:p w14:paraId="526116F2">
      <w:pPr>
        <w:spacing w:line="560" w:lineRule="exact"/>
        <w:ind w:firstLine="640" w:firstLineChars="200"/>
        <w:rPr>
          <w:sz w:val="32"/>
          <w:szCs w:val="32"/>
          <w:highlight w:val="none"/>
        </w:rPr>
      </w:pPr>
    </w:p>
    <w:p w14:paraId="1250F78B">
      <w:pPr>
        <w:spacing w:line="560" w:lineRule="exact"/>
        <w:ind w:firstLine="640" w:firstLineChars="200"/>
        <w:rPr>
          <w:sz w:val="32"/>
          <w:szCs w:val="32"/>
          <w:highlight w:val="none"/>
        </w:rPr>
      </w:pPr>
    </w:p>
    <w:p w14:paraId="7D5D9EDB">
      <w:pPr>
        <w:spacing w:line="560" w:lineRule="exact"/>
        <w:ind w:firstLine="640" w:firstLineChars="200"/>
        <w:rPr>
          <w:sz w:val="32"/>
          <w:szCs w:val="32"/>
          <w:highlight w:val="none"/>
        </w:rPr>
      </w:pPr>
    </w:p>
    <w:p w14:paraId="5E8A11DC">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：国有土地使用权收入分配一览表</w:t>
      </w:r>
    </w:p>
    <w:p w14:paraId="3C7B15F0">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：国有土地划拨成本构成表</w:t>
      </w:r>
    </w:p>
    <w:p w14:paraId="4DF78B00">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：划拨土地成本抵扣申请表</w:t>
      </w:r>
    </w:p>
    <w:p w14:paraId="276763C6">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highlight w:val="none"/>
        </w:rPr>
        <w:t>：土地划拨成本财力转移申请表</w:t>
      </w:r>
    </w:p>
    <w:p w14:paraId="49902D76">
      <w:pPr>
        <w:spacing w:line="560" w:lineRule="exact"/>
        <w:ind w:firstLine="640" w:firstLineChars="200"/>
        <w:jc w:val="left"/>
        <w:rPr>
          <w:sz w:val="32"/>
          <w:szCs w:val="32"/>
          <w:highlight w:val="none"/>
        </w:rPr>
      </w:pPr>
    </w:p>
    <w:p w14:paraId="331BCB5F">
      <w:pPr>
        <w:spacing w:line="560" w:lineRule="exact"/>
        <w:ind w:firstLine="880" w:firstLineChars="200"/>
        <w:jc w:val="left"/>
        <w:rPr>
          <w:sz w:val="44"/>
          <w:szCs w:val="44"/>
          <w:highlight w:val="none"/>
        </w:rPr>
      </w:pPr>
    </w:p>
    <w:p w14:paraId="7F7BDEB5">
      <w:pPr>
        <w:spacing w:line="560" w:lineRule="exact"/>
        <w:ind w:firstLine="880" w:firstLineChars="200"/>
        <w:jc w:val="left"/>
        <w:rPr>
          <w:sz w:val="44"/>
          <w:szCs w:val="44"/>
          <w:highlight w:val="none"/>
        </w:rPr>
      </w:pPr>
    </w:p>
    <w:p w14:paraId="533D85DB">
      <w:pPr>
        <w:spacing w:line="560" w:lineRule="exact"/>
        <w:ind w:firstLine="880" w:firstLineChars="200"/>
        <w:jc w:val="left"/>
        <w:rPr>
          <w:sz w:val="44"/>
          <w:szCs w:val="44"/>
          <w:highlight w:val="none"/>
        </w:rPr>
      </w:pPr>
    </w:p>
    <w:p w14:paraId="27FC7686">
      <w:pPr>
        <w:spacing w:line="560" w:lineRule="exact"/>
        <w:ind w:firstLine="880" w:firstLineChars="200"/>
        <w:jc w:val="left"/>
        <w:rPr>
          <w:sz w:val="44"/>
          <w:szCs w:val="44"/>
          <w:highlight w:val="none"/>
        </w:rPr>
      </w:pPr>
    </w:p>
    <w:p w14:paraId="082D3790">
      <w:pPr>
        <w:spacing w:line="560" w:lineRule="exact"/>
        <w:ind w:firstLine="880" w:firstLineChars="200"/>
        <w:jc w:val="left"/>
        <w:rPr>
          <w:sz w:val="44"/>
          <w:szCs w:val="44"/>
          <w:highlight w:val="none"/>
        </w:rPr>
      </w:pPr>
    </w:p>
    <w:p w14:paraId="0D584BFB">
      <w:pPr>
        <w:spacing w:line="560" w:lineRule="exact"/>
        <w:ind w:firstLine="880" w:firstLineChars="200"/>
        <w:jc w:val="left"/>
        <w:rPr>
          <w:sz w:val="44"/>
          <w:szCs w:val="44"/>
          <w:highlight w:val="none"/>
        </w:rPr>
      </w:pPr>
    </w:p>
    <w:p w14:paraId="7D88713E">
      <w:pPr>
        <w:spacing w:line="560" w:lineRule="exact"/>
        <w:ind w:firstLine="880" w:firstLineChars="200"/>
        <w:jc w:val="left"/>
        <w:rPr>
          <w:sz w:val="44"/>
          <w:szCs w:val="44"/>
          <w:highlight w:val="none"/>
        </w:rPr>
      </w:pPr>
    </w:p>
    <w:p w14:paraId="666E142B">
      <w:pPr>
        <w:spacing w:line="560" w:lineRule="exact"/>
        <w:ind w:firstLine="880" w:firstLineChars="200"/>
        <w:jc w:val="left"/>
        <w:rPr>
          <w:sz w:val="44"/>
          <w:szCs w:val="44"/>
          <w:highlight w:val="none"/>
        </w:rPr>
      </w:pPr>
    </w:p>
    <w:p w14:paraId="319C3C46">
      <w:pPr>
        <w:spacing w:line="560" w:lineRule="exact"/>
        <w:ind w:firstLine="880" w:firstLineChars="200"/>
        <w:jc w:val="left"/>
        <w:rPr>
          <w:sz w:val="44"/>
          <w:szCs w:val="44"/>
          <w:highlight w:val="none"/>
        </w:rPr>
      </w:pPr>
    </w:p>
    <w:p w14:paraId="35776132">
      <w:pPr>
        <w:spacing w:line="560" w:lineRule="exact"/>
        <w:ind w:firstLine="880" w:firstLineChars="200"/>
        <w:jc w:val="left"/>
        <w:rPr>
          <w:sz w:val="44"/>
          <w:szCs w:val="44"/>
          <w:highlight w:val="none"/>
        </w:rPr>
      </w:pPr>
    </w:p>
    <w:p w14:paraId="7DCEBE02">
      <w:pPr>
        <w:spacing w:line="560" w:lineRule="exact"/>
        <w:jc w:val="left"/>
        <w:rPr>
          <w:sz w:val="44"/>
          <w:szCs w:val="44"/>
          <w:highlight w:val="none"/>
        </w:rPr>
      </w:pPr>
    </w:p>
    <w:p w14:paraId="6C7D4DFB">
      <w:pPr>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70AFA638">
      <w:pPr>
        <w:spacing w:line="560" w:lineRule="exact"/>
        <w:rPr>
          <w:rFonts w:hint="eastAsia" w:ascii="黑体" w:hAnsi="黑体" w:eastAsia="黑体" w:cs="黑体"/>
          <w:sz w:val="32"/>
          <w:szCs w:val="32"/>
          <w:highlight w:val="none"/>
        </w:rPr>
      </w:pPr>
    </w:p>
    <w:p w14:paraId="4B246E5C">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国有土地使用权收入分配一览表</w:t>
      </w:r>
    </w:p>
    <w:p w14:paraId="06F366DC">
      <w:pPr>
        <w:spacing w:line="560" w:lineRule="exact"/>
        <w:jc w:val="center"/>
        <w:rPr>
          <w:rFonts w:asciiTheme="minorEastAsia" w:hAnsiTheme="minorEastAsia" w:cstheme="minorEastAsia"/>
          <w:sz w:val="44"/>
          <w:szCs w:val="44"/>
          <w:highlight w:val="non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893"/>
        <w:gridCol w:w="3751"/>
      </w:tblGrid>
      <w:tr w14:paraId="25EA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771" w:type="dxa"/>
            <w:gridSpan w:val="2"/>
          </w:tcPr>
          <w:p w14:paraId="1C2874DD">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项目名称</w:t>
            </w:r>
          </w:p>
        </w:tc>
        <w:tc>
          <w:tcPr>
            <w:tcW w:w="3751" w:type="dxa"/>
          </w:tcPr>
          <w:p w14:paraId="1DF01D54">
            <w:pPr>
              <w:spacing w:line="560" w:lineRule="exact"/>
              <w:ind w:firstLine="640" w:firstLineChars="200"/>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计提标准说明</w:t>
            </w:r>
          </w:p>
        </w:tc>
      </w:tr>
      <w:tr w14:paraId="5E21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restart"/>
          </w:tcPr>
          <w:p w14:paraId="212D1AD5">
            <w:pPr>
              <w:spacing w:line="560" w:lineRule="exact"/>
              <w:ind w:firstLine="640" w:firstLineChars="200"/>
              <w:jc w:val="center"/>
              <w:rPr>
                <w:rFonts w:asciiTheme="minorEastAsia" w:hAnsiTheme="minorEastAsia" w:cstheme="minorEastAsia"/>
                <w:sz w:val="32"/>
                <w:szCs w:val="32"/>
                <w:highlight w:val="none"/>
              </w:rPr>
            </w:pPr>
          </w:p>
          <w:p w14:paraId="47EE3C56">
            <w:pPr>
              <w:spacing w:line="560" w:lineRule="exact"/>
              <w:ind w:firstLine="640" w:firstLineChars="200"/>
              <w:jc w:val="center"/>
              <w:rPr>
                <w:rFonts w:asciiTheme="minorEastAsia" w:hAnsiTheme="minorEastAsia" w:cstheme="minorEastAsia"/>
                <w:sz w:val="32"/>
                <w:szCs w:val="32"/>
                <w:highlight w:val="none"/>
              </w:rPr>
            </w:pPr>
          </w:p>
          <w:p w14:paraId="4A8E13C0">
            <w:pPr>
              <w:spacing w:line="560" w:lineRule="exact"/>
              <w:ind w:firstLine="640" w:firstLineChars="200"/>
              <w:jc w:val="center"/>
              <w:rPr>
                <w:rFonts w:asciiTheme="minorEastAsia" w:hAnsiTheme="minorEastAsia" w:cstheme="minorEastAsia"/>
                <w:sz w:val="32"/>
                <w:szCs w:val="32"/>
                <w:highlight w:val="none"/>
              </w:rPr>
            </w:pPr>
          </w:p>
          <w:p w14:paraId="195808AB">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国</w:t>
            </w:r>
          </w:p>
          <w:p w14:paraId="6842CFCF">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有</w:t>
            </w:r>
          </w:p>
          <w:p w14:paraId="697AC11D">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土</w:t>
            </w:r>
          </w:p>
          <w:p w14:paraId="6100A5B3">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地</w:t>
            </w:r>
          </w:p>
          <w:p w14:paraId="549B9CE5">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出</w:t>
            </w:r>
          </w:p>
          <w:p w14:paraId="6E1EB3B4">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让</w:t>
            </w:r>
          </w:p>
          <w:p w14:paraId="7F7CC27D">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价</w:t>
            </w:r>
          </w:p>
          <w:p w14:paraId="54351457">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款</w:t>
            </w:r>
          </w:p>
          <w:p w14:paraId="63B18735">
            <w:pPr>
              <w:spacing w:line="560" w:lineRule="exact"/>
              <w:jc w:val="center"/>
              <w:rPr>
                <w:rFonts w:asciiTheme="minorEastAsia" w:hAnsiTheme="minorEastAsia" w:cstheme="minorEastAsia"/>
                <w:sz w:val="32"/>
                <w:szCs w:val="32"/>
                <w:highlight w:val="none"/>
              </w:rPr>
            </w:pPr>
            <w:r>
              <w:rPr>
                <w:rFonts w:hint="eastAsia" w:asciiTheme="minorEastAsia" w:hAnsiTheme="minorEastAsia" w:cstheme="minorEastAsia"/>
                <w:sz w:val="24"/>
                <w:szCs w:val="24"/>
                <w:highlight w:val="none"/>
              </w:rPr>
              <w:t>(1)</w:t>
            </w:r>
          </w:p>
        </w:tc>
        <w:tc>
          <w:tcPr>
            <w:tcW w:w="3893" w:type="dxa"/>
          </w:tcPr>
          <w:p w14:paraId="32FA1226">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国有土地收益金</w:t>
            </w:r>
          </w:p>
        </w:tc>
        <w:tc>
          <w:tcPr>
            <w:tcW w:w="3751" w:type="dxa"/>
          </w:tcPr>
          <w:p w14:paraId="4003F8DB">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w:t>
            </w:r>
            <w:r>
              <w:rPr>
                <w:rFonts w:hint="default" w:ascii="Times New Roman" w:hAnsi="Times New Roman" w:cs="Times New Roman"/>
                <w:sz w:val="32"/>
                <w:szCs w:val="32"/>
                <w:highlight w:val="none"/>
              </w:rPr>
              <w:t>x5%</w:t>
            </w:r>
          </w:p>
        </w:tc>
      </w:tr>
      <w:tr w14:paraId="0831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8" w:type="dxa"/>
            <w:vMerge w:val="continue"/>
          </w:tcPr>
          <w:p w14:paraId="2864CBF0">
            <w:pPr>
              <w:spacing w:line="560" w:lineRule="exact"/>
              <w:ind w:firstLine="640" w:firstLineChars="200"/>
              <w:rPr>
                <w:rFonts w:asciiTheme="minorEastAsia" w:hAnsiTheme="minorEastAsia" w:cstheme="minorEastAsia"/>
                <w:sz w:val="32"/>
                <w:szCs w:val="32"/>
                <w:highlight w:val="none"/>
              </w:rPr>
            </w:pPr>
          </w:p>
        </w:tc>
        <w:tc>
          <w:tcPr>
            <w:tcW w:w="3893" w:type="dxa"/>
          </w:tcPr>
          <w:p w14:paraId="1AC15CE9">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农业土地开发资金</w:t>
            </w:r>
          </w:p>
        </w:tc>
        <w:tc>
          <w:tcPr>
            <w:tcW w:w="3751" w:type="dxa"/>
          </w:tcPr>
          <w:p w14:paraId="1852D79A">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出让面积</w:t>
            </w:r>
            <w:r>
              <w:rPr>
                <w:rFonts w:hint="default" w:ascii="Times New Roman" w:hAnsi="Times New Roman" w:cs="Times New Roman"/>
                <w:sz w:val="32"/>
                <w:szCs w:val="32"/>
                <w:highlight w:val="none"/>
              </w:rPr>
              <w:t>x4100</w:t>
            </w:r>
            <w:r>
              <w:rPr>
                <w:rFonts w:hint="eastAsia" w:asciiTheme="minorEastAsia" w:hAnsiTheme="minorEastAsia" w:cstheme="minorEastAsia"/>
                <w:sz w:val="32"/>
                <w:szCs w:val="32"/>
                <w:highlight w:val="none"/>
              </w:rPr>
              <w:t>元/亩</w:t>
            </w:r>
          </w:p>
        </w:tc>
      </w:tr>
      <w:tr w14:paraId="482B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78" w:type="dxa"/>
            <w:vMerge w:val="continue"/>
          </w:tcPr>
          <w:p w14:paraId="53E1AF71">
            <w:pPr>
              <w:spacing w:line="560" w:lineRule="exact"/>
              <w:ind w:firstLine="640" w:firstLineChars="200"/>
              <w:rPr>
                <w:rFonts w:asciiTheme="minorEastAsia" w:hAnsiTheme="minorEastAsia" w:cstheme="minorEastAsia"/>
                <w:sz w:val="32"/>
                <w:szCs w:val="32"/>
                <w:highlight w:val="none"/>
              </w:rPr>
            </w:pPr>
          </w:p>
        </w:tc>
        <w:tc>
          <w:tcPr>
            <w:tcW w:w="3893" w:type="dxa"/>
          </w:tcPr>
          <w:p w14:paraId="689F9940">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社会保障风险准备金</w:t>
            </w:r>
          </w:p>
        </w:tc>
        <w:tc>
          <w:tcPr>
            <w:tcW w:w="3751" w:type="dxa"/>
          </w:tcPr>
          <w:p w14:paraId="1AB3A33F">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(1)x10%</w:t>
            </w:r>
          </w:p>
        </w:tc>
      </w:tr>
      <w:tr w14:paraId="5F77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tcPr>
          <w:p w14:paraId="012573FA">
            <w:pPr>
              <w:spacing w:line="560" w:lineRule="exact"/>
              <w:ind w:firstLine="640" w:firstLineChars="200"/>
              <w:rPr>
                <w:rFonts w:asciiTheme="minorEastAsia" w:hAnsiTheme="minorEastAsia" w:cstheme="minorEastAsia"/>
                <w:sz w:val="32"/>
                <w:szCs w:val="32"/>
                <w:highlight w:val="none"/>
              </w:rPr>
            </w:pPr>
          </w:p>
        </w:tc>
        <w:tc>
          <w:tcPr>
            <w:tcW w:w="3893" w:type="dxa"/>
          </w:tcPr>
          <w:p w14:paraId="7F1BFF6D">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被征地农民基本养老保障调节基金</w:t>
            </w:r>
          </w:p>
        </w:tc>
        <w:tc>
          <w:tcPr>
            <w:tcW w:w="3751" w:type="dxa"/>
          </w:tcPr>
          <w:p w14:paraId="55723CA2">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(1)x6%</w:t>
            </w:r>
          </w:p>
        </w:tc>
      </w:tr>
      <w:tr w14:paraId="461F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78" w:type="dxa"/>
            <w:vMerge w:val="continue"/>
          </w:tcPr>
          <w:p w14:paraId="6EB19FC7">
            <w:pPr>
              <w:spacing w:line="560" w:lineRule="exact"/>
              <w:ind w:firstLine="640" w:firstLineChars="200"/>
              <w:rPr>
                <w:rFonts w:asciiTheme="minorEastAsia" w:hAnsiTheme="minorEastAsia" w:cstheme="minorEastAsia"/>
                <w:sz w:val="32"/>
                <w:szCs w:val="32"/>
                <w:highlight w:val="none"/>
              </w:rPr>
            </w:pPr>
          </w:p>
        </w:tc>
        <w:tc>
          <w:tcPr>
            <w:tcW w:w="3893" w:type="dxa"/>
          </w:tcPr>
          <w:p w14:paraId="18EE3AB7">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教育资金</w:t>
            </w:r>
          </w:p>
        </w:tc>
        <w:tc>
          <w:tcPr>
            <w:tcW w:w="3751" w:type="dxa"/>
          </w:tcPr>
          <w:p w14:paraId="101127E9">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(1)x2%</w:t>
            </w:r>
          </w:p>
        </w:tc>
      </w:tr>
      <w:tr w14:paraId="5038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78" w:type="dxa"/>
            <w:vMerge w:val="continue"/>
          </w:tcPr>
          <w:p w14:paraId="7EF5A9C9">
            <w:pPr>
              <w:spacing w:line="560" w:lineRule="exact"/>
              <w:ind w:firstLine="640" w:firstLineChars="200"/>
              <w:rPr>
                <w:rFonts w:asciiTheme="minorEastAsia" w:hAnsiTheme="minorEastAsia" w:cstheme="minorEastAsia"/>
                <w:sz w:val="32"/>
                <w:szCs w:val="32"/>
                <w:highlight w:val="none"/>
              </w:rPr>
            </w:pPr>
          </w:p>
        </w:tc>
        <w:tc>
          <w:tcPr>
            <w:tcW w:w="3893" w:type="dxa"/>
          </w:tcPr>
          <w:p w14:paraId="3D556622">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农田水利资金</w:t>
            </w:r>
          </w:p>
        </w:tc>
        <w:tc>
          <w:tcPr>
            <w:tcW w:w="3751" w:type="dxa"/>
          </w:tcPr>
          <w:p w14:paraId="44DBABAC">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(1)x2%</w:t>
            </w:r>
          </w:p>
        </w:tc>
      </w:tr>
      <w:tr w14:paraId="7BFC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78" w:type="dxa"/>
            <w:vMerge w:val="continue"/>
          </w:tcPr>
          <w:p w14:paraId="7B25C6D3">
            <w:pPr>
              <w:spacing w:line="560" w:lineRule="exact"/>
              <w:ind w:firstLine="640" w:firstLineChars="200"/>
              <w:rPr>
                <w:rFonts w:asciiTheme="minorEastAsia" w:hAnsiTheme="minorEastAsia" w:cstheme="minorEastAsia"/>
                <w:sz w:val="32"/>
                <w:szCs w:val="32"/>
                <w:highlight w:val="none"/>
              </w:rPr>
            </w:pPr>
          </w:p>
        </w:tc>
        <w:tc>
          <w:tcPr>
            <w:tcW w:w="3893" w:type="dxa"/>
          </w:tcPr>
          <w:p w14:paraId="538794F3">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土地出让业务费用</w:t>
            </w:r>
          </w:p>
        </w:tc>
        <w:tc>
          <w:tcPr>
            <w:tcW w:w="3751" w:type="dxa"/>
          </w:tcPr>
          <w:p w14:paraId="4793A224">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(1)x2%</w:t>
            </w:r>
          </w:p>
        </w:tc>
      </w:tr>
      <w:tr w14:paraId="6C1E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78" w:type="dxa"/>
            <w:vMerge w:val="continue"/>
          </w:tcPr>
          <w:p w14:paraId="33379CAD">
            <w:pPr>
              <w:spacing w:line="560" w:lineRule="exact"/>
              <w:ind w:firstLine="640" w:firstLineChars="200"/>
              <w:rPr>
                <w:rFonts w:asciiTheme="minorEastAsia" w:hAnsiTheme="minorEastAsia" w:cstheme="minorEastAsia"/>
                <w:sz w:val="32"/>
                <w:szCs w:val="32"/>
                <w:highlight w:val="none"/>
              </w:rPr>
            </w:pPr>
          </w:p>
        </w:tc>
        <w:tc>
          <w:tcPr>
            <w:tcW w:w="3893" w:type="dxa"/>
          </w:tcPr>
          <w:p w14:paraId="236AFC28">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新增建设用地土地有偿使用费</w:t>
            </w:r>
          </w:p>
        </w:tc>
        <w:tc>
          <w:tcPr>
            <w:tcW w:w="3751" w:type="dxa"/>
          </w:tcPr>
          <w:p w14:paraId="2B891266">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出让面积x28元/平方米</w:t>
            </w:r>
          </w:p>
        </w:tc>
      </w:tr>
      <w:tr w14:paraId="3E6D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78" w:type="dxa"/>
            <w:vMerge w:val="continue"/>
          </w:tcPr>
          <w:p w14:paraId="5A2591ED">
            <w:pPr>
              <w:spacing w:line="560" w:lineRule="exact"/>
              <w:ind w:firstLine="640" w:firstLineChars="200"/>
              <w:rPr>
                <w:rFonts w:asciiTheme="minorEastAsia" w:hAnsiTheme="minorEastAsia" w:cstheme="minorEastAsia"/>
                <w:sz w:val="32"/>
                <w:szCs w:val="32"/>
                <w:highlight w:val="none"/>
              </w:rPr>
            </w:pPr>
          </w:p>
        </w:tc>
        <w:tc>
          <w:tcPr>
            <w:tcW w:w="3893" w:type="dxa"/>
          </w:tcPr>
          <w:p w14:paraId="67FB349F">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公共租赁住房保障支出</w:t>
            </w:r>
          </w:p>
        </w:tc>
        <w:tc>
          <w:tcPr>
            <w:tcW w:w="3751" w:type="dxa"/>
          </w:tcPr>
          <w:p w14:paraId="2DD674D7">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(1)x2%</w:t>
            </w:r>
          </w:p>
        </w:tc>
      </w:tr>
      <w:tr w14:paraId="1E6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78" w:type="dxa"/>
            <w:vMerge w:val="continue"/>
          </w:tcPr>
          <w:p w14:paraId="41CE64D9">
            <w:pPr>
              <w:spacing w:line="560" w:lineRule="exact"/>
              <w:ind w:firstLine="640" w:firstLineChars="200"/>
              <w:rPr>
                <w:rFonts w:asciiTheme="minorEastAsia" w:hAnsiTheme="minorEastAsia" w:cstheme="minorEastAsia"/>
                <w:sz w:val="32"/>
                <w:szCs w:val="32"/>
                <w:highlight w:val="none"/>
              </w:rPr>
            </w:pPr>
          </w:p>
        </w:tc>
        <w:tc>
          <w:tcPr>
            <w:tcW w:w="3893" w:type="dxa"/>
          </w:tcPr>
          <w:p w14:paraId="75E9F95A">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“腾笼换鸟”专项经费</w:t>
            </w:r>
          </w:p>
        </w:tc>
        <w:tc>
          <w:tcPr>
            <w:tcW w:w="3751" w:type="dxa"/>
          </w:tcPr>
          <w:p w14:paraId="43866296">
            <w:pPr>
              <w:spacing w:line="560" w:lineRule="exact"/>
              <w:jc w:val="left"/>
              <w:rPr>
                <w:rFonts w:asciiTheme="minorEastAsia" w:hAnsiTheme="minorEastAsia" w:cstheme="minorEastAsia"/>
                <w:sz w:val="32"/>
                <w:szCs w:val="32"/>
                <w:highlight w:val="none"/>
              </w:rPr>
            </w:pPr>
            <w:r>
              <w:rPr>
                <w:rFonts w:hint="default" w:ascii="Times New Roman" w:hAnsi="Times New Roman" w:cs="Times New Roman"/>
                <w:sz w:val="32"/>
                <w:szCs w:val="32"/>
                <w:highlight w:val="none"/>
              </w:rPr>
              <w:t>(1)x0.5%</w:t>
            </w:r>
          </w:p>
        </w:tc>
      </w:tr>
      <w:tr w14:paraId="6587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78" w:type="dxa"/>
            <w:vMerge w:val="continue"/>
          </w:tcPr>
          <w:p w14:paraId="002C1F76">
            <w:pPr>
              <w:spacing w:line="560" w:lineRule="exact"/>
              <w:ind w:firstLine="640" w:firstLineChars="200"/>
              <w:rPr>
                <w:rFonts w:asciiTheme="minorEastAsia" w:hAnsiTheme="minorEastAsia" w:cstheme="minorEastAsia"/>
                <w:sz w:val="32"/>
                <w:szCs w:val="32"/>
                <w:highlight w:val="none"/>
              </w:rPr>
            </w:pPr>
          </w:p>
        </w:tc>
        <w:tc>
          <w:tcPr>
            <w:tcW w:w="3893" w:type="dxa"/>
          </w:tcPr>
          <w:p w14:paraId="1382A1C4">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成本类费用</w:t>
            </w:r>
          </w:p>
        </w:tc>
        <w:tc>
          <w:tcPr>
            <w:tcW w:w="3751" w:type="dxa"/>
          </w:tcPr>
          <w:p w14:paraId="12FF68BC">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按实际支出扣除</w:t>
            </w:r>
          </w:p>
        </w:tc>
      </w:tr>
      <w:tr w14:paraId="6DBC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tcPr>
          <w:p w14:paraId="7204FD87">
            <w:pPr>
              <w:spacing w:line="560" w:lineRule="exact"/>
              <w:ind w:firstLine="640" w:firstLineChars="200"/>
              <w:rPr>
                <w:rFonts w:asciiTheme="minorEastAsia" w:hAnsiTheme="minorEastAsia" w:cstheme="minorEastAsia"/>
                <w:sz w:val="32"/>
                <w:szCs w:val="32"/>
                <w:highlight w:val="none"/>
              </w:rPr>
            </w:pPr>
          </w:p>
        </w:tc>
        <w:tc>
          <w:tcPr>
            <w:tcW w:w="3893" w:type="dxa"/>
          </w:tcPr>
          <w:p w14:paraId="527B5782">
            <w:pPr>
              <w:spacing w:line="560" w:lineRule="exact"/>
              <w:jc w:val="left"/>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待分配收入</w:t>
            </w:r>
          </w:p>
        </w:tc>
        <w:tc>
          <w:tcPr>
            <w:tcW w:w="3751" w:type="dxa"/>
          </w:tcPr>
          <w:p w14:paraId="4889560D">
            <w:pPr>
              <w:spacing w:line="560" w:lineRule="exact"/>
              <w:ind w:firstLine="640" w:firstLineChars="200"/>
              <w:jc w:val="left"/>
              <w:rPr>
                <w:rFonts w:asciiTheme="minorEastAsia" w:hAnsiTheme="minorEastAsia" w:cstheme="minorEastAsia"/>
                <w:sz w:val="32"/>
                <w:szCs w:val="32"/>
                <w:highlight w:val="none"/>
              </w:rPr>
            </w:pPr>
          </w:p>
        </w:tc>
      </w:tr>
    </w:tbl>
    <w:p w14:paraId="6D8CD853">
      <w:pPr>
        <w:widowControl/>
        <w:spacing w:line="560" w:lineRule="exact"/>
        <w:ind w:firstLine="640" w:firstLineChars="200"/>
        <w:jc w:val="left"/>
        <w:textAlignment w:val="center"/>
        <w:rPr>
          <w:sz w:val="32"/>
          <w:szCs w:val="32"/>
          <w:highlight w:val="none"/>
        </w:rPr>
      </w:pPr>
    </w:p>
    <w:p w14:paraId="28821A3F">
      <w:pPr>
        <w:widowControl/>
        <w:spacing w:line="560" w:lineRule="exact"/>
        <w:ind w:firstLine="640" w:firstLineChars="200"/>
        <w:jc w:val="left"/>
        <w:textAlignment w:val="center"/>
        <w:rPr>
          <w:sz w:val="32"/>
          <w:szCs w:val="32"/>
          <w:highlight w:val="none"/>
        </w:rPr>
      </w:pPr>
    </w:p>
    <w:p w14:paraId="11C69CB7">
      <w:pPr>
        <w:widowControl/>
        <w:spacing w:line="560" w:lineRule="exact"/>
        <w:jc w:val="left"/>
        <w:textAlignment w:val="center"/>
        <w:rPr>
          <w:rFonts w:hint="eastAsia" w:asciiTheme="minorEastAsia" w:hAnsiTheme="minorEastAsia" w:cstheme="minorEastAsia"/>
          <w:sz w:val="28"/>
          <w:szCs w:val="28"/>
          <w:highlight w:val="none"/>
        </w:rPr>
      </w:pPr>
    </w:p>
    <w:p w14:paraId="4F1F8DFB">
      <w:pPr>
        <w:widowControl/>
        <w:spacing w:line="560" w:lineRule="exact"/>
        <w:jc w:val="left"/>
        <w:textAlignment w:val="center"/>
        <w:rPr>
          <w:rFonts w:hint="eastAsia" w:ascii="黑体" w:hAnsi="黑体" w:eastAsia="黑体" w:cs="黑体"/>
          <w:sz w:val="32"/>
          <w:szCs w:val="32"/>
          <w:highlight w:val="none"/>
        </w:rPr>
      </w:pPr>
      <w:r>
        <w:rPr>
          <w:rFonts w:hint="eastAsia" w:ascii="黑体" w:hAnsi="黑体" w:eastAsia="黑体" w:cs="黑体"/>
          <w:sz w:val="28"/>
          <w:szCs w:val="28"/>
          <w:highlight w:val="none"/>
        </w:rPr>
        <w:t>附件2</w:t>
      </w:r>
    </w:p>
    <w:p w14:paraId="3ED94B15">
      <w:pPr>
        <w:widowControl/>
        <w:spacing w:line="560" w:lineRule="exact"/>
        <w:jc w:val="center"/>
        <w:rPr>
          <w:rFonts w:asciiTheme="minorEastAsia" w:hAnsiTheme="minorEastAsia" w:cstheme="minorEastAsia"/>
          <w:sz w:val="44"/>
          <w:szCs w:val="44"/>
          <w:highlight w:val="none"/>
        </w:rPr>
      </w:pPr>
    </w:p>
    <w:p w14:paraId="400F124F">
      <w:pPr>
        <w:widowControl/>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国有土地划拨收取标准</w:t>
      </w:r>
    </w:p>
    <w:p w14:paraId="18F4B524">
      <w:pPr>
        <w:widowControl/>
        <w:spacing w:line="560" w:lineRule="exact"/>
        <w:jc w:val="right"/>
        <w:textAlignment w:val="center"/>
        <w:rPr>
          <w:rFonts w:eastAsia="仿宋_GB2312"/>
          <w:sz w:val="32"/>
          <w:szCs w:val="32"/>
          <w:highlight w:val="none"/>
        </w:rPr>
      </w:pPr>
    </w:p>
    <w:p w14:paraId="4F348175">
      <w:pPr>
        <w:widowControl/>
        <w:spacing w:line="560" w:lineRule="exact"/>
        <w:jc w:val="right"/>
        <w:textAlignment w:val="center"/>
        <w:rPr>
          <w:rFonts w:eastAsia="仿宋_GB2312"/>
          <w:sz w:val="32"/>
          <w:szCs w:val="32"/>
          <w:highlight w:val="none"/>
        </w:rPr>
      </w:pPr>
      <w:r>
        <w:rPr>
          <w:rFonts w:hint="eastAsia" w:eastAsia="仿宋_GB2312"/>
          <w:sz w:val="32"/>
          <w:szCs w:val="32"/>
          <w:highlight w:val="none"/>
        </w:rPr>
        <w:t>单位：万元/亩</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650"/>
        <w:gridCol w:w="3707"/>
        <w:gridCol w:w="828"/>
        <w:gridCol w:w="801"/>
      </w:tblGrid>
      <w:tr w14:paraId="473F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tcPr>
          <w:p w14:paraId="6D3180A9">
            <w:pPr>
              <w:widowControl/>
              <w:spacing w:line="560" w:lineRule="exact"/>
              <w:jc w:val="center"/>
              <w:textAlignment w:val="center"/>
              <w:rPr>
                <w:rFonts w:asciiTheme="minorEastAsia" w:hAnsiTheme="minorEastAsia" w:cstheme="minorEastAsia"/>
                <w:sz w:val="32"/>
                <w:szCs w:val="32"/>
                <w:highlight w:val="none"/>
              </w:rPr>
            </w:pPr>
          </w:p>
          <w:p w14:paraId="1A55750E">
            <w:pPr>
              <w:widowControl/>
              <w:spacing w:line="560" w:lineRule="exact"/>
              <w:jc w:val="center"/>
              <w:textAlignment w:val="center"/>
              <w:rPr>
                <w:rFonts w:asciiTheme="minorEastAsia" w:hAnsiTheme="minorEastAsia" w:cstheme="minorEastAsia"/>
                <w:sz w:val="32"/>
                <w:szCs w:val="32"/>
                <w:highlight w:val="none"/>
              </w:rPr>
            </w:pPr>
          </w:p>
          <w:p w14:paraId="52CF57FF">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国</w:t>
            </w:r>
          </w:p>
          <w:p w14:paraId="61CB3970">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有</w:t>
            </w:r>
          </w:p>
          <w:p w14:paraId="1EDC32A3">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土</w:t>
            </w:r>
          </w:p>
          <w:p w14:paraId="66961D49">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地</w:t>
            </w:r>
          </w:p>
          <w:p w14:paraId="1D27FE91">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划</w:t>
            </w:r>
          </w:p>
          <w:p w14:paraId="62322915">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拨</w:t>
            </w:r>
          </w:p>
          <w:p w14:paraId="2D47E690">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收</w:t>
            </w:r>
          </w:p>
          <w:p w14:paraId="766E9C75">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取</w:t>
            </w:r>
          </w:p>
          <w:p w14:paraId="5C2E2C47">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标</w:t>
            </w:r>
          </w:p>
          <w:p w14:paraId="6ADEE9B5">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准</w:t>
            </w:r>
          </w:p>
        </w:tc>
        <w:tc>
          <w:tcPr>
            <w:tcW w:w="2650" w:type="dxa"/>
          </w:tcPr>
          <w:p w14:paraId="2A870398">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成本构成</w:t>
            </w:r>
          </w:p>
        </w:tc>
        <w:tc>
          <w:tcPr>
            <w:tcW w:w="3707" w:type="dxa"/>
            <w:shd w:val="clear" w:color="auto" w:fill="auto"/>
          </w:tcPr>
          <w:p w14:paraId="61643D83">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具体内容</w:t>
            </w:r>
          </w:p>
        </w:tc>
        <w:tc>
          <w:tcPr>
            <w:tcW w:w="828" w:type="dxa"/>
          </w:tcPr>
          <w:p w14:paraId="229E59D0">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标准</w:t>
            </w:r>
          </w:p>
        </w:tc>
        <w:tc>
          <w:tcPr>
            <w:tcW w:w="801" w:type="dxa"/>
          </w:tcPr>
          <w:p w14:paraId="7E044074">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备注</w:t>
            </w:r>
          </w:p>
        </w:tc>
      </w:tr>
      <w:tr w14:paraId="6BC4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36" w:type="dxa"/>
            <w:vMerge w:val="continue"/>
          </w:tcPr>
          <w:p w14:paraId="03F9E7A9">
            <w:pPr>
              <w:widowControl/>
              <w:spacing w:line="560" w:lineRule="exact"/>
              <w:jc w:val="left"/>
              <w:textAlignment w:val="center"/>
              <w:rPr>
                <w:rFonts w:asciiTheme="minorEastAsia" w:hAnsiTheme="minorEastAsia" w:cstheme="minorEastAsia"/>
                <w:sz w:val="32"/>
                <w:szCs w:val="32"/>
                <w:highlight w:val="none"/>
              </w:rPr>
            </w:pPr>
          </w:p>
        </w:tc>
        <w:tc>
          <w:tcPr>
            <w:tcW w:w="2650" w:type="dxa"/>
            <w:vAlign w:val="top"/>
          </w:tcPr>
          <w:p w14:paraId="163DBA09">
            <w:pPr>
              <w:widowControl/>
              <w:spacing w:line="560" w:lineRule="exact"/>
              <w:jc w:val="center"/>
              <w:textAlignment w:val="center"/>
              <w:rPr>
                <w:rFonts w:hint="default" w:asciiTheme="minorEastAsia" w:hAnsiTheme="minorEastAsia" w:cstheme="minorEastAsia"/>
                <w:sz w:val="32"/>
                <w:szCs w:val="32"/>
                <w:highlight w:val="none"/>
              </w:rPr>
            </w:pPr>
            <w:r>
              <w:rPr>
                <w:rFonts w:asciiTheme="minorEastAsia" w:hAnsiTheme="minorEastAsia" w:cstheme="minorEastAsia"/>
                <w:sz w:val="32"/>
                <w:szCs w:val="32"/>
                <w:highlight w:val="none"/>
              </w:rPr>
              <w:t>补充耕地资金</w:t>
            </w:r>
          </w:p>
        </w:tc>
        <w:tc>
          <w:tcPr>
            <w:tcW w:w="3707" w:type="dxa"/>
            <w:shd w:val="clear" w:color="auto" w:fill="auto"/>
            <w:vAlign w:val="top"/>
          </w:tcPr>
          <w:p w14:paraId="086842E9">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补充耕地资金</w:t>
            </w:r>
          </w:p>
        </w:tc>
        <w:tc>
          <w:tcPr>
            <w:tcW w:w="828" w:type="dxa"/>
            <w:vAlign w:val="top"/>
          </w:tcPr>
          <w:p w14:paraId="0D6ECB8E">
            <w:pPr>
              <w:widowControl/>
              <w:spacing w:line="560" w:lineRule="exact"/>
              <w:jc w:val="center"/>
              <w:textAlignment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25</w:t>
            </w:r>
          </w:p>
        </w:tc>
        <w:tc>
          <w:tcPr>
            <w:tcW w:w="801" w:type="dxa"/>
          </w:tcPr>
          <w:p w14:paraId="5E63AA0F">
            <w:pPr>
              <w:widowControl/>
              <w:spacing w:line="560" w:lineRule="exact"/>
              <w:jc w:val="center"/>
              <w:textAlignment w:val="center"/>
              <w:rPr>
                <w:rFonts w:asciiTheme="minorEastAsia" w:hAnsiTheme="minorEastAsia" w:cstheme="minorEastAsia"/>
                <w:sz w:val="32"/>
                <w:szCs w:val="32"/>
                <w:highlight w:val="none"/>
              </w:rPr>
            </w:pPr>
          </w:p>
        </w:tc>
      </w:tr>
      <w:tr w14:paraId="7FA4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14:paraId="44C6267B">
            <w:pPr>
              <w:widowControl/>
              <w:spacing w:line="560" w:lineRule="exact"/>
              <w:jc w:val="left"/>
              <w:textAlignment w:val="center"/>
              <w:rPr>
                <w:rFonts w:asciiTheme="minorEastAsia" w:hAnsiTheme="minorEastAsia" w:cstheme="minorEastAsia"/>
                <w:sz w:val="32"/>
                <w:szCs w:val="32"/>
                <w:highlight w:val="none"/>
              </w:rPr>
            </w:pPr>
          </w:p>
        </w:tc>
        <w:tc>
          <w:tcPr>
            <w:tcW w:w="2650" w:type="dxa"/>
            <w:vMerge w:val="restart"/>
          </w:tcPr>
          <w:p w14:paraId="2A32C133">
            <w:pPr>
              <w:widowControl/>
              <w:spacing w:line="560" w:lineRule="exact"/>
              <w:jc w:val="center"/>
              <w:textAlignment w:val="center"/>
              <w:rPr>
                <w:rFonts w:asciiTheme="minorEastAsia" w:hAnsiTheme="minorEastAsia" w:cstheme="minorEastAsia"/>
                <w:sz w:val="32"/>
                <w:szCs w:val="32"/>
                <w:highlight w:val="none"/>
              </w:rPr>
            </w:pPr>
          </w:p>
          <w:p w14:paraId="72E87C20">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征地补偿费</w:t>
            </w:r>
          </w:p>
        </w:tc>
        <w:tc>
          <w:tcPr>
            <w:tcW w:w="3707" w:type="dxa"/>
            <w:shd w:val="clear" w:color="auto" w:fill="auto"/>
          </w:tcPr>
          <w:p w14:paraId="7E0919FC">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片区综合价</w:t>
            </w:r>
          </w:p>
        </w:tc>
        <w:tc>
          <w:tcPr>
            <w:tcW w:w="828" w:type="dxa"/>
          </w:tcPr>
          <w:p w14:paraId="0A4FBD39">
            <w:pPr>
              <w:widowControl/>
              <w:spacing w:line="560" w:lineRule="exact"/>
              <w:jc w:val="center"/>
              <w:textAlignment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7</w:t>
            </w:r>
          </w:p>
        </w:tc>
        <w:tc>
          <w:tcPr>
            <w:tcW w:w="801" w:type="dxa"/>
          </w:tcPr>
          <w:p w14:paraId="1FE1DC3A">
            <w:pPr>
              <w:widowControl/>
              <w:spacing w:line="560" w:lineRule="exact"/>
              <w:jc w:val="center"/>
              <w:textAlignment w:val="center"/>
              <w:rPr>
                <w:rFonts w:asciiTheme="minorEastAsia" w:hAnsiTheme="minorEastAsia" w:cstheme="minorEastAsia"/>
                <w:sz w:val="32"/>
                <w:szCs w:val="32"/>
                <w:highlight w:val="none"/>
              </w:rPr>
            </w:pPr>
          </w:p>
        </w:tc>
      </w:tr>
      <w:tr w14:paraId="0E73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14:paraId="01D842E8">
            <w:pPr>
              <w:widowControl/>
              <w:spacing w:line="560" w:lineRule="exact"/>
              <w:jc w:val="left"/>
              <w:textAlignment w:val="center"/>
              <w:rPr>
                <w:rFonts w:asciiTheme="minorEastAsia" w:hAnsiTheme="minorEastAsia" w:cstheme="minorEastAsia"/>
                <w:sz w:val="32"/>
                <w:szCs w:val="32"/>
                <w:highlight w:val="none"/>
              </w:rPr>
            </w:pPr>
          </w:p>
        </w:tc>
        <w:tc>
          <w:tcPr>
            <w:tcW w:w="2650" w:type="dxa"/>
            <w:vMerge w:val="continue"/>
          </w:tcPr>
          <w:p w14:paraId="19B3A301">
            <w:pPr>
              <w:widowControl/>
              <w:spacing w:line="560" w:lineRule="exact"/>
              <w:jc w:val="center"/>
              <w:textAlignment w:val="center"/>
              <w:rPr>
                <w:rFonts w:asciiTheme="minorEastAsia" w:hAnsiTheme="minorEastAsia" w:cstheme="minorEastAsia"/>
                <w:sz w:val="32"/>
                <w:szCs w:val="32"/>
                <w:highlight w:val="none"/>
              </w:rPr>
            </w:pPr>
          </w:p>
        </w:tc>
        <w:tc>
          <w:tcPr>
            <w:tcW w:w="3707" w:type="dxa"/>
            <w:shd w:val="clear" w:color="auto" w:fill="auto"/>
          </w:tcPr>
          <w:p w14:paraId="439A211F">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保持被征地农民生活水平资金</w:t>
            </w:r>
          </w:p>
        </w:tc>
        <w:tc>
          <w:tcPr>
            <w:tcW w:w="828" w:type="dxa"/>
          </w:tcPr>
          <w:p w14:paraId="1576B1F2">
            <w:pPr>
              <w:widowControl/>
              <w:spacing w:line="560" w:lineRule="exact"/>
              <w:jc w:val="center"/>
              <w:textAlignment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7</w:t>
            </w:r>
          </w:p>
        </w:tc>
        <w:tc>
          <w:tcPr>
            <w:tcW w:w="801" w:type="dxa"/>
          </w:tcPr>
          <w:p w14:paraId="1EA596FC">
            <w:pPr>
              <w:widowControl/>
              <w:spacing w:line="560" w:lineRule="exact"/>
              <w:jc w:val="center"/>
              <w:textAlignment w:val="center"/>
              <w:rPr>
                <w:rFonts w:asciiTheme="minorEastAsia" w:hAnsiTheme="minorEastAsia" w:cstheme="minorEastAsia"/>
                <w:sz w:val="32"/>
                <w:szCs w:val="32"/>
                <w:highlight w:val="none"/>
              </w:rPr>
            </w:pPr>
          </w:p>
        </w:tc>
      </w:tr>
      <w:tr w14:paraId="4421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36" w:type="dxa"/>
            <w:vMerge w:val="continue"/>
          </w:tcPr>
          <w:p w14:paraId="4C8C59E8">
            <w:pPr>
              <w:widowControl/>
              <w:spacing w:line="560" w:lineRule="exact"/>
              <w:jc w:val="left"/>
              <w:textAlignment w:val="center"/>
              <w:rPr>
                <w:rFonts w:asciiTheme="minorEastAsia" w:hAnsiTheme="minorEastAsia" w:cstheme="minorEastAsia"/>
                <w:sz w:val="32"/>
                <w:szCs w:val="32"/>
                <w:highlight w:val="none"/>
              </w:rPr>
            </w:pPr>
          </w:p>
        </w:tc>
        <w:tc>
          <w:tcPr>
            <w:tcW w:w="2650" w:type="dxa"/>
            <w:vMerge w:val="restart"/>
          </w:tcPr>
          <w:p w14:paraId="173A0CA4">
            <w:pPr>
              <w:widowControl/>
              <w:spacing w:line="560" w:lineRule="exact"/>
              <w:jc w:val="center"/>
              <w:textAlignment w:val="center"/>
              <w:rPr>
                <w:rFonts w:asciiTheme="minorEastAsia" w:hAnsiTheme="minorEastAsia" w:cstheme="minorEastAsia"/>
                <w:sz w:val="32"/>
                <w:szCs w:val="32"/>
                <w:highlight w:val="none"/>
              </w:rPr>
            </w:pPr>
          </w:p>
          <w:p w14:paraId="1BD92391">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被征地农民社会保障</w:t>
            </w:r>
          </w:p>
        </w:tc>
        <w:tc>
          <w:tcPr>
            <w:tcW w:w="3707" w:type="dxa"/>
            <w:shd w:val="clear" w:color="auto" w:fill="auto"/>
          </w:tcPr>
          <w:p w14:paraId="6A3BAA7D">
            <w:pPr>
              <w:widowControl/>
              <w:spacing w:line="560" w:lineRule="exact"/>
              <w:jc w:val="center"/>
              <w:textAlignment w:val="center"/>
              <w:rPr>
                <w:rFonts w:hint="eastAsia"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被征地农民社会养老资金</w:t>
            </w:r>
          </w:p>
          <w:p w14:paraId="51EDF88F">
            <w:pPr>
              <w:widowControl/>
              <w:spacing w:line="560" w:lineRule="exact"/>
              <w:jc w:val="center"/>
              <w:textAlignment w:val="center"/>
              <w:rPr>
                <w:rFonts w:asciiTheme="minorEastAsia" w:hAnsiTheme="minorEastAsia" w:cstheme="minorEastAsia"/>
                <w:sz w:val="32"/>
                <w:szCs w:val="32"/>
                <w:highlight w:val="none"/>
              </w:rPr>
            </w:pPr>
          </w:p>
        </w:tc>
        <w:tc>
          <w:tcPr>
            <w:tcW w:w="828" w:type="dxa"/>
          </w:tcPr>
          <w:p w14:paraId="55C43DD9">
            <w:pPr>
              <w:widowControl/>
              <w:spacing w:line="560" w:lineRule="exact"/>
              <w:jc w:val="center"/>
              <w:textAlignment w:val="center"/>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rPr>
              <w:t>3</w:t>
            </w:r>
            <w:r>
              <w:rPr>
                <w:rFonts w:hint="default" w:ascii="Times New Roman" w:hAnsi="Times New Roman" w:cs="Times New Roman"/>
                <w:sz w:val="32"/>
                <w:szCs w:val="32"/>
                <w:highlight w:val="none"/>
                <w:lang w:val="en-US" w:eastAsia="zh-CN"/>
              </w:rPr>
              <w:t>5</w:t>
            </w:r>
          </w:p>
          <w:p w14:paraId="08A0B522">
            <w:pPr>
              <w:widowControl/>
              <w:spacing w:line="560" w:lineRule="exact"/>
              <w:jc w:val="center"/>
              <w:textAlignment w:val="center"/>
              <w:rPr>
                <w:rFonts w:hint="default" w:ascii="Times New Roman" w:hAnsi="Times New Roman" w:cs="Times New Roman"/>
                <w:sz w:val="32"/>
                <w:szCs w:val="32"/>
                <w:highlight w:val="none"/>
                <w:lang w:val="en-US" w:eastAsia="zh-CN"/>
              </w:rPr>
            </w:pPr>
          </w:p>
          <w:p w14:paraId="44985DC5">
            <w:pPr>
              <w:widowControl/>
              <w:spacing w:line="560" w:lineRule="exact"/>
              <w:jc w:val="center"/>
              <w:textAlignment w:val="center"/>
              <w:rPr>
                <w:rFonts w:hint="default" w:ascii="Times New Roman" w:hAnsi="Times New Roman" w:cs="Times New Roman"/>
                <w:sz w:val="32"/>
                <w:szCs w:val="32"/>
                <w:highlight w:val="none"/>
              </w:rPr>
            </w:pPr>
          </w:p>
        </w:tc>
        <w:tc>
          <w:tcPr>
            <w:tcW w:w="801" w:type="dxa"/>
          </w:tcPr>
          <w:p w14:paraId="63DA2377">
            <w:pPr>
              <w:widowControl/>
              <w:spacing w:line="560" w:lineRule="exact"/>
              <w:jc w:val="center"/>
              <w:textAlignment w:val="center"/>
              <w:rPr>
                <w:rFonts w:asciiTheme="minorEastAsia" w:hAnsiTheme="minorEastAsia" w:cstheme="minorEastAsia"/>
                <w:sz w:val="32"/>
                <w:szCs w:val="32"/>
                <w:highlight w:val="none"/>
              </w:rPr>
            </w:pPr>
          </w:p>
        </w:tc>
      </w:tr>
      <w:tr w14:paraId="34A7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14:paraId="75F1F2AE">
            <w:pPr>
              <w:widowControl/>
              <w:spacing w:line="560" w:lineRule="exact"/>
              <w:jc w:val="left"/>
              <w:textAlignment w:val="center"/>
              <w:rPr>
                <w:rFonts w:asciiTheme="minorEastAsia" w:hAnsiTheme="minorEastAsia" w:cstheme="minorEastAsia"/>
                <w:sz w:val="32"/>
                <w:szCs w:val="32"/>
                <w:highlight w:val="none"/>
              </w:rPr>
            </w:pPr>
          </w:p>
        </w:tc>
        <w:tc>
          <w:tcPr>
            <w:tcW w:w="2650" w:type="dxa"/>
            <w:vMerge w:val="restart"/>
          </w:tcPr>
          <w:p w14:paraId="5FD5D0AC">
            <w:pPr>
              <w:widowControl/>
              <w:spacing w:line="560" w:lineRule="exact"/>
              <w:textAlignment w:val="center"/>
              <w:rPr>
                <w:rFonts w:asciiTheme="minorEastAsia" w:hAnsiTheme="minorEastAsia" w:cstheme="minorEastAsia"/>
                <w:sz w:val="32"/>
                <w:szCs w:val="32"/>
                <w:highlight w:val="none"/>
              </w:rPr>
            </w:pPr>
          </w:p>
          <w:p w14:paraId="5E6F03D8">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其他</w:t>
            </w:r>
          </w:p>
        </w:tc>
        <w:tc>
          <w:tcPr>
            <w:tcW w:w="3707" w:type="dxa"/>
            <w:shd w:val="clear" w:color="auto" w:fill="auto"/>
          </w:tcPr>
          <w:p w14:paraId="5C20B1EF">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耕地开垦费</w:t>
            </w:r>
          </w:p>
        </w:tc>
        <w:tc>
          <w:tcPr>
            <w:tcW w:w="828" w:type="dxa"/>
          </w:tcPr>
          <w:p w14:paraId="2EAB3BC6">
            <w:pPr>
              <w:widowControl/>
              <w:spacing w:line="560" w:lineRule="exact"/>
              <w:jc w:val="center"/>
              <w:textAlignment w:val="center"/>
              <w:rPr>
                <w:rFonts w:hint="default" w:ascii="Times New Roman" w:hAnsi="Times New Roman" w:cs="Times New Roman" w:eastAsiaTheme="minorEastAsia"/>
                <w:sz w:val="32"/>
                <w:szCs w:val="32"/>
                <w:highlight w:val="none"/>
                <w:lang w:val="en-US" w:eastAsia="zh-CN"/>
              </w:rPr>
            </w:pPr>
            <w:r>
              <w:rPr>
                <w:rFonts w:hint="default" w:ascii="Times New Roman" w:hAnsi="Times New Roman" w:cs="Times New Roman"/>
                <w:sz w:val="32"/>
                <w:szCs w:val="32"/>
                <w:highlight w:val="none"/>
                <w:lang w:val="en-US" w:eastAsia="zh-CN"/>
              </w:rPr>
              <w:t>3.5</w:t>
            </w:r>
          </w:p>
        </w:tc>
        <w:tc>
          <w:tcPr>
            <w:tcW w:w="801" w:type="dxa"/>
          </w:tcPr>
          <w:p w14:paraId="263DB6AD">
            <w:pPr>
              <w:widowControl/>
              <w:spacing w:line="560" w:lineRule="exact"/>
              <w:jc w:val="center"/>
              <w:textAlignment w:val="center"/>
              <w:rPr>
                <w:rFonts w:asciiTheme="minorEastAsia" w:hAnsiTheme="minorEastAsia" w:cstheme="minorEastAsia"/>
                <w:sz w:val="32"/>
                <w:szCs w:val="32"/>
                <w:highlight w:val="none"/>
              </w:rPr>
            </w:pPr>
          </w:p>
        </w:tc>
      </w:tr>
      <w:tr w14:paraId="6753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14:paraId="64761B85">
            <w:pPr>
              <w:widowControl/>
              <w:spacing w:line="560" w:lineRule="exact"/>
              <w:jc w:val="left"/>
              <w:textAlignment w:val="center"/>
              <w:rPr>
                <w:rFonts w:asciiTheme="minorEastAsia" w:hAnsiTheme="minorEastAsia" w:cstheme="minorEastAsia"/>
                <w:sz w:val="32"/>
                <w:szCs w:val="32"/>
                <w:highlight w:val="none"/>
              </w:rPr>
            </w:pPr>
          </w:p>
        </w:tc>
        <w:tc>
          <w:tcPr>
            <w:tcW w:w="2650" w:type="dxa"/>
            <w:vMerge w:val="continue"/>
          </w:tcPr>
          <w:p w14:paraId="030574AB">
            <w:pPr>
              <w:widowControl/>
              <w:spacing w:line="560" w:lineRule="exact"/>
              <w:jc w:val="center"/>
              <w:textAlignment w:val="center"/>
              <w:rPr>
                <w:rFonts w:asciiTheme="minorEastAsia" w:hAnsiTheme="minorEastAsia" w:cstheme="minorEastAsia"/>
                <w:sz w:val="32"/>
                <w:szCs w:val="32"/>
                <w:highlight w:val="none"/>
              </w:rPr>
            </w:pPr>
          </w:p>
        </w:tc>
        <w:tc>
          <w:tcPr>
            <w:tcW w:w="3707" w:type="dxa"/>
            <w:shd w:val="clear" w:color="auto" w:fill="auto"/>
          </w:tcPr>
          <w:p w14:paraId="71A5B1B0">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耕地占用税</w:t>
            </w:r>
          </w:p>
        </w:tc>
        <w:tc>
          <w:tcPr>
            <w:tcW w:w="828" w:type="dxa"/>
          </w:tcPr>
          <w:p w14:paraId="2D1B4EF7">
            <w:pPr>
              <w:widowControl/>
              <w:spacing w:line="560" w:lineRule="exact"/>
              <w:jc w:val="center"/>
              <w:textAlignment w:val="center"/>
              <w:rPr>
                <w:rFonts w:hint="default" w:ascii="Times New Roman" w:hAnsi="Times New Roman" w:cs="Times New Roman" w:eastAsiaTheme="minorEastAsia"/>
                <w:sz w:val="32"/>
                <w:szCs w:val="32"/>
                <w:highlight w:val="none"/>
                <w:lang w:val="en-US" w:eastAsia="zh-CN"/>
              </w:rPr>
            </w:pPr>
            <w:r>
              <w:rPr>
                <w:rFonts w:hint="default" w:ascii="Times New Roman" w:hAnsi="Times New Roman" w:cs="Times New Roman"/>
                <w:sz w:val="32"/>
                <w:szCs w:val="32"/>
                <w:highlight w:val="none"/>
                <w:lang w:val="en-US" w:eastAsia="zh-CN"/>
              </w:rPr>
              <w:t>2.5</w:t>
            </w:r>
          </w:p>
        </w:tc>
        <w:tc>
          <w:tcPr>
            <w:tcW w:w="801" w:type="dxa"/>
          </w:tcPr>
          <w:p w14:paraId="3D4503D8">
            <w:pPr>
              <w:widowControl/>
              <w:spacing w:line="560" w:lineRule="exact"/>
              <w:jc w:val="center"/>
              <w:textAlignment w:val="center"/>
              <w:rPr>
                <w:rFonts w:asciiTheme="minorEastAsia" w:hAnsiTheme="minorEastAsia" w:cstheme="minorEastAsia"/>
                <w:sz w:val="32"/>
                <w:szCs w:val="32"/>
                <w:highlight w:val="none"/>
              </w:rPr>
            </w:pPr>
          </w:p>
        </w:tc>
      </w:tr>
      <w:tr w14:paraId="5096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14:paraId="707C2C1C">
            <w:pPr>
              <w:widowControl/>
              <w:spacing w:line="560" w:lineRule="exact"/>
              <w:jc w:val="left"/>
              <w:textAlignment w:val="center"/>
              <w:rPr>
                <w:rFonts w:asciiTheme="minorEastAsia" w:hAnsiTheme="minorEastAsia" w:cstheme="minorEastAsia"/>
                <w:sz w:val="32"/>
                <w:szCs w:val="32"/>
                <w:highlight w:val="none"/>
              </w:rPr>
            </w:pPr>
          </w:p>
        </w:tc>
        <w:tc>
          <w:tcPr>
            <w:tcW w:w="2650" w:type="dxa"/>
            <w:vMerge w:val="continue"/>
          </w:tcPr>
          <w:p w14:paraId="6F557AB3">
            <w:pPr>
              <w:widowControl/>
              <w:spacing w:line="560" w:lineRule="exact"/>
              <w:jc w:val="center"/>
              <w:textAlignment w:val="center"/>
              <w:rPr>
                <w:rFonts w:asciiTheme="minorEastAsia" w:hAnsiTheme="minorEastAsia" w:cstheme="minorEastAsia"/>
                <w:sz w:val="32"/>
                <w:szCs w:val="32"/>
                <w:highlight w:val="none"/>
              </w:rPr>
            </w:pPr>
          </w:p>
        </w:tc>
        <w:tc>
          <w:tcPr>
            <w:tcW w:w="3707" w:type="dxa"/>
            <w:shd w:val="clear" w:color="auto" w:fill="auto"/>
          </w:tcPr>
          <w:p w14:paraId="7C924C27">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青苗及地上附着物补偿</w:t>
            </w:r>
          </w:p>
        </w:tc>
        <w:tc>
          <w:tcPr>
            <w:tcW w:w="828" w:type="dxa"/>
          </w:tcPr>
          <w:p w14:paraId="6F7945BF">
            <w:pPr>
              <w:widowControl/>
              <w:spacing w:line="560" w:lineRule="exact"/>
              <w:jc w:val="center"/>
              <w:textAlignment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5</w:t>
            </w:r>
          </w:p>
        </w:tc>
        <w:tc>
          <w:tcPr>
            <w:tcW w:w="801" w:type="dxa"/>
          </w:tcPr>
          <w:p w14:paraId="787DA2D4">
            <w:pPr>
              <w:widowControl/>
              <w:spacing w:line="560" w:lineRule="exact"/>
              <w:jc w:val="center"/>
              <w:textAlignment w:val="center"/>
              <w:rPr>
                <w:rFonts w:asciiTheme="minorEastAsia" w:hAnsiTheme="minorEastAsia" w:cstheme="minorEastAsia"/>
                <w:sz w:val="32"/>
                <w:szCs w:val="32"/>
                <w:highlight w:val="none"/>
              </w:rPr>
            </w:pPr>
          </w:p>
        </w:tc>
      </w:tr>
      <w:tr w14:paraId="39D4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14:paraId="791DE6F0">
            <w:pPr>
              <w:widowControl/>
              <w:spacing w:line="560" w:lineRule="exact"/>
              <w:jc w:val="left"/>
              <w:textAlignment w:val="center"/>
              <w:rPr>
                <w:rFonts w:asciiTheme="minorEastAsia" w:hAnsiTheme="minorEastAsia" w:cstheme="minorEastAsia"/>
                <w:sz w:val="32"/>
                <w:szCs w:val="32"/>
                <w:highlight w:val="none"/>
              </w:rPr>
            </w:pPr>
          </w:p>
        </w:tc>
        <w:tc>
          <w:tcPr>
            <w:tcW w:w="2650" w:type="dxa"/>
            <w:vMerge w:val="continue"/>
          </w:tcPr>
          <w:p w14:paraId="2BD23747">
            <w:pPr>
              <w:widowControl/>
              <w:spacing w:line="560" w:lineRule="exact"/>
              <w:jc w:val="center"/>
              <w:textAlignment w:val="center"/>
              <w:rPr>
                <w:rFonts w:asciiTheme="minorEastAsia" w:hAnsiTheme="minorEastAsia" w:cstheme="minorEastAsia"/>
                <w:sz w:val="32"/>
                <w:szCs w:val="32"/>
                <w:highlight w:val="none"/>
              </w:rPr>
            </w:pPr>
          </w:p>
        </w:tc>
        <w:tc>
          <w:tcPr>
            <w:tcW w:w="3707" w:type="dxa"/>
            <w:shd w:val="clear" w:color="auto" w:fill="auto"/>
          </w:tcPr>
          <w:p w14:paraId="492FB95B">
            <w:pPr>
              <w:widowControl/>
              <w:spacing w:line="560" w:lineRule="exact"/>
              <w:jc w:val="center"/>
              <w:textAlignment w:val="cente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cstheme="minorEastAsia"/>
                <w:sz w:val="32"/>
                <w:szCs w:val="32"/>
                <w:highlight w:val="none"/>
                <w:lang w:eastAsia="zh-CN"/>
              </w:rPr>
              <w:t>其他</w:t>
            </w:r>
          </w:p>
        </w:tc>
        <w:tc>
          <w:tcPr>
            <w:tcW w:w="828" w:type="dxa"/>
          </w:tcPr>
          <w:p w14:paraId="21638716">
            <w:pPr>
              <w:widowControl/>
              <w:spacing w:line="560" w:lineRule="exact"/>
              <w:jc w:val="center"/>
              <w:textAlignment w:val="center"/>
              <w:rPr>
                <w:rFonts w:hint="default" w:ascii="Times New Roman" w:hAnsi="Times New Roman" w:cs="Times New Roman" w:eastAsiaTheme="minorEastAsia"/>
                <w:sz w:val="32"/>
                <w:szCs w:val="32"/>
                <w:highlight w:val="none"/>
                <w:lang w:val="en-US" w:eastAsia="zh-CN"/>
              </w:rPr>
            </w:pPr>
            <w:r>
              <w:rPr>
                <w:rFonts w:hint="default" w:ascii="Times New Roman" w:hAnsi="Times New Roman" w:cs="Times New Roman"/>
                <w:sz w:val="32"/>
                <w:szCs w:val="32"/>
                <w:highlight w:val="none"/>
                <w:lang w:val="en-US" w:eastAsia="zh-CN"/>
              </w:rPr>
              <w:t>10</w:t>
            </w:r>
          </w:p>
        </w:tc>
        <w:tc>
          <w:tcPr>
            <w:tcW w:w="801" w:type="dxa"/>
          </w:tcPr>
          <w:p w14:paraId="17DBFE31">
            <w:pPr>
              <w:widowControl/>
              <w:spacing w:line="560" w:lineRule="exact"/>
              <w:jc w:val="center"/>
              <w:textAlignment w:val="center"/>
              <w:rPr>
                <w:rFonts w:asciiTheme="minorEastAsia" w:hAnsiTheme="minorEastAsia" w:cstheme="minorEastAsia"/>
                <w:sz w:val="32"/>
                <w:szCs w:val="32"/>
                <w:highlight w:val="none"/>
              </w:rPr>
            </w:pPr>
          </w:p>
        </w:tc>
      </w:tr>
      <w:tr w14:paraId="4865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Pr>
          <w:p w14:paraId="605BC2B8">
            <w:pPr>
              <w:widowControl/>
              <w:spacing w:line="560" w:lineRule="exact"/>
              <w:jc w:val="left"/>
              <w:textAlignment w:val="center"/>
              <w:rPr>
                <w:rFonts w:asciiTheme="minorEastAsia" w:hAnsiTheme="minorEastAsia" w:cstheme="minorEastAsia"/>
                <w:sz w:val="32"/>
                <w:szCs w:val="32"/>
                <w:highlight w:val="none"/>
              </w:rPr>
            </w:pPr>
          </w:p>
        </w:tc>
        <w:tc>
          <w:tcPr>
            <w:tcW w:w="6357" w:type="dxa"/>
            <w:gridSpan w:val="2"/>
          </w:tcPr>
          <w:p w14:paraId="3254598D">
            <w:pPr>
              <w:widowControl/>
              <w:spacing w:line="560" w:lineRule="exact"/>
              <w:jc w:val="center"/>
              <w:textAlignment w:val="center"/>
              <w:rPr>
                <w:rFonts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汇总</w:t>
            </w:r>
          </w:p>
        </w:tc>
        <w:tc>
          <w:tcPr>
            <w:tcW w:w="828" w:type="dxa"/>
          </w:tcPr>
          <w:p w14:paraId="6C052BBB">
            <w:pPr>
              <w:widowControl/>
              <w:spacing w:line="560" w:lineRule="exact"/>
              <w:jc w:val="center"/>
              <w:textAlignment w:val="center"/>
              <w:rPr>
                <w:rFonts w:hint="default" w:ascii="Times New Roman" w:hAnsi="Times New Roman" w:cs="Times New Roman" w:eastAsiaTheme="minorEastAsia"/>
                <w:sz w:val="32"/>
                <w:szCs w:val="32"/>
                <w:highlight w:val="none"/>
                <w:lang w:val="en-US" w:eastAsia="zh-CN"/>
              </w:rPr>
            </w:pPr>
            <w:r>
              <w:rPr>
                <w:rFonts w:hint="default" w:ascii="Times New Roman" w:hAnsi="Times New Roman" w:cs="Times New Roman"/>
                <w:sz w:val="32"/>
                <w:szCs w:val="32"/>
                <w:highlight w:val="none"/>
              </w:rPr>
              <w:t>9</w:t>
            </w:r>
            <w:r>
              <w:rPr>
                <w:rFonts w:hint="default" w:ascii="Times New Roman" w:hAnsi="Times New Roman" w:cs="Times New Roman"/>
                <w:sz w:val="32"/>
                <w:szCs w:val="32"/>
                <w:highlight w:val="none"/>
                <w:lang w:val="en-US" w:eastAsia="zh-CN"/>
              </w:rPr>
              <w:t>5</w:t>
            </w:r>
          </w:p>
        </w:tc>
        <w:tc>
          <w:tcPr>
            <w:tcW w:w="801" w:type="dxa"/>
          </w:tcPr>
          <w:p w14:paraId="68077B9F">
            <w:pPr>
              <w:widowControl/>
              <w:spacing w:line="560" w:lineRule="exact"/>
              <w:jc w:val="center"/>
              <w:textAlignment w:val="center"/>
              <w:rPr>
                <w:rFonts w:asciiTheme="minorEastAsia" w:hAnsiTheme="minorEastAsia" w:cstheme="minorEastAsia"/>
                <w:sz w:val="32"/>
                <w:szCs w:val="32"/>
                <w:highlight w:val="none"/>
              </w:rPr>
            </w:pPr>
          </w:p>
        </w:tc>
      </w:tr>
    </w:tbl>
    <w:p w14:paraId="72DFE3B4">
      <w:pPr>
        <w:widowControl/>
        <w:spacing w:line="560" w:lineRule="exact"/>
        <w:jc w:val="left"/>
        <w:textAlignment w:val="center"/>
        <w:rPr>
          <w:rFonts w:eastAsia="仿宋_GB2312"/>
          <w:sz w:val="32"/>
          <w:szCs w:val="32"/>
          <w:highlight w:val="none"/>
        </w:rPr>
        <w:sectPr>
          <w:pgSz w:w="11906" w:h="16838"/>
          <w:pgMar w:top="1440" w:right="1800" w:bottom="1440" w:left="1800" w:header="851" w:footer="992" w:gutter="0"/>
          <w:cols w:space="425" w:num="1"/>
          <w:docGrid w:type="lines" w:linePitch="312" w:charSpace="0"/>
        </w:sectPr>
      </w:pPr>
    </w:p>
    <w:p w14:paraId="7D6536BC">
      <w:pPr>
        <w:tabs>
          <w:tab w:val="left" w:pos="4020"/>
          <w:tab w:val="left" w:pos="7380"/>
          <w:tab w:val="left" w:pos="10305"/>
        </w:tabs>
        <w:spacing w:line="560" w:lineRule="exact"/>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附件3</w:t>
      </w:r>
    </w:p>
    <w:p w14:paraId="6BD2AAA6">
      <w:pPr>
        <w:tabs>
          <w:tab w:val="left" w:pos="4020"/>
          <w:tab w:val="left" w:pos="7380"/>
          <w:tab w:val="left" w:pos="10305"/>
        </w:tabs>
        <w:spacing w:line="560" w:lineRule="exact"/>
        <w:rPr>
          <w:rFonts w:ascii="等线" w:hAnsi="等线" w:eastAsia="等线" w:cs="等线"/>
          <w:color w:val="000000"/>
          <w:sz w:val="22"/>
          <w:highlight w:val="none"/>
        </w:rPr>
      </w:pPr>
      <w:r>
        <w:rPr>
          <w:rFonts w:hint="eastAsia" w:ascii="仿宋_GB2312" w:hAnsi="等线" w:eastAsia="仿宋_GB2312" w:cs="仿宋_GB2312"/>
          <w:color w:val="000000"/>
          <w:sz w:val="32"/>
          <w:szCs w:val="32"/>
          <w:highlight w:val="none"/>
        </w:rPr>
        <w:tab/>
      </w:r>
      <w:r>
        <w:rPr>
          <w:rFonts w:ascii="等线" w:hAnsi="等线" w:eastAsia="等线" w:cs="等线"/>
          <w:color w:val="000000"/>
          <w:sz w:val="22"/>
          <w:highlight w:val="none"/>
        </w:rPr>
        <w:tab/>
      </w:r>
      <w:r>
        <w:rPr>
          <w:rFonts w:ascii="等线" w:hAnsi="等线" w:eastAsia="等线" w:cs="等线"/>
          <w:color w:val="000000"/>
          <w:sz w:val="22"/>
          <w:highlight w:val="none"/>
        </w:rPr>
        <w:tab/>
      </w:r>
    </w:p>
    <w:p w14:paraId="28FAE97A">
      <w:pPr>
        <w:widowControl/>
        <w:spacing w:line="560" w:lineRule="exact"/>
        <w:jc w:val="center"/>
        <w:textAlignment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kern w:val="0"/>
          <w:sz w:val="44"/>
          <w:szCs w:val="44"/>
          <w:highlight w:val="none"/>
        </w:rPr>
        <w:t>划拨土地成本抵扣申请表</w:t>
      </w:r>
    </w:p>
    <w:p w14:paraId="2F29996A">
      <w:pPr>
        <w:tabs>
          <w:tab w:val="left" w:pos="4020"/>
          <w:tab w:val="left" w:pos="7380"/>
          <w:tab w:val="left" w:pos="10305"/>
        </w:tabs>
        <w:spacing w:line="560" w:lineRule="exact"/>
        <w:ind w:firstLine="440" w:firstLineChars="200"/>
        <w:rPr>
          <w:rFonts w:ascii="等线" w:hAnsi="等线" w:eastAsia="等线" w:cs="等线"/>
          <w:color w:val="000000"/>
          <w:sz w:val="22"/>
          <w:highlight w:val="none"/>
        </w:rPr>
      </w:pPr>
      <w:r>
        <w:rPr>
          <w:rFonts w:ascii="等线" w:hAnsi="等线" w:eastAsia="等线" w:cs="等线"/>
          <w:color w:val="000000"/>
          <w:sz w:val="22"/>
          <w:highlight w:val="none"/>
        </w:rPr>
        <w:tab/>
      </w:r>
      <w:r>
        <w:rPr>
          <w:rFonts w:ascii="等线" w:hAnsi="等线" w:eastAsia="等线" w:cs="等线"/>
          <w:color w:val="000000"/>
          <w:sz w:val="22"/>
          <w:highlight w:val="none"/>
        </w:rPr>
        <w:tab/>
      </w:r>
      <w:r>
        <w:rPr>
          <w:rFonts w:ascii="等线" w:hAnsi="等线" w:eastAsia="等线" w:cs="等线"/>
          <w:color w:val="000000"/>
          <w:sz w:val="22"/>
          <w:highlight w:val="none"/>
        </w:rPr>
        <w:tab/>
      </w:r>
    </w:p>
    <w:tbl>
      <w:tblPr>
        <w:tblStyle w:val="6"/>
        <w:tblW w:w="14340" w:type="dxa"/>
        <w:tblInd w:w="93" w:type="dxa"/>
        <w:tblLayout w:type="fixed"/>
        <w:tblCellMar>
          <w:top w:w="0" w:type="dxa"/>
          <w:left w:w="108" w:type="dxa"/>
          <w:bottom w:w="0" w:type="dxa"/>
          <w:right w:w="108" w:type="dxa"/>
        </w:tblCellMar>
      </w:tblPr>
      <w:tblGrid>
        <w:gridCol w:w="4020"/>
        <w:gridCol w:w="3360"/>
        <w:gridCol w:w="2925"/>
        <w:gridCol w:w="2835"/>
      </w:tblGrid>
      <w:tr w14:paraId="59828EDF">
        <w:tblPrEx>
          <w:tblCellMar>
            <w:top w:w="0" w:type="dxa"/>
            <w:left w:w="108" w:type="dxa"/>
            <w:bottom w:w="0" w:type="dxa"/>
            <w:right w:w="108" w:type="dxa"/>
          </w:tblCellMar>
        </w:tblPrEx>
        <w:trPr>
          <w:wAfter w:w="1200" w:type="dxa"/>
          <w:trHeight w:val="735"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AB4">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项目名称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2922">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C06A">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项目单位</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F2C3">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3B32529D">
        <w:tblPrEx>
          <w:tblCellMar>
            <w:top w:w="0" w:type="dxa"/>
            <w:left w:w="108" w:type="dxa"/>
            <w:bottom w:w="0" w:type="dxa"/>
            <w:right w:w="108" w:type="dxa"/>
          </w:tblCellMar>
        </w:tblPrEx>
        <w:trPr>
          <w:wAfter w:w="1200" w:type="dxa"/>
          <w:trHeight w:val="735"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4FC1">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划拨面积（亩） </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D4C5">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8529">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应缴划拨地价款</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636">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4AAE1C66">
        <w:tblPrEx>
          <w:tblCellMar>
            <w:top w:w="0" w:type="dxa"/>
            <w:left w:w="108" w:type="dxa"/>
            <w:bottom w:w="0" w:type="dxa"/>
            <w:right w:w="108" w:type="dxa"/>
          </w:tblCellMar>
        </w:tblPrEx>
        <w:trPr>
          <w:wAfter w:w="1200" w:type="dxa"/>
          <w:trHeight w:val="735"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4730">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抵扣款项</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7581">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抵扣金额</w:t>
            </w:r>
          </w:p>
        </w:tc>
        <w:tc>
          <w:tcPr>
            <w:tcW w:w="5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EDBF">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说明</w:t>
            </w:r>
          </w:p>
        </w:tc>
      </w:tr>
      <w:tr w14:paraId="639AEA1D">
        <w:tblPrEx>
          <w:tblCellMar>
            <w:top w:w="0" w:type="dxa"/>
            <w:left w:w="108" w:type="dxa"/>
            <w:bottom w:w="0" w:type="dxa"/>
            <w:right w:w="108" w:type="dxa"/>
          </w:tblCellMar>
        </w:tblPrEx>
        <w:trPr>
          <w:wAfter w:w="1200" w:type="dxa"/>
          <w:trHeight w:val="735"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102B">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AA99">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5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9765">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2C7AB015">
        <w:tblPrEx>
          <w:tblCellMar>
            <w:top w:w="0" w:type="dxa"/>
            <w:left w:w="108" w:type="dxa"/>
            <w:bottom w:w="0" w:type="dxa"/>
            <w:right w:w="108" w:type="dxa"/>
          </w:tblCellMar>
        </w:tblPrEx>
        <w:trPr>
          <w:wAfter w:w="1200" w:type="dxa"/>
          <w:trHeight w:val="735"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C115">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F9DE">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5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76D1">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62D67ED0">
        <w:tblPrEx>
          <w:tblCellMar>
            <w:top w:w="0" w:type="dxa"/>
            <w:left w:w="108" w:type="dxa"/>
            <w:bottom w:w="0" w:type="dxa"/>
            <w:right w:w="108" w:type="dxa"/>
          </w:tblCellMar>
        </w:tblPrEx>
        <w:trPr>
          <w:wAfter w:w="1200" w:type="dxa"/>
          <w:trHeight w:val="735"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E699">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A1AD">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5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7FBE">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536542FA">
        <w:tblPrEx>
          <w:tblCellMar>
            <w:top w:w="0" w:type="dxa"/>
            <w:left w:w="108" w:type="dxa"/>
            <w:bottom w:w="0" w:type="dxa"/>
            <w:right w:w="108" w:type="dxa"/>
          </w:tblCellMar>
        </w:tblPrEx>
        <w:trPr>
          <w:wAfter w:w="1200" w:type="dxa"/>
          <w:trHeight w:val="735" w:hRule="atLeast"/>
        </w:trPr>
        <w:tc>
          <w:tcPr>
            <w:tcW w:w="7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C653">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抵扣金额合计</w:t>
            </w:r>
          </w:p>
        </w:tc>
        <w:tc>
          <w:tcPr>
            <w:tcW w:w="5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43E5">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5AD594B3">
        <w:tblPrEx>
          <w:tblCellMar>
            <w:top w:w="0" w:type="dxa"/>
            <w:left w:w="108" w:type="dxa"/>
            <w:bottom w:w="0" w:type="dxa"/>
            <w:right w:w="108" w:type="dxa"/>
          </w:tblCellMar>
        </w:tblPrEx>
        <w:trPr>
          <w:wAfter w:w="1200" w:type="dxa"/>
          <w:trHeight w:val="735" w:hRule="atLeast"/>
        </w:trPr>
        <w:tc>
          <w:tcPr>
            <w:tcW w:w="7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2F23">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抵扣后实际缴纳金额</w:t>
            </w:r>
          </w:p>
        </w:tc>
        <w:tc>
          <w:tcPr>
            <w:tcW w:w="5760" w:type="dxa"/>
            <w:gridSpan w:val="2"/>
            <w:tcBorders>
              <w:top w:val="single" w:color="000000" w:sz="4" w:space="0"/>
              <w:left w:val="nil"/>
              <w:bottom w:val="single" w:color="000000" w:sz="4" w:space="0"/>
              <w:right w:val="single" w:color="000000" w:sz="4" w:space="0"/>
            </w:tcBorders>
            <w:shd w:val="clear" w:color="auto" w:fill="auto"/>
            <w:noWrap/>
            <w:vAlign w:val="center"/>
          </w:tcPr>
          <w:p w14:paraId="38A31680">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3714F134">
        <w:tblPrEx>
          <w:tblCellMar>
            <w:top w:w="0" w:type="dxa"/>
            <w:left w:w="108" w:type="dxa"/>
            <w:bottom w:w="0" w:type="dxa"/>
            <w:right w:w="108" w:type="dxa"/>
          </w:tblCellMar>
        </w:tblPrEx>
        <w:trPr>
          <w:wAfter w:w="1200" w:type="dxa"/>
          <w:trHeight w:val="570" w:hRule="atLeast"/>
        </w:trPr>
        <w:tc>
          <w:tcPr>
            <w:tcW w:w="4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6610">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自然资源规划部门意见</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BC62">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科室意见</w:t>
            </w:r>
          </w:p>
        </w:tc>
        <w:tc>
          <w:tcPr>
            <w:tcW w:w="5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EA0D">
            <w:pPr>
              <w:widowControl/>
              <w:spacing w:line="560" w:lineRule="exact"/>
              <w:ind w:firstLine="480" w:firstLineChars="200"/>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局领导意见</w:t>
            </w:r>
          </w:p>
        </w:tc>
      </w:tr>
      <w:tr w14:paraId="239736D1">
        <w:tblPrEx>
          <w:tblCellMar>
            <w:top w:w="0" w:type="dxa"/>
            <w:left w:w="108" w:type="dxa"/>
            <w:bottom w:w="0" w:type="dxa"/>
            <w:right w:w="108" w:type="dxa"/>
          </w:tblCellMar>
        </w:tblPrEx>
        <w:trPr>
          <w:wAfter w:w="1200" w:type="dxa"/>
          <w:trHeight w:val="560" w:hRule="atLeast"/>
        </w:trPr>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FC10">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E7B3">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c>
          <w:tcPr>
            <w:tcW w:w="5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E692">
            <w:pPr>
              <w:spacing w:line="560" w:lineRule="exact"/>
              <w:ind w:firstLine="480" w:firstLineChars="200"/>
              <w:jc w:val="center"/>
              <w:rPr>
                <w:rFonts w:hint="eastAsia" w:asciiTheme="minorEastAsia" w:hAnsiTheme="minorEastAsia" w:eastAsiaTheme="minorEastAsia" w:cstheme="minorEastAsia"/>
                <w:color w:val="000000"/>
                <w:sz w:val="24"/>
                <w:szCs w:val="24"/>
                <w:highlight w:val="none"/>
              </w:rPr>
            </w:pPr>
          </w:p>
        </w:tc>
      </w:tr>
      <w:tr w14:paraId="11198150">
        <w:tblPrEx>
          <w:tblCellMar>
            <w:top w:w="0" w:type="dxa"/>
            <w:left w:w="108" w:type="dxa"/>
            <w:bottom w:w="0" w:type="dxa"/>
            <w:right w:w="108" w:type="dxa"/>
          </w:tblCellMar>
        </w:tblPrEx>
        <w:trPr>
          <w:wAfter w:w="1200" w:type="dxa"/>
          <w:trHeight w:val="660" w:hRule="atLeast"/>
        </w:trPr>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08C7">
            <w:pPr>
              <w:spacing w:line="560" w:lineRule="exact"/>
              <w:ind w:firstLine="480" w:firstLineChars="200"/>
              <w:jc w:val="center"/>
              <w:rPr>
                <w:rFonts w:ascii="等线" w:hAnsi="等线" w:eastAsia="等线" w:cs="等线"/>
                <w:color w:val="000000"/>
                <w:sz w:val="24"/>
                <w:szCs w:val="24"/>
                <w:highlight w:val="none"/>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5074">
            <w:pPr>
              <w:spacing w:line="560" w:lineRule="exact"/>
              <w:ind w:firstLine="480" w:firstLineChars="200"/>
              <w:jc w:val="center"/>
              <w:rPr>
                <w:rFonts w:ascii="等线" w:hAnsi="等线" w:eastAsia="等线" w:cs="等线"/>
                <w:color w:val="000000"/>
                <w:sz w:val="24"/>
                <w:szCs w:val="24"/>
                <w:highlight w:val="none"/>
              </w:rPr>
            </w:pPr>
          </w:p>
        </w:tc>
        <w:tc>
          <w:tcPr>
            <w:tcW w:w="5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707C">
            <w:pPr>
              <w:spacing w:line="560" w:lineRule="exact"/>
              <w:ind w:firstLine="480" w:firstLineChars="200"/>
              <w:jc w:val="center"/>
              <w:rPr>
                <w:rFonts w:ascii="等线" w:hAnsi="等线" w:eastAsia="等线" w:cs="等线"/>
                <w:color w:val="000000"/>
                <w:sz w:val="24"/>
                <w:szCs w:val="24"/>
                <w:highlight w:val="none"/>
              </w:rPr>
            </w:pPr>
          </w:p>
        </w:tc>
      </w:tr>
    </w:tbl>
    <w:p w14:paraId="2295FF6C">
      <w:pPr>
        <w:tabs>
          <w:tab w:val="left" w:pos="2775"/>
          <w:tab w:val="left" w:pos="7215"/>
          <w:tab w:val="left" w:pos="10605"/>
        </w:tabs>
        <w:spacing w:line="560" w:lineRule="exact"/>
        <w:rPr>
          <w:rFonts w:ascii="仿宋_GB2312" w:hAnsi="宋体" w:eastAsia="仿宋_GB2312" w:cs="仿宋_GB2312"/>
          <w:color w:val="000000"/>
          <w:sz w:val="32"/>
          <w:szCs w:val="32"/>
          <w:highlight w:val="none"/>
        </w:rPr>
      </w:pPr>
      <w:r>
        <w:rPr>
          <w:rFonts w:hint="eastAsia" w:ascii="黑体" w:hAnsi="黑体" w:eastAsia="黑体" w:cs="黑体"/>
          <w:color w:val="000000"/>
          <w:kern w:val="0"/>
          <w:sz w:val="32"/>
          <w:szCs w:val="32"/>
          <w:highlight w:val="none"/>
        </w:rPr>
        <w:t>附件4</w:t>
      </w:r>
      <w:r>
        <w:rPr>
          <w:rFonts w:ascii="仿宋_GB2312" w:hAnsi="宋体" w:eastAsia="仿宋_GB2312" w:cs="仿宋_GB2312"/>
          <w:color w:val="000000"/>
          <w:sz w:val="32"/>
          <w:szCs w:val="32"/>
          <w:highlight w:val="none"/>
        </w:rPr>
        <w:tab/>
      </w:r>
    </w:p>
    <w:p w14:paraId="157930DC">
      <w:pPr>
        <w:tabs>
          <w:tab w:val="left" w:pos="2775"/>
          <w:tab w:val="left" w:pos="7215"/>
          <w:tab w:val="left" w:pos="10605"/>
        </w:tabs>
        <w:spacing w:line="560" w:lineRule="exact"/>
        <w:rPr>
          <w:rFonts w:ascii="宋体" w:hAnsi="宋体" w:eastAsia="宋体" w:cs="宋体"/>
          <w:color w:val="000000"/>
          <w:sz w:val="22"/>
          <w:highlight w:val="none"/>
        </w:rPr>
      </w:pPr>
      <w:r>
        <w:rPr>
          <w:rFonts w:ascii="宋体" w:hAnsi="宋体" w:eastAsia="宋体" w:cs="宋体"/>
          <w:color w:val="000000"/>
          <w:sz w:val="22"/>
          <w:highlight w:val="none"/>
        </w:rPr>
        <w:tab/>
      </w:r>
      <w:r>
        <w:rPr>
          <w:rFonts w:ascii="宋体" w:hAnsi="宋体" w:eastAsia="宋体" w:cs="宋体"/>
          <w:color w:val="000000"/>
          <w:sz w:val="22"/>
          <w:highlight w:val="none"/>
        </w:rPr>
        <w:tab/>
      </w:r>
    </w:p>
    <w:p w14:paraId="777BDDDB">
      <w:pPr>
        <w:widowControl/>
        <w:spacing w:line="560" w:lineRule="exact"/>
        <w:jc w:val="center"/>
        <w:textAlignment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土地划拨成本财力转移申请表</w:t>
      </w:r>
    </w:p>
    <w:p w14:paraId="6C64D4C3">
      <w:pPr>
        <w:widowControl/>
        <w:spacing w:line="560" w:lineRule="exact"/>
        <w:ind w:firstLine="880" w:firstLineChars="200"/>
        <w:jc w:val="both"/>
        <w:textAlignment w:val="center"/>
        <w:rPr>
          <w:rFonts w:hint="eastAsia" w:ascii="方正小标宋简体" w:hAnsi="方正小标宋简体" w:eastAsia="方正小标宋简体" w:cs="方正小标宋简体"/>
          <w:color w:val="000000"/>
          <w:kern w:val="0"/>
          <w:sz w:val="44"/>
          <w:szCs w:val="44"/>
          <w:highlight w:val="none"/>
        </w:rPr>
      </w:pPr>
    </w:p>
    <w:tbl>
      <w:tblPr>
        <w:tblStyle w:val="6"/>
        <w:tblW w:w="14340" w:type="dxa"/>
        <w:tblInd w:w="93" w:type="dxa"/>
        <w:tblLayout w:type="fixed"/>
        <w:tblCellMar>
          <w:top w:w="0" w:type="dxa"/>
          <w:left w:w="108" w:type="dxa"/>
          <w:bottom w:w="0" w:type="dxa"/>
          <w:right w:w="108" w:type="dxa"/>
        </w:tblCellMar>
      </w:tblPr>
      <w:tblGrid>
        <w:gridCol w:w="2775"/>
        <w:gridCol w:w="4440"/>
        <w:gridCol w:w="3390"/>
        <w:gridCol w:w="3735"/>
      </w:tblGrid>
      <w:tr w14:paraId="73AA908D">
        <w:tblPrEx>
          <w:tblCellMar>
            <w:top w:w="0" w:type="dxa"/>
            <w:left w:w="108" w:type="dxa"/>
            <w:bottom w:w="0" w:type="dxa"/>
            <w:right w:w="108" w:type="dxa"/>
          </w:tblCellMar>
        </w:tblPrEx>
        <w:trPr>
          <w:trHeight w:val="79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7236">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项目名称</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F6F6">
            <w:pPr>
              <w:spacing w:line="560" w:lineRule="exact"/>
              <w:ind w:firstLine="440" w:firstLineChars="200"/>
              <w:rPr>
                <w:rFonts w:hint="eastAsia" w:asciiTheme="minorEastAsia" w:hAnsiTheme="minorEastAsia" w:eastAsiaTheme="minorEastAsia" w:cstheme="minorEastAsia"/>
                <w:color w:val="000000"/>
                <w:sz w:val="22"/>
                <w:highlight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0A0D">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所属乡镇、街道、</w:t>
            </w:r>
            <w:bookmarkStart w:id="13" w:name="_GoBack"/>
            <w:bookmarkEnd w:id="13"/>
            <w:r>
              <w:rPr>
                <w:rFonts w:hint="eastAsia" w:asciiTheme="minorEastAsia" w:hAnsiTheme="minorEastAsia" w:eastAsiaTheme="minorEastAsia" w:cstheme="minorEastAsia"/>
                <w:color w:val="000000"/>
                <w:kern w:val="0"/>
                <w:sz w:val="22"/>
                <w:highlight w:val="none"/>
              </w:rPr>
              <w:t>功能区（盖章）</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272E">
            <w:pPr>
              <w:spacing w:line="560" w:lineRule="exact"/>
              <w:ind w:firstLine="440" w:firstLineChars="200"/>
              <w:rPr>
                <w:rFonts w:hint="eastAsia" w:asciiTheme="minorEastAsia" w:hAnsiTheme="minorEastAsia" w:eastAsiaTheme="minorEastAsia" w:cstheme="minorEastAsia"/>
                <w:color w:val="000000"/>
                <w:sz w:val="22"/>
                <w:highlight w:val="none"/>
              </w:rPr>
            </w:pPr>
          </w:p>
        </w:tc>
      </w:tr>
      <w:tr w14:paraId="471E71AB">
        <w:tblPrEx>
          <w:tblCellMar>
            <w:top w:w="0" w:type="dxa"/>
            <w:left w:w="108" w:type="dxa"/>
            <w:bottom w:w="0" w:type="dxa"/>
            <w:right w:w="108" w:type="dxa"/>
          </w:tblCellMar>
        </w:tblPrEx>
        <w:trPr>
          <w:trHeight w:val="79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E284">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划拨面积</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EAC4">
            <w:pPr>
              <w:spacing w:line="560" w:lineRule="exact"/>
              <w:ind w:firstLine="440" w:firstLineChars="200"/>
              <w:rPr>
                <w:rFonts w:hint="eastAsia" w:asciiTheme="minorEastAsia" w:hAnsiTheme="minorEastAsia" w:eastAsiaTheme="minorEastAsia" w:cstheme="minorEastAsia"/>
                <w:color w:val="000000"/>
                <w:sz w:val="22"/>
                <w:highlight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C723">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土地划拨成本</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7AF3">
            <w:pPr>
              <w:spacing w:line="560" w:lineRule="exact"/>
              <w:ind w:firstLine="440" w:firstLineChars="200"/>
              <w:rPr>
                <w:rFonts w:hint="eastAsia" w:asciiTheme="minorEastAsia" w:hAnsiTheme="minorEastAsia" w:eastAsiaTheme="minorEastAsia" w:cstheme="minorEastAsia"/>
                <w:color w:val="000000"/>
                <w:sz w:val="22"/>
                <w:highlight w:val="none"/>
              </w:rPr>
            </w:pPr>
          </w:p>
        </w:tc>
      </w:tr>
      <w:tr w14:paraId="1207947D">
        <w:tblPrEx>
          <w:tblCellMar>
            <w:top w:w="0" w:type="dxa"/>
            <w:left w:w="108" w:type="dxa"/>
            <w:bottom w:w="0" w:type="dxa"/>
            <w:right w:w="108" w:type="dxa"/>
          </w:tblCellMar>
        </w:tblPrEx>
        <w:trPr>
          <w:trHeight w:val="79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AD9E">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抵扣金额</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25B6">
            <w:pPr>
              <w:spacing w:line="560" w:lineRule="exact"/>
              <w:ind w:firstLine="440" w:firstLineChars="200"/>
              <w:rPr>
                <w:rFonts w:hint="eastAsia" w:asciiTheme="minorEastAsia" w:hAnsiTheme="minorEastAsia" w:eastAsiaTheme="minorEastAsia" w:cstheme="minorEastAsia"/>
                <w:color w:val="000000"/>
                <w:sz w:val="22"/>
                <w:highlight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475B">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实际缴纳金额</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7085">
            <w:pPr>
              <w:spacing w:line="560" w:lineRule="exact"/>
              <w:ind w:firstLine="440" w:firstLineChars="200"/>
              <w:rPr>
                <w:rFonts w:hint="eastAsia" w:asciiTheme="minorEastAsia" w:hAnsiTheme="minorEastAsia" w:eastAsiaTheme="minorEastAsia" w:cstheme="minorEastAsia"/>
                <w:color w:val="000000"/>
                <w:sz w:val="22"/>
                <w:highlight w:val="none"/>
              </w:rPr>
            </w:pPr>
          </w:p>
        </w:tc>
      </w:tr>
      <w:tr w14:paraId="653CD77C">
        <w:tblPrEx>
          <w:tblCellMar>
            <w:top w:w="0" w:type="dxa"/>
            <w:left w:w="108" w:type="dxa"/>
            <w:bottom w:w="0" w:type="dxa"/>
            <w:right w:w="108" w:type="dxa"/>
          </w:tblCellMar>
        </w:tblPrEx>
        <w:trPr>
          <w:trHeight w:val="795" w:hRule="atLeast"/>
        </w:trPr>
        <w:tc>
          <w:tcPr>
            <w:tcW w:w="143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D996">
            <w:pPr>
              <w:widowControl/>
              <w:spacing w:line="560" w:lineRule="exact"/>
              <w:ind w:firstLine="440" w:firstLineChars="200"/>
              <w:jc w:val="center"/>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以下内容由财政部门填写</w:t>
            </w:r>
          </w:p>
        </w:tc>
      </w:tr>
      <w:tr w14:paraId="319419B3">
        <w:tblPrEx>
          <w:tblCellMar>
            <w:top w:w="0" w:type="dxa"/>
            <w:left w:w="108" w:type="dxa"/>
            <w:bottom w:w="0" w:type="dxa"/>
            <w:right w:w="108" w:type="dxa"/>
          </w:tblCellMar>
        </w:tblPrEx>
        <w:trPr>
          <w:trHeight w:val="29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3320">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科室意见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D118">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Style w:val="10"/>
                <w:rFonts w:hint="eastAsia" w:asciiTheme="minorEastAsia" w:hAnsiTheme="minorEastAsia" w:eastAsiaTheme="minorEastAsia" w:cstheme="minorEastAsia"/>
                <w:highlight w:val="none"/>
              </w:rPr>
              <w:t>　　经审核，该项目为由乡镇、街道、功能区负责投资实施的政府投资项目，本项目建议财力转移金额为万元，请领导批示。        　　　　　　　　　　　　　　　　　　　审核人：</w:t>
            </w:r>
            <w:r>
              <w:rPr>
                <w:rStyle w:val="11"/>
                <w:rFonts w:hint="eastAsia" w:asciiTheme="minorEastAsia" w:hAnsiTheme="minorEastAsia" w:eastAsiaTheme="minorEastAsia" w:cstheme="minorEastAsia"/>
                <w:highlight w:val="none"/>
              </w:rPr>
              <w:t>　　　　</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71D5">
            <w:pPr>
              <w:widowControl/>
              <w:spacing w:line="560" w:lineRule="exact"/>
              <w:ind w:firstLine="440" w:firstLineChars="200"/>
              <w:jc w:val="left"/>
              <w:textAlignment w:val="center"/>
              <w:rPr>
                <w:rFonts w:hint="eastAsia" w:asciiTheme="minorEastAsia" w:hAnsiTheme="minorEastAsia" w:eastAsiaTheme="minorEastAsia" w:cstheme="minorEastAsia"/>
                <w:color w:val="000000"/>
                <w:sz w:val="22"/>
                <w:highlight w:val="none"/>
              </w:rPr>
            </w:pPr>
            <w:r>
              <w:rPr>
                <w:rFonts w:hint="eastAsia" w:asciiTheme="minorEastAsia" w:hAnsiTheme="minorEastAsia" w:eastAsiaTheme="minorEastAsia" w:cstheme="minorEastAsia"/>
                <w:color w:val="000000"/>
                <w:kern w:val="0"/>
                <w:sz w:val="22"/>
                <w:highlight w:val="none"/>
              </w:rPr>
              <w:t>局领导意见</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11A5">
            <w:pPr>
              <w:spacing w:line="560" w:lineRule="exact"/>
              <w:ind w:firstLine="440" w:firstLineChars="200"/>
              <w:rPr>
                <w:rFonts w:hint="eastAsia" w:asciiTheme="minorEastAsia" w:hAnsiTheme="minorEastAsia" w:eastAsiaTheme="minorEastAsia" w:cstheme="minorEastAsia"/>
                <w:color w:val="000000"/>
                <w:sz w:val="22"/>
                <w:highlight w:val="none"/>
              </w:rPr>
            </w:pPr>
          </w:p>
        </w:tc>
      </w:tr>
    </w:tbl>
    <w:p w14:paraId="4CE1257B">
      <w:pPr>
        <w:spacing w:line="560" w:lineRule="exact"/>
        <w:ind w:firstLine="640" w:firstLineChars="200"/>
        <w:rPr>
          <w:sz w:val="32"/>
          <w:szCs w:val="32"/>
          <w:highlight w:val="none"/>
        </w:rPr>
      </w:pPr>
    </w:p>
    <w:sectPr>
      <w:pgSz w:w="16838" w:h="11906" w:orient="landscape"/>
      <w:pgMar w:top="896" w:right="1440" w:bottom="89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092B5"/>
    <w:multiLevelType w:val="singleLevel"/>
    <w:tmpl w:val="498092B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176CF"/>
    <w:rsid w:val="00026B93"/>
    <w:rsid w:val="00054C0D"/>
    <w:rsid w:val="000757B5"/>
    <w:rsid w:val="00082EF0"/>
    <w:rsid w:val="000B35D4"/>
    <w:rsid w:val="000B63C2"/>
    <w:rsid w:val="000D0EC9"/>
    <w:rsid w:val="00114A6A"/>
    <w:rsid w:val="00144B06"/>
    <w:rsid w:val="001510FD"/>
    <w:rsid w:val="00173DDC"/>
    <w:rsid w:val="001743C6"/>
    <w:rsid w:val="0020584D"/>
    <w:rsid w:val="002E5DFE"/>
    <w:rsid w:val="002F0023"/>
    <w:rsid w:val="002F75C2"/>
    <w:rsid w:val="00397A63"/>
    <w:rsid w:val="003E1537"/>
    <w:rsid w:val="00406780"/>
    <w:rsid w:val="00424002"/>
    <w:rsid w:val="004525A3"/>
    <w:rsid w:val="00464427"/>
    <w:rsid w:val="004972E7"/>
    <w:rsid w:val="004C0F69"/>
    <w:rsid w:val="00532FEB"/>
    <w:rsid w:val="005C6E89"/>
    <w:rsid w:val="005F693B"/>
    <w:rsid w:val="00605435"/>
    <w:rsid w:val="00643A63"/>
    <w:rsid w:val="00643B0E"/>
    <w:rsid w:val="00644A85"/>
    <w:rsid w:val="0066526A"/>
    <w:rsid w:val="00676DF4"/>
    <w:rsid w:val="00697DC2"/>
    <w:rsid w:val="006B2BD5"/>
    <w:rsid w:val="006C657D"/>
    <w:rsid w:val="006D2E52"/>
    <w:rsid w:val="00713757"/>
    <w:rsid w:val="00724A04"/>
    <w:rsid w:val="007A7584"/>
    <w:rsid w:val="007B0E37"/>
    <w:rsid w:val="007B244E"/>
    <w:rsid w:val="007E4EE4"/>
    <w:rsid w:val="007E6BF1"/>
    <w:rsid w:val="007F27D1"/>
    <w:rsid w:val="008145D1"/>
    <w:rsid w:val="008176CF"/>
    <w:rsid w:val="00823863"/>
    <w:rsid w:val="008513DF"/>
    <w:rsid w:val="00854AD8"/>
    <w:rsid w:val="00856096"/>
    <w:rsid w:val="008819DD"/>
    <w:rsid w:val="008823FA"/>
    <w:rsid w:val="009D09F4"/>
    <w:rsid w:val="009E5D02"/>
    <w:rsid w:val="00A10F70"/>
    <w:rsid w:val="00A138B8"/>
    <w:rsid w:val="00A46629"/>
    <w:rsid w:val="00A51231"/>
    <w:rsid w:val="00A71043"/>
    <w:rsid w:val="00A84AE7"/>
    <w:rsid w:val="00AF490E"/>
    <w:rsid w:val="00B3763A"/>
    <w:rsid w:val="00B52333"/>
    <w:rsid w:val="00B72C8E"/>
    <w:rsid w:val="00BB41C7"/>
    <w:rsid w:val="00BC412E"/>
    <w:rsid w:val="00BF6C6E"/>
    <w:rsid w:val="00BF73E6"/>
    <w:rsid w:val="00C33014"/>
    <w:rsid w:val="00CE7921"/>
    <w:rsid w:val="00DB2D09"/>
    <w:rsid w:val="00DB7674"/>
    <w:rsid w:val="00E30B39"/>
    <w:rsid w:val="00E330C3"/>
    <w:rsid w:val="00E35E92"/>
    <w:rsid w:val="00E36519"/>
    <w:rsid w:val="00E40633"/>
    <w:rsid w:val="00E45392"/>
    <w:rsid w:val="00E7086D"/>
    <w:rsid w:val="00EF7E93"/>
    <w:rsid w:val="00F36B48"/>
    <w:rsid w:val="00F924E8"/>
    <w:rsid w:val="00F93521"/>
    <w:rsid w:val="00FA6CA6"/>
    <w:rsid w:val="00FD5F94"/>
    <w:rsid w:val="00FD739E"/>
    <w:rsid w:val="01907ECA"/>
    <w:rsid w:val="03F1103B"/>
    <w:rsid w:val="09D122E9"/>
    <w:rsid w:val="0E9061BF"/>
    <w:rsid w:val="10E45DA1"/>
    <w:rsid w:val="113A2539"/>
    <w:rsid w:val="232B43CC"/>
    <w:rsid w:val="28BE0D0C"/>
    <w:rsid w:val="3BA38F20"/>
    <w:rsid w:val="3BFFCE86"/>
    <w:rsid w:val="3D9741F7"/>
    <w:rsid w:val="3F4D2480"/>
    <w:rsid w:val="4B8E35CF"/>
    <w:rsid w:val="4F3D11C6"/>
    <w:rsid w:val="4FE6B2F7"/>
    <w:rsid w:val="5334EC97"/>
    <w:rsid w:val="545079DE"/>
    <w:rsid w:val="546F6672"/>
    <w:rsid w:val="54B94314"/>
    <w:rsid w:val="557679E7"/>
    <w:rsid w:val="57B73B99"/>
    <w:rsid w:val="58B66ECB"/>
    <w:rsid w:val="5BD7F49C"/>
    <w:rsid w:val="5CEFEE68"/>
    <w:rsid w:val="5DBFA400"/>
    <w:rsid w:val="5F6F3C7D"/>
    <w:rsid w:val="5F9F4389"/>
    <w:rsid w:val="5FB64A39"/>
    <w:rsid w:val="5FBFC37C"/>
    <w:rsid w:val="5FF3690E"/>
    <w:rsid w:val="6AF758B9"/>
    <w:rsid w:val="6B0E58F8"/>
    <w:rsid w:val="6B6D4F7D"/>
    <w:rsid w:val="6FBF6F2D"/>
    <w:rsid w:val="76655C55"/>
    <w:rsid w:val="768E2B41"/>
    <w:rsid w:val="7793A350"/>
    <w:rsid w:val="77DF7EA9"/>
    <w:rsid w:val="77ED36B6"/>
    <w:rsid w:val="785E35C7"/>
    <w:rsid w:val="79FFAF97"/>
    <w:rsid w:val="7B7E2358"/>
    <w:rsid w:val="7E2C6A82"/>
    <w:rsid w:val="7E5B3FF0"/>
    <w:rsid w:val="7F4BDD2B"/>
    <w:rsid w:val="7F9A116D"/>
    <w:rsid w:val="7FBE9038"/>
    <w:rsid w:val="7FBFF6E2"/>
    <w:rsid w:val="7FDAC1F2"/>
    <w:rsid w:val="7FDBD817"/>
    <w:rsid w:val="7FEF7776"/>
    <w:rsid w:val="7FFDAB75"/>
    <w:rsid w:val="8B7F7079"/>
    <w:rsid w:val="9CFA753C"/>
    <w:rsid w:val="A1EB5401"/>
    <w:rsid w:val="A8AFB683"/>
    <w:rsid w:val="BBDD3073"/>
    <w:rsid w:val="BEEDC040"/>
    <w:rsid w:val="BEFF0793"/>
    <w:rsid w:val="CA3EC179"/>
    <w:rsid w:val="D7CAB86A"/>
    <w:rsid w:val="DCF2F9E9"/>
    <w:rsid w:val="DEBBD1B9"/>
    <w:rsid w:val="DEFB882C"/>
    <w:rsid w:val="DEFFC02A"/>
    <w:rsid w:val="DFDC64BD"/>
    <w:rsid w:val="E74FEC3D"/>
    <w:rsid w:val="F69D8058"/>
    <w:rsid w:val="F7CE2C1C"/>
    <w:rsid w:val="F9E89F74"/>
    <w:rsid w:val="F9FDE73D"/>
    <w:rsid w:val="F9FE703A"/>
    <w:rsid w:val="FB9FFFB3"/>
    <w:rsid w:val="FBCF0AB7"/>
    <w:rsid w:val="FDEFEBAF"/>
    <w:rsid w:val="FF548296"/>
    <w:rsid w:val="FF9FCB0A"/>
    <w:rsid w:val="FFBF5EA2"/>
    <w:rsid w:val="FFDBFF47"/>
    <w:rsid w:val="FFF253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41"/>
    <w:basedOn w:val="8"/>
    <w:qFormat/>
    <w:uiPriority w:val="0"/>
    <w:rPr>
      <w:rFonts w:hint="eastAsia" w:ascii="宋体" w:hAnsi="宋体" w:eastAsia="宋体" w:cs="宋体"/>
      <w:color w:val="000000"/>
      <w:sz w:val="22"/>
      <w:szCs w:val="22"/>
      <w:u w:val="single"/>
    </w:rPr>
  </w:style>
  <w:style w:type="character" w:customStyle="1" w:styleId="12">
    <w:name w:val="15"/>
    <w:basedOn w:val="8"/>
    <w:qFormat/>
    <w:uiPriority w:val="0"/>
    <w:rPr>
      <w:rFonts w:hint="default" w:ascii="Times New Roman" w:hAnsi="Times New Roman" w:cs="Times New Roman"/>
      <w:b/>
    </w:rPr>
  </w:style>
  <w:style w:type="character" w:customStyle="1" w:styleId="13">
    <w:name w:val="10"/>
    <w:basedOn w:val="8"/>
    <w:qFormat/>
    <w:uiPriority w:val="0"/>
    <w:rPr>
      <w:rFonts w:hint="default" w:ascii="Times New Roman" w:hAnsi="Times New Roman" w:cs="Times New Roman"/>
    </w:rPr>
  </w:style>
  <w:style w:type="character" w:customStyle="1" w:styleId="14">
    <w:name w:val="页眉 Char"/>
    <w:basedOn w:val="8"/>
    <w:link w:val="4"/>
    <w:semiHidden/>
    <w:qFormat/>
    <w:uiPriority w:val="99"/>
    <w:rPr>
      <w:rFonts w:asciiTheme="minorHAnsi" w:hAnsiTheme="minorHAnsi" w:eastAsiaTheme="minorEastAsia" w:cstheme="minorBidi"/>
      <w:kern w:val="2"/>
      <w:sz w:val="18"/>
      <w:szCs w:val="18"/>
    </w:rPr>
  </w:style>
  <w:style w:type="character" w:customStyle="1" w:styleId="15">
    <w:name w:val="页脚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 Corp.</Company>
  <Pages>20</Pages>
  <Words>8060</Words>
  <Characters>8283</Characters>
  <Lines>1</Lines>
  <Paragraphs>1</Paragraphs>
  <TotalTime>47</TotalTime>
  <ScaleCrop>false</ScaleCrop>
  <LinksUpToDate>false</LinksUpToDate>
  <CharactersWithSpaces>8401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2020-12-31T11:18:00Z</dcterms:created>
  <dc:creator>Lenovo</dc:creator>
  <cp:lastModifiedBy>薛怡婧</cp:lastModifiedBy>
  <cp:lastPrinted>2025-07-12T08:50:00Z</cp:lastPrinted>
  <dcterms:modified xsi:type="dcterms:W3CDTF">2025-07-28T15:13:29Z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E292DB826BBD79953A53EB67E4C9F00C_42</vt:lpwstr>
  </property>
  <property fmtid="{D5CDD505-2E9C-101B-9397-08002B2CF9AE}" pid="4" name="KSOTemplateDocerSaveRecord">
    <vt:lpwstr>eyJoZGlkIjoiYzQ3YzVmNDkyODMyZjg3OWQ5MmQwMThjOTQ2N2NlYzYiLCJ1c2VySWQiOiI2MjI5NzA5NDUifQ==</vt:lpwstr>
  </property>
</Properties>
</file>