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auto"/>
          <w:kern w:val="0"/>
          <w:sz w:val="43"/>
          <w:szCs w:val="43"/>
          <w:lang w:val="en-US" w:eastAsia="zh-CN" w:bidi="ar"/>
        </w:rPr>
      </w:pPr>
      <w:r>
        <w:rPr>
          <w:rFonts w:hint="eastAsia" w:ascii="宋体" w:hAnsi="宋体" w:eastAsia="宋体" w:cs="宋体"/>
          <w:color w:val="auto"/>
          <w:kern w:val="0"/>
          <w:sz w:val="43"/>
          <w:szCs w:val="43"/>
          <w:lang w:val="en-US" w:eastAsia="zh-CN" w:bidi="ar"/>
        </w:rPr>
        <w:t>绍兴市上虞区农业农村局等5部门关于</w:t>
      </w:r>
    </w:p>
    <w:p>
      <w:pPr>
        <w:keepNext w:val="0"/>
        <w:keepLines w:val="0"/>
        <w:widowControl/>
        <w:suppressLineNumbers w:val="0"/>
        <w:jc w:val="center"/>
        <w:rPr>
          <w:rFonts w:hint="eastAsia" w:ascii="宋体" w:hAnsi="宋体" w:eastAsia="宋体" w:cs="宋体"/>
          <w:color w:val="auto"/>
          <w:kern w:val="0"/>
          <w:sz w:val="43"/>
          <w:szCs w:val="43"/>
          <w:lang w:val="en-US" w:eastAsia="zh-CN" w:bidi="ar"/>
        </w:rPr>
      </w:pPr>
      <w:r>
        <w:rPr>
          <w:rFonts w:hint="eastAsia" w:ascii="宋体" w:hAnsi="宋体" w:eastAsia="宋体" w:cs="宋体"/>
          <w:color w:val="auto"/>
          <w:kern w:val="0"/>
          <w:sz w:val="43"/>
          <w:szCs w:val="43"/>
          <w:lang w:val="en-US" w:eastAsia="zh-CN" w:bidi="ar"/>
        </w:rPr>
        <w:t>切实抓好2024年粮油生产保供工作的通知</w:t>
      </w:r>
    </w:p>
    <w:p>
      <w:pPr>
        <w:keepNext w:val="0"/>
        <w:keepLines w:val="0"/>
        <w:widowControl/>
        <w:suppressLineNumbers w:val="0"/>
        <w:jc w:val="center"/>
        <w:rPr>
          <w:rFonts w:hint="eastAsia" w:ascii="宋体" w:hAnsi="宋体" w:eastAsia="宋体" w:cs="宋体"/>
          <w:color w:val="auto"/>
          <w:lang w:eastAsia="zh-CN"/>
        </w:rPr>
      </w:pPr>
      <w:r>
        <w:rPr>
          <w:rFonts w:hint="eastAsia" w:ascii="宋体" w:hAnsi="宋体" w:eastAsia="宋体" w:cs="宋体"/>
          <w:color w:val="auto"/>
          <w:kern w:val="0"/>
          <w:sz w:val="43"/>
          <w:szCs w:val="43"/>
          <w:lang w:val="en-US" w:eastAsia="zh-CN" w:bidi="ar"/>
        </w:rPr>
        <w:t>（征求意见稿）</w:t>
      </w:r>
    </w:p>
    <w:p>
      <w:pPr>
        <w:rPr>
          <w:color w:val="auto"/>
        </w:rPr>
      </w:pPr>
    </w:p>
    <w:p>
      <w:pPr>
        <w:keepNext w:val="0"/>
        <w:keepLines w:val="0"/>
        <w:pageBreakBefore w:val="0"/>
        <w:widowControl/>
        <w:suppressLineNumbers w:val="0"/>
        <w:kinsoku/>
        <w:wordWrap/>
        <w:overflowPunct/>
        <w:topLinePunct w:val="0"/>
        <w:bidi w:val="0"/>
        <w:adjustRightInd/>
        <w:snapToGrid/>
        <w:spacing w:line="560" w:lineRule="exact"/>
        <w:ind w:left="0" w:leftChars="0"/>
        <w:jc w:val="left"/>
        <w:textAlignment w:val="auto"/>
        <w:rPr>
          <w:color w:val="auto"/>
        </w:rPr>
      </w:pPr>
      <w:r>
        <w:rPr>
          <w:rFonts w:ascii="仿宋_GB2312" w:hAnsi="宋体" w:eastAsia="仿宋_GB2312" w:cs="仿宋_GB2312"/>
          <w:color w:val="auto"/>
          <w:kern w:val="0"/>
          <w:sz w:val="31"/>
          <w:szCs w:val="31"/>
          <w:lang w:val="en-US" w:eastAsia="zh-CN" w:bidi="ar"/>
        </w:rPr>
        <w:t>各乡镇人民政府、街道办事处，杭州湾综合管理办：</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both"/>
        <w:textAlignment w:val="auto"/>
        <w:rPr>
          <w:color w:val="auto"/>
          <w:sz w:val="32"/>
          <w:szCs w:val="32"/>
        </w:rPr>
      </w:pPr>
      <w:r>
        <w:rPr>
          <w:rFonts w:ascii="仿宋_GB2312" w:hAnsi="宋体" w:eastAsia="仿宋_GB2312" w:cs="仿宋_GB2312"/>
          <w:color w:val="auto"/>
          <w:kern w:val="0"/>
          <w:sz w:val="32"/>
          <w:szCs w:val="32"/>
          <w:lang w:val="en-US" w:eastAsia="zh-CN" w:bidi="ar"/>
        </w:rPr>
        <w:t>为稳定发展粮油生产，确保我区粮食安全，根据绍兴市农业</w:t>
      </w:r>
      <w:r>
        <w:rPr>
          <w:rFonts w:hint="eastAsia" w:ascii="仿宋_GB2312" w:hAnsi="宋体" w:eastAsia="仿宋_GB2312" w:cs="仿宋_GB2312"/>
          <w:color w:val="auto"/>
          <w:kern w:val="0"/>
          <w:sz w:val="32"/>
          <w:szCs w:val="32"/>
          <w:lang w:val="en-US" w:eastAsia="zh-CN" w:bidi="ar"/>
        </w:rPr>
        <w:t>农村局等5部门《关于切实抓好2024年粮油生产保供工作的通知》（绍市农〔2024〕6号）文件要求，现就抓</w:t>
      </w:r>
      <w:r>
        <w:rPr>
          <w:rFonts w:ascii="仿宋_GB2312" w:hAnsi="宋体" w:eastAsia="仿宋_GB2312" w:cs="仿宋_GB2312"/>
          <w:color w:val="auto"/>
          <w:kern w:val="0"/>
          <w:sz w:val="32"/>
          <w:szCs w:val="32"/>
          <w:lang w:val="en-US" w:eastAsia="zh-CN" w:bidi="ar"/>
        </w:rPr>
        <w:t>好202</w:t>
      </w:r>
      <w:r>
        <w:rPr>
          <w:rFonts w:hint="eastAsia" w:ascii="仿宋_GB2312" w:hAnsi="宋体" w:eastAsia="仿宋_GB2312" w:cs="仿宋_GB2312"/>
          <w:color w:val="auto"/>
          <w:kern w:val="0"/>
          <w:sz w:val="32"/>
          <w:szCs w:val="32"/>
          <w:lang w:val="en-US" w:eastAsia="zh-CN" w:bidi="ar"/>
        </w:rPr>
        <w:t>4</w:t>
      </w:r>
      <w:r>
        <w:rPr>
          <w:rFonts w:ascii="仿宋_GB2312" w:hAnsi="宋体" w:eastAsia="仿宋_GB2312" w:cs="仿宋_GB2312"/>
          <w:color w:val="auto"/>
          <w:kern w:val="0"/>
          <w:sz w:val="32"/>
          <w:szCs w:val="32"/>
          <w:lang w:val="en-US" w:eastAsia="zh-CN" w:bidi="ar"/>
        </w:rPr>
        <w:t>年粮油生产保供工作通知如下：</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left"/>
        <w:textAlignment w:val="auto"/>
        <w:rPr>
          <w:color w:val="auto"/>
        </w:rPr>
      </w:pPr>
      <w:r>
        <w:rPr>
          <w:rFonts w:ascii="黑体" w:hAnsi="宋体" w:eastAsia="黑体" w:cs="黑体"/>
          <w:color w:val="auto"/>
          <w:kern w:val="0"/>
          <w:sz w:val="32"/>
          <w:szCs w:val="32"/>
          <w:lang w:val="en-US" w:eastAsia="zh-CN" w:bidi="ar"/>
        </w:rPr>
        <w:t xml:space="preserve">一、总体要求 </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both"/>
        <w:textAlignment w:val="auto"/>
        <w:rPr>
          <w:color w:val="auto"/>
          <w:sz w:val="32"/>
          <w:szCs w:val="32"/>
        </w:rPr>
      </w:pPr>
      <w:r>
        <w:rPr>
          <w:rFonts w:ascii="仿宋_GB2312" w:hAnsi="宋体" w:eastAsia="仿宋_GB2312" w:cs="仿宋_GB2312"/>
          <w:color w:val="auto"/>
          <w:kern w:val="0"/>
          <w:sz w:val="32"/>
          <w:szCs w:val="32"/>
          <w:lang w:val="en-US" w:eastAsia="zh-CN" w:bidi="ar"/>
        </w:rPr>
        <w:t>以习近平新时代中国特色社会主义思想为指导，全面贯彻国</w:t>
      </w:r>
      <w:r>
        <w:rPr>
          <w:rFonts w:hint="eastAsia" w:ascii="仿宋_GB2312" w:hAnsi="宋体" w:eastAsia="仿宋_GB2312" w:cs="仿宋_GB2312"/>
          <w:color w:val="auto"/>
          <w:kern w:val="0"/>
          <w:sz w:val="32"/>
          <w:szCs w:val="32"/>
          <w:lang w:val="en-US" w:eastAsia="zh-CN" w:bidi="ar"/>
        </w:rPr>
        <w:t xml:space="preserve">家粮食安全战略，严格落实耕地保护和粮食安全党政同责，按照“稳政策、扩面积、提单产、粮地一体、保障协同”总体思路，稳步提高粮油生产保供水平，确保完成各项目标任务，全方位夯实粮食安全根基。 </w:t>
      </w:r>
    </w:p>
    <w:p>
      <w:pPr>
        <w:keepNext w:val="0"/>
        <w:keepLines w:val="0"/>
        <w:pageBreakBefore w:val="0"/>
        <w:widowControl/>
        <w:suppressLineNumbers w:val="0"/>
        <w:kinsoku/>
        <w:wordWrap/>
        <w:overflowPunct/>
        <w:topLinePunct w:val="0"/>
        <w:bidi w:val="0"/>
        <w:adjustRightInd/>
        <w:snapToGrid/>
        <w:spacing w:line="560" w:lineRule="exact"/>
        <w:ind w:left="0" w:leftChars="0" w:firstLine="620" w:firstLineChars="200"/>
        <w:jc w:val="left"/>
        <w:textAlignment w:val="auto"/>
        <w:rPr>
          <w:color w:val="auto"/>
        </w:rPr>
      </w:pPr>
      <w:r>
        <w:rPr>
          <w:rFonts w:ascii="黑体" w:hAnsi="宋体" w:eastAsia="黑体" w:cs="黑体"/>
          <w:color w:val="auto"/>
          <w:kern w:val="0"/>
          <w:sz w:val="31"/>
          <w:szCs w:val="31"/>
          <w:lang w:val="en-US" w:eastAsia="zh-CN" w:bidi="ar"/>
        </w:rPr>
        <w:t>二、目标</w:t>
      </w:r>
      <w:r>
        <w:rPr>
          <w:rFonts w:hint="eastAsia" w:ascii="黑体" w:hAnsi="宋体" w:eastAsia="黑体" w:cs="黑体"/>
          <w:color w:val="auto"/>
          <w:kern w:val="0"/>
          <w:sz w:val="31"/>
          <w:szCs w:val="31"/>
          <w:lang w:val="en-US" w:eastAsia="zh-CN" w:bidi="ar"/>
        </w:rPr>
        <w:t>任务</w:t>
      </w:r>
      <w:r>
        <w:rPr>
          <w:rFonts w:ascii="黑体" w:hAnsi="宋体" w:eastAsia="黑体" w:cs="黑体"/>
          <w:color w:val="auto"/>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落实粮食播种面积47.99万亩、稳定粮食总产量 20.0万吨（其中大豆播种面积4.235万亩、产量0.75万吨）；油料作物播种面积5.494万亩、总产量0.88 万吨（其中油菜播种面积5.0万亩、总产量0.79万吨）；油茶新种植面积285亩、低产林改造面积487亩，油茶产能56吨；储备粮食作物种子47万斤、油菜种子0.206万斤、农药７吨、化肥1680吨。</w:t>
      </w:r>
    </w:p>
    <w:p>
      <w:pPr>
        <w:keepNext w:val="0"/>
        <w:keepLines w:val="0"/>
        <w:pageBreakBefore w:val="0"/>
        <w:widowControl/>
        <w:suppressLineNumbers w:val="0"/>
        <w:kinsoku/>
        <w:wordWrap/>
        <w:overflowPunct/>
        <w:topLinePunct w:val="0"/>
        <w:bidi w:val="0"/>
        <w:adjustRightInd/>
        <w:snapToGrid/>
        <w:spacing w:line="560" w:lineRule="exact"/>
        <w:ind w:left="0" w:leftChars="0" w:firstLine="620" w:firstLineChars="200"/>
        <w:jc w:val="left"/>
        <w:textAlignment w:val="auto"/>
        <w:rPr>
          <w:color w:val="auto"/>
        </w:rPr>
      </w:pPr>
      <w:r>
        <w:rPr>
          <w:rFonts w:ascii="黑体" w:hAnsi="宋体" w:eastAsia="黑体" w:cs="黑体"/>
          <w:color w:val="auto"/>
          <w:kern w:val="0"/>
          <w:sz w:val="31"/>
          <w:szCs w:val="31"/>
          <w:lang w:val="en-US" w:eastAsia="zh-CN" w:bidi="ar"/>
        </w:rPr>
        <w:t xml:space="preserve">三、工作重点 </w:t>
      </w:r>
    </w:p>
    <w:p>
      <w:pPr>
        <w:keepNext w:val="0"/>
        <w:keepLines w:val="0"/>
        <w:pageBreakBefore w:val="0"/>
        <w:widowControl w:val="0"/>
        <w:kinsoku/>
        <w:wordWrap/>
        <w:overflowPunct/>
        <w:topLinePunct w:val="0"/>
        <w:bidi w:val="0"/>
        <w:adjustRightInd/>
        <w:snapToGrid/>
        <w:spacing w:line="560" w:lineRule="exact"/>
        <w:ind w:left="0" w:leftChars="0" w:firstLine="620" w:firstLineChars="200"/>
        <w:textAlignment w:val="auto"/>
        <w:rPr>
          <w:rFonts w:hint="eastAsia" w:ascii="仿宋_GB2312" w:hAnsi="仿宋_GB2312" w:eastAsia="仿宋_GB2312" w:cs="仿宋_GB2312"/>
          <w:color w:val="auto"/>
          <w:kern w:val="0"/>
          <w:sz w:val="32"/>
          <w:szCs w:val="32"/>
          <w:lang w:bidi="ar"/>
        </w:rPr>
      </w:pPr>
      <w:r>
        <w:rPr>
          <w:rFonts w:ascii="楷体_GB2312" w:hAnsi="宋体" w:eastAsia="楷体_GB2312" w:cs="楷体_GB2312"/>
          <w:color w:val="auto"/>
          <w:kern w:val="0"/>
          <w:sz w:val="31"/>
          <w:szCs w:val="31"/>
          <w:lang w:val="en-US" w:eastAsia="zh-CN" w:bidi="ar"/>
        </w:rPr>
        <w:t>（一）加强耕地保护建设。</w:t>
      </w:r>
      <w:r>
        <w:rPr>
          <w:rFonts w:hint="eastAsia" w:ascii="仿宋_GB2312" w:hAnsi="仿宋_GB2312" w:eastAsia="仿宋_GB2312" w:cs="仿宋_GB2312"/>
          <w:color w:val="auto"/>
          <w:kern w:val="0"/>
          <w:sz w:val="32"/>
          <w:szCs w:val="32"/>
        </w:rPr>
        <w:t>落实最严格的耕地保护制度，深入实施“田长制”，</w:t>
      </w:r>
      <w:r>
        <w:rPr>
          <w:rFonts w:hint="eastAsia" w:ascii="仿宋_GB2312" w:hAnsi="仿宋_GB2312" w:eastAsia="仿宋_GB2312" w:cs="仿宋_GB2312"/>
          <w:color w:val="auto"/>
          <w:kern w:val="0"/>
          <w:sz w:val="32"/>
          <w:szCs w:val="32"/>
          <w:lang w:bidi="ar"/>
        </w:rPr>
        <w:t>改革完善耕地占补平衡制度，坚决守住耕地红线。</w:t>
      </w:r>
      <w:r>
        <w:rPr>
          <w:rFonts w:hint="eastAsia" w:ascii="仿宋_GB2312" w:hAnsi="仿宋_GB2312" w:eastAsia="仿宋_GB2312" w:cs="仿宋_GB2312"/>
          <w:color w:val="auto"/>
          <w:kern w:val="0"/>
          <w:sz w:val="32"/>
          <w:szCs w:val="32"/>
        </w:rPr>
        <w:t>加强耕地用途管控，坚持农地农用、粮地粮用，坚决遏制耕地“非农化”、防止</w:t>
      </w:r>
      <w:r>
        <w:rPr>
          <w:rFonts w:hint="eastAsia" w:ascii="仿宋_GB2312" w:hAnsi="仿宋_GB2312" w:eastAsia="仿宋_GB2312" w:cs="仿宋_GB2312"/>
          <w:color w:val="auto"/>
          <w:kern w:val="0"/>
          <w:sz w:val="32"/>
          <w:szCs w:val="32"/>
          <w:lang w:eastAsia="zh-CN"/>
        </w:rPr>
        <w:t>永久</w:t>
      </w:r>
      <w:r>
        <w:rPr>
          <w:rFonts w:hint="eastAsia" w:ascii="仿宋_GB2312" w:hAnsi="仿宋_GB2312" w:eastAsia="仿宋_GB2312" w:cs="仿宋_GB2312"/>
          <w:color w:val="auto"/>
          <w:kern w:val="0"/>
          <w:sz w:val="32"/>
          <w:szCs w:val="32"/>
        </w:rPr>
        <w:t>基本农田“非粮化”。</w:t>
      </w:r>
      <w:r>
        <w:rPr>
          <w:rFonts w:hint="eastAsia" w:ascii="仿宋_GB2312" w:hAnsi="仿宋_GB2312" w:eastAsia="仿宋_GB2312" w:cs="仿宋_GB2312"/>
          <w:color w:val="auto"/>
          <w:kern w:val="0"/>
          <w:sz w:val="32"/>
          <w:szCs w:val="32"/>
          <w:lang w:eastAsia="zh-CN"/>
        </w:rPr>
        <w:t>引导永农重点用于粮食生产，确保粮食生产功能区种植一季以上粮食作物，</w:t>
      </w:r>
      <w:r>
        <w:rPr>
          <w:rFonts w:hint="eastAsia" w:ascii="仿宋_GB2312" w:hAnsi="仿宋_GB2312" w:eastAsia="仿宋_GB2312" w:cs="仿宋_GB2312"/>
          <w:color w:val="auto"/>
          <w:kern w:val="0"/>
          <w:sz w:val="32"/>
          <w:szCs w:val="32"/>
        </w:rPr>
        <w:t>加强冬闲田综合利用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严格治理抛荒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协同推进</w:t>
      </w:r>
      <w:r>
        <w:rPr>
          <w:rFonts w:hint="eastAsia" w:ascii="仿宋_GB2312" w:hAnsi="仿宋_GB2312" w:eastAsia="仿宋_GB2312" w:cs="仿宋_GB2312"/>
          <w:color w:val="auto"/>
          <w:kern w:val="0"/>
          <w:sz w:val="32"/>
          <w:szCs w:val="32"/>
          <w:lang w:eastAsia="zh-CN"/>
        </w:rPr>
        <w:t>土地综合整治和高标准农田建设，加快推进</w:t>
      </w:r>
      <w:r>
        <w:rPr>
          <w:rFonts w:hint="eastAsia" w:ascii="仿宋_GB2312" w:hAnsi="仿宋_GB2312" w:eastAsia="仿宋_GB2312" w:cs="仿宋_GB2312"/>
          <w:color w:val="auto"/>
          <w:kern w:val="0"/>
          <w:sz w:val="32"/>
          <w:szCs w:val="32"/>
        </w:rPr>
        <w:t>“多田套合”，逐步将永久基本农田全部建成高标准农田。新增划定粮食生产功能区储备区</w:t>
      </w:r>
      <w:r>
        <w:rPr>
          <w:rFonts w:hint="eastAsia" w:ascii="仿宋_GB2312" w:hAnsi="仿宋_GB2312" w:eastAsia="仿宋_GB2312" w:cs="仿宋_GB2312"/>
          <w:color w:val="auto"/>
          <w:kern w:val="0"/>
          <w:sz w:val="32"/>
          <w:szCs w:val="32"/>
          <w:lang w:val="en-US" w:eastAsia="zh-CN"/>
        </w:rPr>
        <w:t>2310</w:t>
      </w:r>
      <w:r>
        <w:rPr>
          <w:rFonts w:hint="eastAsia" w:ascii="仿宋_GB2312" w:hAnsi="仿宋_GB2312" w:eastAsia="仿宋_GB2312" w:cs="仿宋_GB2312"/>
          <w:color w:val="auto"/>
          <w:kern w:val="0"/>
          <w:sz w:val="32"/>
          <w:szCs w:val="32"/>
        </w:rPr>
        <w:t>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bidi="ar"/>
        </w:rPr>
        <w:t>深入推进第三次全国土壤普查，继续实施土壤健康行动，提升耕地利用率和产出力。</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 w:cs="Times New Roman"/>
          <w:color w:val="auto"/>
          <w:kern w:val="0"/>
          <w:sz w:val="32"/>
          <w:szCs w:val="32"/>
        </w:rPr>
        <w:t>（二）扩大粮油</w:t>
      </w:r>
      <w:r>
        <w:rPr>
          <w:rFonts w:hint="eastAsia" w:ascii="Times New Roman" w:hAnsi="Times New Roman" w:eastAsia="楷体" w:cs="Times New Roman"/>
          <w:color w:val="auto"/>
          <w:kern w:val="0"/>
          <w:sz w:val="32"/>
          <w:szCs w:val="32"/>
          <w:lang w:eastAsia="zh-CN"/>
        </w:rPr>
        <w:t>种植</w:t>
      </w:r>
      <w:r>
        <w:rPr>
          <w:rFonts w:hint="default" w:ascii="Times New Roman" w:hAnsi="Times New Roman" w:eastAsia="楷体" w:cs="Times New Roman"/>
          <w:color w:val="auto"/>
          <w:kern w:val="0"/>
          <w:sz w:val="32"/>
          <w:szCs w:val="32"/>
        </w:rPr>
        <w:t>面积。</w:t>
      </w:r>
      <w:r>
        <w:rPr>
          <w:rFonts w:hint="eastAsia" w:ascii="仿宋_GB2312" w:hAnsi="仿宋_GB2312" w:eastAsia="仿宋_GB2312" w:cs="仿宋_GB2312"/>
          <w:bCs/>
          <w:color w:val="auto"/>
          <w:kern w:val="0"/>
          <w:sz w:val="32"/>
          <w:szCs w:val="32"/>
        </w:rPr>
        <w:t>持续深化土地整理、“两非”整治，加快农田设施改造，鼓励种粮大户集中流转，千方百计扩大水稻、</w:t>
      </w:r>
      <w:r>
        <w:rPr>
          <w:rFonts w:hint="eastAsia" w:ascii="仿宋_GB2312" w:hAnsi="仿宋_GB2312" w:eastAsia="仿宋_GB2312" w:cs="仿宋_GB2312"/>
          <w:bCs/>
          <w:color w:val="auto"/>
          <w:kern w:val="0"/>
          <w:sz w:val="32"/>
          <w:szCs w:val="32"/>
          <w:lang w:eastAsia="zh-CN"/>
        </w:rPr>
        <w:t>稳定</w:t>
      </w:r>
      <w:r>
        <w:rPr>
          <w:rFonts w:hint="eastAsia" w:ascii="仿宋_GB2312" w:hAnsi="仿宋_GB2312" w:eastAsia="仿宋_GB2312" w:cs="仿宋_GB2312"/>
          <w:bCs/>
          <w:color w:val="auto"/>
          <w:kern w:val="0"/>
          <w:sz w:val="32"/>
          <w:szCs w:val="32"/>
        </w:rPr>
        <w:t>小麦种植面积。充分挖掘非耕地、丘陵坡地、闲置土地等资源，扩大油菜种植。加快补齐油菜种植、收获机械化短板，加大良种推广力度，推动油菜绿色高质高效创建，鼓励发展油菜规模种植。重视油菜产业链发展，培育</w:t>
      </w:r>
      <w:r>
        <w:rPr>
          <w:rFonts w:hint="eastAsia" w:ascii="仿宋_GB2312" w:hAnsi="仿宋_GB2312" w:eastAsia="仿宋_GB2312" w:cs="仿宋_GB2312"/>
          <w:bCs/>
          <w:color w:val="auto"/>
          <w:kern w:val="0"/>
          <w:sz w:val="32"/>
          <w:szCs w:val="32"/>
          <w:lang w:eastAsia="zh-CN"/>
        </w:rPr>
        <w:t>油菜籽加工</w:t>
      </w:r>
      <w:r>
        <w:rPr>
          <w:rFonts w:hint="eastAsia" w:ascii="仿宋_GB2312" w:hAnsi="仿宋_GB2312" w:eastAsia="仿宋_GB2312" w:cs="仿宋_GB2312"/>
          <w:bCs/>
          <w:color w:val="auto"/>
          <w:kern w:val="0"/>
          <w:sz w:val="32"/>
          <w:szCs w:val="32"/>
        </w:rPr>
        <w:t>企业，鼓励油料加工主体与油菜规模种植主体开展订单种植，促进油菜籽原料就地就近加工转化。</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rPr>
      </w:pPr>
      <w:r>
        <w:rPr>
          <w:rFonts w:hint="default" w:ascii="Times New Roman" w:hAnsi="Times New Roman" w:eastAsia="楷体" w:cs="Times New Roman"/>
          <w:color w:val="auto"/>
          <w:kern w:val="0"/>
          <w:sz w:val="32"/>
          <w:szCs w:val="32"/>
        </w:rPr>
        <w:t>（三）实施单产提升行动。</w:t>
      </w:r>
      <w:r>
        <w:rPr>
          <w:rFonts w:hint="eastAsia" w:ascii="仿宋_GB2312" w:hAnsi="仿宋_GB2312" w:eastAsia="仿宋_GB2312" w:cs="仿宋_GB2312"/>
          <w:bCs/>
          <w:color w:val="auto"/>
          <w:kern w:val="0"/>
          <w:sz w:val="32"/>
          <w:szCs w:val="32"/>
        </w:rPr>
        <w:t>推动</w:t>
      </w:r>
      <w:r>
        <w:rPr>
          <w:rFonts w:hint="eastAsia" w:ascii="仿宋_GB2312" w:hAnsi="仿宋_GB2312" w:eastAsia="仿宋_GB2312" w:cs="仿宋_GB2312"/>
          <w:bCs/>
          <w:color w:val="auto"/>
          <w:kern w:val="0"/>
          <w:sz w:val="32"/>
          <w:szCs w:val="32"/>
          <w:lang w:eastAsia="zh-CN"/>
        </w:rPr>
        <w:t>良种、良法、良制、良田、良机</w:t>
      </w:r>
      <w:r>
        <w:rPr>
          <w:rFonts w:hint="eastAsia" w:ascii="仿宋_GB2312" w:hAnsi="仿宋_GB2312" w:eastAsia="仿宋_GB2312" w:cs="仿宋_GB2312"/>
          <w:bCs/>
          <w:color w:val="auto"/>
          <w:kern w:val="0"/>
          <w:sz w:val="32"/>
          <w:szCs w:val="32"/>
        </w:rPr>
        <w:t>“五良”融合发展，促进粮油等主要作物大面积单产提升。加</w:t>
      </w:r>
      <w:r>
        <w:rPr>
          <w:rFonts w:hint="eastAsia" w:ascii="仿宋_GB2312" w:hAnsi="仿宋_GB2312" w:eastAsia="仿宋_GB2312" w:cs="仿宋_GB2312"/>
          <w:bCs/>
          <w:color w:val="auto"/>
          <w:kern w:val="0"/>
          <w:sz w:val="32"/>
          <w:szCs w:val="32"/>
          <w:lang w:eastAsia="zh-CN"/>
        </w:rPr>
        <w:t>快</w:t>
      </w:r>
      <w:r>
        <w:rPr>
          <w:rFonts w:hint="eastAsia" w:ascii="仿宋_GB2312" w:hAnsi="仿宋_GB2312" w:eastAsia="仿宋_GB2312" w:cs="仿宋_GB2312"/>
          <w:bCs/>
          <w:color w:val="auto"/>
          <w:kern w:val="0"/>
          <w:sz w:val="32"/>
          <w:szCs w:val="32"/>
        </w:rPr>
        <w:t>高产优质多抗粮油品种推广，</w:t>
      </w:r>
      <w:r>
        <w:rPr>
          <w:rFonts w:hint="eastAsia" w:ascii="仿宋_GB2312" w:hAnsi="仿宋_GB2312" w:eastAsia="仿宋_GB2312" w:cs="仿宋_GB2312"/>
          <w:bCs/>
          <w:color w:val="auto"/>
          <w:kern w:val="0"/>
          <w:sz w:val="32"/>
          <w:szCs w:val="32"/>
          <w:lang w:eastAsia="zh-CN"/>
        </w:rPr>
        <w:t>进一步提高</w:t>
      </w:r>
      <w:r>
        <w:rPr>
          <w:rFonts w:hint="eastAsia" w:ascii="仿宋_GB2312" w:hAnsi="仿宋_GB2312" w:eastAsia="仿宋_GB2312" w:cs="仿宋_GB2312"/>
          <w:bCs/>
          <w:color w:val="auto"/>
          <w:kern w:val="0"/>
          <w:sz w:val="32"/>
          <w:szCs w:val="32"/>
        </w:rPr>
        <w:t>良种覆盖率。加强粮油生产先进技术集成应用，大力推广叠盘育秧、两壮两高栽培、配方施肥、病虫害绿色防控等绿色高产技术，</w:t>
      </w:r>
      <w:r>
        <w:rPr>
          <w:rFonts w:hint="eastAsia" w:ascii="仿宋_GB2312" w:hAnsi="仿宋_GB2312" w:eastAsia="仿宋_GB2312" w:cs="仿宋_GB2312"/>
          <w:color w:val="auto"/>
          <w:kern w:val="0"/>
          <w:sz w:val="32"/>
          <w:szCs w:val="32"/>
          <w:lang w:bidi="ar"/>
        </w:rPr>
        <w:t>水稻统防统治覆盖率达50%以上，病虫危害损失率控制在5%以内</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围绕油茶保供任务，保障油茶种苗供应，加强种苗质量管理，确保使用良种造林。</w:t>
      </w:r>
      <w:r>
        <w:rPr>
          <w:rFonts w:hint="eastAsia" w:ascii="仿宋_GB2312" w:hAnsi="仿宋_GB2312" w:eastAsia="仿宋_GB2312" w:cs="仿宋_GB2312"/>
          <w:bCs/>
          <w:color w:val="auto"/>
          <w:kern w:val="0"/>
          <w:sz w:val="32"/>
          <w:szCs w:val="32"/>
        </w:rPr>
        <w:t>加强先进适用机械化作业方式推广，水稻机插面积达</w:t>
      </w:r>
      <w:r>
        <w:rPr>
          <w:rFonts w:hint="eastAsia" w:ascii="仿宋_GB2312" w:hAnsi="仿宋_GB2312" w:eastAsia="仿宋_GB2312" w:cs="仿宋_GB2312"/>
          <w:bCs/>
          <w:color w:val="auto"/>
          <w:kern w:val="0"/>
          <w:sz w:val="32"/>
          <w:szCs w:val="32"/>
          <w:lang w:val="en-US" w:eastAsia="zh-CN"/>
        </w:rPr>
        <w:t>17</w:t>
      </w:r>
      <w:r>
        <w:rPr>
          <w:rFonts w:hint="eastAsia" w:ascii="仿宋_GB2312" w:hAnsi="仿宋_GB2312" w:eastAsia="仿宋_GB2312" w:cs="仿宋_GB2312"/>
          <w:bCs/>
          <w:color w:val="auto"/>
          <w:kern w:val="0"/>
          <w:sz w:val="32"/>
          <w:szCs w:val="32"/>
        </w:rPr>
        <w:t>万亩以上，水稻耕种收综合机械化率达9</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%以上，水稻机收损失率控制在2.8%以内。广泛开展绿色高产创建、高产竞赛活动，</w:t>
      </w:r>
      <w:r>
        <w:rPr>
          <w:rFonts w:hint="eastAsia" w:ascii="仿宋_GB2312" w:hAnsi="仿宋_GB2312" w:eastAsia="仿宋_GB2312" w:cs="仿宋_GB2312"/>
          <w:color w:val="auto"/>
          <w:kern w:val="2"/>
          <w:sz w:val="32"/>
          <w:szCs w:val="32"/>
          <w:lang w:val="en-US" w:eastAsia="zh-CN" w:bidi="ar"/>
        </w:rPr>
        <w:t>抓好部级粮食绿色高产高效行动县实施</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kern w:val="2"/>
          <w:sz w:val="32"/>
          <w:szCs w:val="32"/>
          <w:lang w:val="en-US" w:eastAsia="zh-CN" w:bidi="ar"/>
        </w:rPr>
        <w:t>建设水稻绿色高产高效万亩片2个、千亩方10个以上，示范带动全区水稻大面积单产提升，总产较前三年平均增长5%以上</w:t>
      </w:r>
      <w:r>
        <w:rPr>
          <w:rFonts w:hint="eastAsia" w:ascii="仿宋_GB2312" w:hAnsi="仿宋_GB2312" w:eastAsia="仿宋_GB2312" w:cs="仿宋_GB2312"/>
          <w:bCs/>
          <w:color w:val="auto"/>
          <w:kern w:val="0"/>
          <w:sz w:val="32"/>
          <w:szCs w:val="32"/>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楷体" w:cs="Times New Roman"/>
          <w:color w:val="auto"/>
          <w:kern w:val="0"/>
          <w:sz w:val="32"/>
          <w:szCs w:val="32"/>
        </w:rPr>
        <w:t>（四）深化经营机制创新。</w:t>
      </w:r>
      <w:r>
        <w:rPr>
          <w:rFonts w:hint="eastAsia" w:ascii="仿宋_GB2312" w:hAnsi="仿宋_GB2312" w:eastAsia="仿宋_GB2312" w:cs="仿宋_GB2312"/>
          <w:bCs/>
          <w:color w:val="auto"/>
          <w:kern w:val="0"/>
          <w:sz w:val="32"/>
          <w:szCs w:val="32"/>
        </w:rPr>
        <w:t>加强政策扶持和要素保障，鼓励“粮二代”、返乡大学生</w:t>
      </w:r>
      <w:r>
        <w:rPr>
          <w:rFonts w:hint="eastAsia" w:ascii="仿宋_GB2312" w:hAnsi="仿宋_GB2312" w:eastAsia="仿宋_GB2312" w:cs="仿宋_GB2312"/>
          <w:bCs/>
          <w:color w:val="auto"/>
          <w:kern w:val="0"/>
          <w:sz w:val="32"/>
          <w:szCs w:val="32"/>
          <w:lang w:eastAsia="zh-CN"/>
        </w:rPr>
        <w:t>、工商资本</w:t>
      </w:r>
      <w:r>
        <w:rPr>
          <w:rFonts w:hint="eastAsia" w:ascii="仿宋_GB2312" w:hAnsi="仿宋_GB2312" w:eastAsia="仿宋_GB2312" w:cs="仿宋_GB2312"/>
          <w:bCs/>
          <w:color w:val="auto"/>
          <w:kern w:val="0"/>
          <w:sz w:val="32"/>
          <w:szCs w:val="32"/>
        </w:rPr>
        <w:t>等从事粮油生产。鼓励规模粮油经营主体立足生产，开展粮油加工、销售一体化经营，水稻产加销一体化经营面积达</w:t>
      </w:r>
      <w:r>
        <w:rPr>
          <w:rFonts w:hint="eastAsia" w:ascii="仿宋_GB2312" w:hAnsi="仿宋_GB2312" w:eastAsia="仿宋_GB2312" w:cs="仿宋_GB2312"/>
          <w:bCs/>
          <w:color w:val="auto"/>
          <w:kern w:val="0"/>
          <w:sz w:val="32"/>
          <w:szCs w:val="32"/>
          <w:lang w:val="en-US" w:eastAsia="zh-CN"/>
        </w:rPr>
        <w:t>2万</w:t>
      </w:r>
      <w:r>
        <w:rPr>
          <w:rFonts w:hint="eastAsia" w:ascii="仿宋_GB2312" w:hAnsi="仿宋_GB2312" w:eastAsia="仿宋_GB2312" w:cs="仿宋_GB2312"/>
          <w:bCs/>
          <w:color w:val="auto"/>
          <w:kern w:val="0"/>
          <w:sz w:val="32"/>
          <w:szCs w:val="32"/>
        </w:rPr>
        <w:t>亩以上。大力推广“千斤粮万元钱”生产模式，强化典型宣传，着力提高种粮效益。</w:t>
      </w:r>
      <w:r>
        <w:rPr>
          <w:rFonts w:hint="eastAsia" w:ascii="仿宋_GB2312" w:hAnsi="仿宋_GB2312" w:eastAsia="仿宋_GB2312" w:cs="仿宋_GB2312"/>
          <w:color w:val="auto"/>
          <w:kern w:val="0"/>
          <w:sz w:val="32"/>
          <w:szCs w:val="32"/>
          <w:lang w:bidi="ar"/>
        </w:rPr>
        <w:t>推行以股份合作为主导的林地经营权规模化流转，建立以“强村公司”等为主导的流转收储平台，推动实施油茶林地规模化经营。</w:t>
      </w:r>
      <w:r>
        <w:rPr>
          <w:rFonts w:hint="eastAsia" w:ascii="仿宋_GB2312" w:hAnsi="仿宋_GB2312" w:eastAsia="仿宋_GB2312" w:cs="仿宋_GB2312"/>
          <w:bCs/>
          <w:color w:val="auto"/>
          <w:kern w:val="0"/>
          <w:sz w:val="32"/>
          <w:szCs w:val="32"/>
        </w:rPr>
        <w:t>推进现代农事服务中心建设，优化集中育秧中心、粮食烘干中心、植保服务组织等建设布局，推动粮油生产服务提档升级。</w:t>
      </w:r>
      <w:r>
        <w:rPr>
          <w:rFonts w:hint="eastAsia" w:ascii="仿宋_GB2312" w:hAnsi="仿宋_GB2312" w:eastAsia="仿宋_GB2312" w:cs="仿宋_GB2312"/>
          <w:color w:val="auto"/>
          <w:sz w:val="32"/>
          <w:szCs w:val="32"/>
        </w:rPr>
        <w:t>深化粮食收储企业与现代农事服务中心合作服务机制，整合仓容、烘干、除杂等环节资源，推广粮食收购服务关口前移、质量检测前置。</w:t>
      </w:r>
      <w:r>
        <w:rPr>
          <w:rFonts w:hint="eastAsia" w:ascii="仿宋_GB2312" w:hAnsi="仿宋_GB2312" w:eastAsia="仿宋_GB2312" w:cs="仿宋_GB2312"/>
          <w:color w:val="auto"/>
          <w:kern w:val="0"/>
          <w:sz w:val="32"/>
          <w:szCs w:val="32"/>
          <w:lang w:bidi="ar"/>
        </w:rPr>
        <w:t>鼓励探索建立种植粮食作物的土地租金差别化调节机制，降低种粮土地成本。</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default" w:ascii="Times New Roman" w:hAnsi="Times New Roman" w:eastAsia="楷体" w:cs="Times New Roman"/>
          <w:color w:val="auto"/>
          <w:kern w:val="0"/>
          <w:sz w:val="32"/>
          <w:szCs w:val="32"/>
        </w:rPr>
        <w:t>（五）强化储备管理和优质产业链打造。</w:t>
      </w:r>
      <w:r>
        <w:rPr>
          <w:rFonts w:hint="eastAsia" w:ascii="仿宋_GB2312" w:hAnsi="仿宋_GB2312" w:eastAsia="仿宋_GB2312" w:cs="仿宋_GB2312"/>
          <w:color w:val="auto"/>
          <w:kern w:val="0"/>
          <w:sz w:val="32"/>
          <w:szCs w:val="32"/>
        </w:rPr>
        <w:t>全面落实粮食和食用植物油储备任务，小麦、稻谷等口粮品种比例原则上不低于70%。有序开展储备轮换，月末实际库存不低于储备规模的70%，政府储备粮中晚稻比例不低于40%。</w:t>
      </w:r>
      <w:r>
        <w:rPr>
          <w:rFonts w:hint="eastAsia" w:ascii="仿宋_GB2312" w:hAnsi="仿宋_GB2312" w:eastAsia="仿宋_GB2312" w:cs="仿宋_GB2312"/>
          <w:color w:val="auto"/>
          <w:kern w:val="0"/>
          <w:sz w:val="32"/>
          <w:szCs w:val="32"/>
          <w:lang w:eastAsia="zh-CN"/>
        </w:rPr>
        <w:t>深化</w:t>
      </w:r>
      <w:r>
        <w:rPr>
          <w:rFonts w:hint="eastAsia" w:ascii="仿宋_GB2312" w:hAnsi="仿宋_GB2312" w:eastAsia="仿宋_GB2312" w:cs="仿宋_GB2312"/>
          <w:color w:val="auto"/>
          <w:kern w:val="0"/>
          <w:sz w:val="32"/>
          <w:szCs w:val="32"/>
          <w:lang w:bidi="ar"/>
        </w:rPr>
        <w:t>粮食产销合作，建立稳固的省外粮源基地</w:t>
      </w:r>
      <w:r>
        <w:rPr>
          <w:rFonts w:hint="eastAsia" w:ascii="仿宋_GB2312" w:hAnsi="仿宋_GB2312" w:eastAsia="仿宋_GB2312" w:cs="仿宋_GB2312"/>
          <w:color w:val="auto"/>
          <w:kern w:val="0"/>
          <w:sz w:val="32"/>
          <w:szCs w:val="32"/>
          <w:lang w:eastAsia="zh-CN" w:bidi="ar"/>
        </w:rPr>
        <w:t>和粮食产销合作关系</w:t>
      </w:r>
      <w:r>
        <w:rPr>
          <w:rFonts w:hint="eastAsia" w:ascii="仿宋_GB2312" w:hAnsi="仿宋_GB2312" w:eastAsia="仿宋_GB2312" w:cs="仿宋_GB2312"/>
          <w:color w:val="auto"/>
          <w:kern w:val="0"/>
          <w:sz w:val="32"/>
          <w:szCs w:val="32"/>
          <w:lang w:bidi="ar"/>
        </w:rPr>
        <w:t>，发挥市场优势，畅通粮源渠道，确保有效供给。</w:t>
      </w:r>
      <w:r>
        <w:rPr>
          <w:rFonts w:hint="eastAsia" w:ascii="仿宋_GB2312" w:hAnsi="仿宋_GB2312" w:eastAsia="仿宋_GB2312" w:cs="仿宋_GB2312"/>
          <w:color w:val="auto"/>
          <w:kern w:val="0"/>
          <w:sz w:val="32"/>
          <w:szCs w:val="32"/>
          <w:lang w:eastAsia="zh-CN" w:bidi="ar"/>
        </w:rPr>
        <w:t>落实种子、农药、化肥储备任务，</w:t>
      </w:r>
      <w:r>
        <w:rPr>
          <w:rFonts w:hint="eastAsia" w:ascii="仿宋_GB2312" w:hAnsi="仿宋_GB2312" w:eastAsia="仿宋_GB2312" w:cs="仿宋_GB2312"/>
          <w:color w:val="auto"/>
          <w:kern w:val="0"/>
          <w:sz w:val="32"/>
          <w:szCs w:val="32"/>
          <w:lang w:bidi="ar"/>
        </w:rPr>
        <w:t>明确承储责任，规范动用规程，强化监督检查</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rPr>
        <w:t>统筹粮食应急加工能力建设和现代化粮食收购服务体系试点建设，不断提升应急加工和流通监管能力。全</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“五优联动”实施规模达到</w:t>
      </w:r>
      <w:r>
        <w:rPr>
          <w:rFonts w:hint="eastAsia" w:ascii="仿宋_GB2312" w:hAnsi="仿宋_GB2312" w:eastAsia="仿宋_GB2312" w:cs="仿宋_GB2312"/>
          <w:color w:val="auto"/>
          <w:kern w:val="0"/>
          <w:sz w:val="32"/>
          <w:szCs w:val="32"/>
          <w:lang w:val="en-US" w:eastAsia="zh-CN"/>
        </w:rPr>
        <w:t>2.44</w:t>
      </w:r>
      <w:r>
        <w:rPr>
          <w:rFonts w:hint="eastAsia" w:ascii="仿宋_GB2312" w:hAnsi="仿宋_GB2312" w:eastAsia="仿宋_GB2312" w:cs="仿宋_GB2312"/>
          <w:color w:val="auto"/>
          <w:kern w:val="0"/>
          <w:sz w:val="32"/>
          <w:szCs w:val="32"/>
        </w:rPr>
        <w:t>万亩，</w:t>
      </w:r>
      <w:r>
        <w:rPr>
          <w:rFonts w:hint="eastAsia" w:ascii="仿宋_GB2312" w:hAnsi="仿宋_GB2312" w:eastAsia="仿宋_GB2312" w:cs="仿宋_GB2312"/>
          <w:color w:val="auto"/>
          <w:kern w:val="0"/>
          <w:sz w:val="32"/>
          <w:szCs w:val="32"/>
          <w:lang w:eastAsia="zh-CN"/>
        </w:rPr>
        <w:t>争取通过</w:t>
      </w:r>
      <w:r>
        <w:rPr>
          <w:rFonts w:hint="eastAsia" w:ascii="仿宋_GB2312" w:hAnsi="仿宋_GB2312" w:eastAsia="仿宋_GB2312" w:cs="仿宋_GB2312"/>
          <w:color w:val="auto"/>
          <w:kern w:val="0"/>
          <w:sz w:val="32"/>
          <w:szCs w:val="32"/>
        </w:rPr>
        <w:t>示范县</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组织参加</w:t>
      </w:r>
      <w:r>
        <w:rPr>
          <w:rFonts w:hint="eastAsia" w:ascii="仿宋_GB2312" w:hAnsi="仿宋_GB2312" w:eastAsia="仿宋_GB2312" w:cs="仿宋_GB2312"/>
          <w:color w:val="auto"/>
          <w:sz w:val="32"/>
          <w:szCs w:val="32"/>
        </w:rPr>
        <w:t>“浙江好粮油”、“浙江好稻米”、“越乡好稻米”等产品推选活动，</w:t>
      </w:r>
      <w:r>
        <w:rPr>
          <w:rFonts w:hint="eastAsia" w:ascii="仿宋_GB2312" w:hAnsi="仿宋_GB2312" w:eastAsia="仿宋_GB2312" w:cs="仿宋_GB2312"/>
          <w:color w:val="auto"/>
          <w:kern w:val="0"/>
          <w:sz w:val="32"/>
          <w:szCs w:val="32"/>
        </w:rPr>
        <w:t>推进粮食产业高质量发展。</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国标黑体" w:cs="Times New Roman"/>
          <w:color w:val="auto"/>
          <w:sz w:val="32"/>
          <w:szCs w:val="32"/>
        </w:rPr>
      </w:pPr>
      <w:r>
        <w:rPr>
          <w:rFonts w:hint="default" w:ascii="Times New Roman" w:hAnsi="Times New Roman" w:eastAsia="国标黑体" w:cs="Times New Roman"/>
          <w:color w:val="auto"/>
          <w:sz w:val="32"/>
          <w:szCs w:val="32"/>
        </w:rPr>
        <w:t>四、政策体系</w:t>
      </w:r>
    </w:p>
    <w:p>
      <w:pPr>
        <w:pStyle w:val="10"/>
        <w:keepNext w:val="0"/>
        <w:keepLines w:val="0"/>
        <w:pageBreakBefore w:val="0"/>
        <w:widowControl w:val="0"/>
        <w:kinsoku/>
        <w:wordWrap/>
        <w:overflowPunct/>
        <w:topLinePunct w:val="0"/>
        <w:bidi w:val="0"/>
        <w:adjustRightInd/>
        <w:snapToGrid/>
        <w:spacing w:after="0" w:line="560" w:lineRule="exact"/>
        <w:ind w:left="0" w:leftChars="0" w:firstLine="640"/>
        <w:textAlignment w:val="auto"/>
        <w:rPr>
          <w:rFonts w:hint="eastAsia" w:ascii="仿宋_GB2312" w:hAnsi="仿宋_GB2312" w:eastAsia="仿宋_GB2312" w:cs="仿宋_GB2312"/>
          <w:color w:val="auto"/>
          <w:kern w:val="0"/>
          <w:sz w:val="32"/>
          <w:szCs w:val="32"/>
          <w:lang w:bidi="ar"/>
        </w:rPr>
      </w:pPr>
      <w:r>
        <w:rPr>
          <w:rFonts w:hint="default" w:ascii="Times New Roman" w:hAnsi="Times New Roman" w:eastAsia="楷体" w:cs="Times New Roman"/>
          <w:color w:val="auto"/>
          <w:sz w:val="32"/>
          <w:szCs w:val="32"/>
        </w:rPr>
        <w:t>（一）稳定生产扶持政策。</w:t>
      </w:r>
      <w:r>
        <w:rPr>
          <w:rFonts w:hint="eastAsia" w:ascii="仿宋_GB2312" w:hAnsi="仿宋_GB2312" w:eastAsia="仿宋_GB2312" w:cs="仿宋_GB2312"/>
          <w:color w:val="auto"/>
          <w:sz w:val="32"/>
          <w:szCs w:val="32"/>
        </w:rPr>
        <w:t>对全年稻麦油复种、一季旱粮种植和“三园”地间作套种同一旱粮作物（不含大小麦）50亩及以上的规模种粮主体（含制繁种），按实际种植面积</w:t>
      </w:r>
      <w:r>
        <w:rPr>
          <w:rFonts w:hint="eastAsia" w:ascii="仿宋_GB2312" w:hAnsi="仿宋_GB2312" w:eastAsia="仿宋_GB2312" w:cs="仿宋_GB2312"/>
          <w:color w:val="auto"/>
          <w:sz w:val="32"/>
          <w:szCs w:val="32"/>
          <w:lang w:eastAsia="zh-CN"/>
        </w:rPr>
        <w:t>给予</w:t>
      </w:r>
      <w:r>
        <w:rPr>
          <w:rFonts w:hint="eastAsia" w:ascii="仿宋_GB2312" w:hAnsi="仿宋_GB2312" w:eastAsia="仿宋_GB2312" w:cs="仿宋_GB2312"/>
          <w:color w:val="auto"/>
          <w:sz w:val="32"/>
          <w:szCs w:val="32"/>
          <w:lang w:val="en-US" w:eastAsia="zh-CN"/>
        </w:rPr>
        <w:t>早稻每亩220元，单季晚稻、大小麦、旱粮每亩160元、油菜每亩140元,连作晚稻(不含翻秋早籼稻、再生稻)每亩260元直接补贴</w:t>
      </w:r>
      <w:r>
        <w:rPr>
          <w:rFonts w:hint="eastAsia" w:ascii="仿宋_GB2312" w:hAnsi="仿宋_GB2312" w:eastAsia="仿宋_GB2312" w:cs="仿宋_GB2312"/>
          <w:color w:val="auto"/>
          <w:kern w:val="21"/>
          <w:sz w:val="32"/>
          <w:szCs w:val="32"/>
        </w:rPr>
        <w:t>。对机插</w:t>
      </w:r>
      <w:r>
        <w:rPr>
          <w:rFonts w:hint="eastAsia" w:ascii="仿宋_GB2312" w:hAnsi="仿宋_GB2312" w:eastAsia="仿宋_GB2312" w:cs="仿宋_GB2312"/>
          <w:color w:val="auto"/>
          <w:kern w:val="21"/>
          <w:sz w:val="32"/>
          <w:szCs w:val="32"/>
          <w:lang w:eastAsia="zh-CN"/>
        </w:rPr>
        <w:t>水稻</w:t>
      </w:r>
      <w:r>
        <w:rPr>
          <w:rFonts w:hint="eastAsia" w:ascii="仿宋_GB2312" w:hAnsi="仿宋_GB2312" w:eastAsia="仿宋_GB2312" w:cs="仿宋_GB2312"/>
          <w:color w:val="auto"/>
          <w:kern w:val="21"/>
          <w:sz w:val="32"/>
          <w:szCs w:val="32"/>
        </w:rPr>
        <w:t>面积</w:t>
      </w:r>
      <w:r>
        <w:rPr>
          <w:rFonts w:hint="eastAsia" w:ascii="仿宋_GB2312" w:hAnsi="仿宋_GB2312" w:eastAsia="仿宋_GB2312" w:cs="仿宋_GB2312"/>
          <w:color w:val="auto"/>
          <w:kern w:val="21"/>
          <w:sz w:val="32"/>
          <w:szCs w:val="32"/>
          <w:lang w:val="en-US" w:eastAsia="zh-CN"/>
        </w:rPr>
        <w:t>10</w:t>
      </w:r>
      <w:r>
        <w:rPr>
          <w:rFonts w:hint="eastAsia" w:ascii="仿宋_GB2312" w:hAnsi="仿宋_GB2312" w:eastAsia="仿宋_GB2312" w:cs="仿宋_GB2312"/>
          <w:color w:val="auto"/>
          <w:kern w:val="21"/>
          <w:sz w:val="32"/>
          <w:szCs w:val="32"/>
        </w:rPr>
        <w:t>0亩</w:t>
      </w:r>
      <w:r>
        <w:rPr>
          <w:rFonts w:hint="eastAsia" w:ascii="仿宋_GB2312" w:hAnsi="仿宋_GB2312" w:eastAsia="仿宋_GB2312" w:cs="仿宋_GB2312"/>
          <w:color w:val="auto"/>
          <w:kern w:val="21"/>
          <w:sz w:val="32"/>
          <w:szCs w:val="32"/>
          <w:lang w:eastAsia="zh-CN"/>
        </w:rPr>
        <w:t>及</w:t>
      </w:r>
      <w:r>
        <w:rPr>
          <w:rFonts w:hint="eastAsia" w:ascii="仿宋_GB2312" w:hAnsi="仿宋_GB2312" w:eastAsia="仿宋_GB2312" w:cs="仿宋_GB2312"/>
          <w:color w:val="auto"/>
          <w:kern w:val="21"/>
          <w:sz w:val="32"/>
          <w:szCs w:val="32"/>
        </w:rPr>
        <w:t>以上的生产主体，按</w:t>
      </w:r>
      <w:r>
        <w:rPr>
          <w:rFonts w:hint="eastAsia" w:ascii="仿宋_GB2312" w:hAnsi="仿宋_GB2312" w:eastAsia="仿宋_GB2312" w:cs="仿宋_GB2312"/>
          <w:color w:val="auto"/>
          <w:kern w:val="21"/>
          <w:sz w:val="32"/>
          <w:szCs w:val="32"/>
          <w:lang w:eastAsia="zh-CN"/>
        </w:rPr>
        <w:t>实际</w:t>
      </w:r>
      <w:r>
        <w:rPr>
          <w:rFonts w:hint="eastAsia" w:ascii="仿宋_GB2312" w:hAnsi="仿宋_GB2312" w:eastAsia="仿宋_GB2312" w:cs="仿宋_GB2312"/>
          <w:color w:val="auto"/>
          <w:kern w:val="21"/>
          <w:sz w:val="32"/>
          <w:szCs w:val="32"/>
        </w:rPr>
        <w:t>机插面积，给予每亩50元的补贴。</w:t>
      </w:r>
      <w:r>
        <w:rPr>
          <w:rFonts w:hint="eastAsia" w:ascii="仿宋_GB2312" w:hAnsi="仿宋_GB2312" w:eastAsia="仿宋_GB2312" w:cs="仿宋_GB2312"/>
          <w:color w:val="auto"/>
          <w:kern w:val="21"/>
          <w:sz w:val="32"/>
          <w:szCs w:val="32"/>
          <w:lang w:eastAsia="zh-CN"/>
        </w:rPr>
        <w:t>执行种粮大户贷款贴息扶持政策</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color w:val="auto"/>
          <w:kern w:val="0"/>
          <w:sz w:val="32"/>
          <w:szCs w:val="32"/>
          <w:lang w:bidi="ar"/>
        </w:rPr>
        <w:t>加大粮油生产社会化服务支持，对开展水稻等主要农作物统防统治和水稻机插秧等社会化服务予以补助。突出多目标导向，鼓励探索建立补贴与产量形成、绿色生产、耕作模式、抛荒地整治等相结合的正向激励和负面清单机制，鼓励对利用冬闲田种植绿肥进行政策扶持。</w:t>
      </w:r>
    </w:p>
    <w:p>
      <w:pPr>
        <w:pStyle w:val="10"/>
        <w:keepNext w:val="0"/>
        <w:keepLines w:val="0"/>
        <w:pageBreakBefore w:val="0"/>
        <w:widowControl w:val="0"/>
        <w:kinsoku/>
        <w:wordWrap/>
        <w:overflowPunct/>
        <w:topLinePunct w:val="0"/>
        <w:bidi w:val="0"/>
        <w:adjustRightInd/>
        <w:snapToGrid/>
        <w:spacing w:after="0" w:line="560" w:lineRule="exact"/>
        <w:ind w:left="0" w:leftChars="0" w:firstLine="640"/>
        <w:textAlignment w:val="auto"/>
        <w:rPr>
          <w:rFonts w:hint="default" w:ascii="仿宋_GB2312" w:hAnsi="仿宋_GB2312" w:eastAsia="仿宋_GB2312" w:cs="仿宋_GB2312"/>
          <w:color w:val="auto"/>
          <w:sz w:val="32"/>
          <w:szCs w:val="32"/>
        </w:rPr>
      </w:pPr>
      <w:r>
        <w:rPr>
          <w:rFonts w:hint="default" w:ascii="Times New Roman" w:hAnsi="Times New Roman" w:eastAsia="楷体" w:cs="Times New Roman"/>
          <w:color w:val="auto"/>
          <w:kern w:val="0"/>
          <w:sz w:val="32"/>
          <w:szCs w:val="32"/>
        </w:rPr>
        <w:t>（二）执行粮食</w:t>
      </w:r>
      <w:r>
        <w:rPr>
          <w:rFonts w:hint="default" w:ascii="Times New Roman" w:hAnsi="Times New Roman" w:eastAsia="楷体" w:cs="Times New Roman"/>
          <w:color w:val="auto"/>
          <w:kern w:val="0"/>
          <w:sz w:val="32"/>
          <w:szCs w:val="32"/>
          <w:lang w:bidi="ar"/>
        </w:rPr>
        <w:t>收购政策。</w:t>
      </w:r>
      <w:r>
        <w:rPr>
          <w:rFonts w:hint="default" w:ascii="仿宋_GB2312" w:hAnsi="仿宋_GB2312" w:eastAsia="仿宋_GB2312" w:cs="仿宋_GB2312"/>
          <w:color w:val="auto"/>
          <w:sz w:val="32"/>
          <w:szCs w:val="32"/>
        </w:rPr>
        <w:t>严格执行省定</w:t>
      </w:r>
      <w:r>
        <w:rPr>
          <w:rFonts w:hint="default" w:ascii="仿宋_GB2312" w:hAnsi="仿宋_GB2312" w:eastAsia="仿宋_GB2312" w:cs="仿宋_GB2312"/>
          <w:strike w:val="0"/>
          <w:dstrike w:val="0"/>
          <w:color w:val="auto"/>
          <w:sz w:val="32"/>
          <w:szCs w:val="32"/>
        </w:rPr>
        <w:t>小麦、</w:t>
      </w:r>
      <w:r>
        <w:rPr>
          <w:rFonts w:hint="default" w:ascii="仿宋_GB2312" w:hAnsi="仿宋_GB2312" w:eastAsia="仿宋_GB2312" w:cs="仿宋_GB2312"/>
          <w:color w:val="auto"/>
          <w:sz w:val="32"/>
          <w:szCs w:val="32"/>
        </w:rPr>
        <w:t>稻谷最低收购价政策。财政对按订单向国有粮食收储企业交售稻谷的种粮主体给予奖励。</w:t>
      </w:r>
      <w:r>
        <w:rPr>
          <w:rFonts w:hint="eastAsia" w:ascii="仿宋_GB2312" w:hAnsi="仿宋_GB2312" w:eastAsia="仿宋_GB2312" w:cs="仿宋_GB2312"/>
          <w:color w:val="auto"/>
          <w:sz w:val="32"/>
          <w:szCs w:val="32"/>
          <w:lang w:eastAsia="zh-CN"/>
        </w:rPr>
        <w:t>区</w:t>
      </w:r>
      <w:r>
        <w:rPr>
          <w:rFonts w:hint="default" w:ascii="仿宋_GB2312" w:hAnsi="仿宋_GB2312" w:eastAsia="仿宋_GB2312" w:cs="仿宋_GB2312"/>
          <w:color w:val="auto"/>
          <w:sz w:val="32"/>
          <w:szCs w:val="32"/>
        </w:rPr>
        <w:t>内早稻实行订单全覆盖，全</w:t>
      </w:r>
      <w:r>
        <w:rPr>
          <w:rFonts w:hint="eastAsia" w:ascii="仿宋_GB2312" w:hAnsi="仿宋_GB2312" w:eastAsia="仿宋_GB2312" w:cs="仿宋_GB2312"/>
          <w:color w:val="auto"/>
          <w:sz w:val="32"/>
          <w:szCs w:val="32"/>
          <w:lang w:eastAsia="zh-CN"/>
        </w:rPr>
        <w:t>区</w:t>
      </w:r>
      <w:r>
        <w:rPr>
          <w:rFonts w:hint="default" w:ascii="仿宋_GB2312" w:hAnsi="仿宋_GB2312" w:eastAsia="仿宋_GB2312" w:cs="仿宋_GB2312"/>
          <w:color w:val="auto"/>
          <w:sz w:val="32"/>
          <w:szCs w:val="32"/>
        </w:rPr>
        <w:t>统一早稻订单每百斤奖励30元；</w:t>
      </w:r>
      <w:r>
        <w:rPr>
          <w:rFonts w:hint="eastAsia" w:ascii="仿宋_GB2312" w:hAnsi="仿宋_GB2312" w:eastAsia="仿宋_GB2312" w:cs="仿宋_GB2312"/>
          <w:color w:val="auto"/>
          <w:sz w:val="32"/>
          <w:szCs w:val="32"/>
          <w:lang w:eastAsia="zh-CN"/>
        </w:rPr>
        <w:t>区</w:t>
      </w:r>
      <w:r>
        <w:rPr>
          <w:rFonts w:hint="default" w:ascii="仿宋_GB2312" w:hAnsi="仿宋_GB2312" w:eastAsia="仿宋_GB2312" w:cs="仿宋_GB2312"/>
          <w:color w:val="auto"/>
          <w:sz w:val="32"/>
          <w:szCs w:val="32"/>
        </w:rPr>
        <w:t>级晚稻订单每百斤奖励20元。继续实施订单良种奖励政策，与种子企业签订订单合同并按订单交售水稻、小麦良种的种子生产者，省财政按实际交售种子数量给予奖励，每百斤常规水稻种子奖励30元；每百斤杂交水稻种子奖励100元，每亩最高不超过300元；每百斤小麦种子奖励30元，每亩最高不超过150元。</w:t>
      </w:r>
    </w:p>
    <w:p>
      <w:pPr>
        <w:pStyle w:val="10"/>
        <w:keepNext w:val="0"/>
        <w:keepLines w:val="0"/>
        <w:pageBreakBefore w:val="0"/>
        <w:widowControl w:val="0"/>
        <w:kinsoku/>
        <w:wordWrap/>
        <w:overflowPunct/>
        <w:topLinePunct w:val="0"/>
        <w:bidi w:val="0"/>
        <w:adjustRightInd/>
        <w:snapToGrid/>
        <w:spacing w:after="0" w:line="560" w:lineRule="exact"/>
        <w:ind w:left="0" w:leftChars="0" w:firstLine="640"/>
        <w:textAlignment w:val="auto"/>
        <w:rPr>
          <w:rFonts w:hint="default" w:ascii="仿宋_GB2312" w:hAnsi="仿宋_GB2312" w:eastAsia="仿宋_GB2312" w:cs="仿宋_GB2312"/>
          <w:color w:val="auto"/>
          <w:sz w:val="32"/>
          <w:szCs w:val="32"/>
        </w:rPr>
      </w:pP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eastAsia="zh-CN"/>
        </w:rPr>
        <w:t>三</w:t>
      </w:r>
      <w:r>
        <w:rPr>
          <w:rFonts w:hint="default" w:ascii="Times New Roman" w:hAnsi="Times New Roman" w:eastAsia="楷体" w:cs="Times New Roman"/>
          <w:color w:val="auto"/>
          <w:kern w:val="0"/>
          <w:sz w:val="32"/>
          <w:szCs w:val="32"/>
        </w:rPr>
        <w:t>）实施产销协作补贴。</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区内列入全省粮食流通统计范围</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粮食加工经营企业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u w:val="none"/>
        </w:rPr>
        <w:t>到省外采购我区居民喜食的优质大米（主要指晚籼谷、晚粳谷）数量达到2000吨以上，或在省外粮食主产区建立生产基地2000亩以上，运回粮食500吨以上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u w:val="none"/>
        </w:rPr>
        <w:t>给予每吨最高10元</w:t>
      </w:r>
      <w:r>
        <w:rPr>
          <w:rFonts w:hint="eastAsia" w:ascii="仿宋_GB2312" w:hAnsi="仿宋_GB2312" w:eastAsia="仿宋_GB2312" w:cs="仿宋_GB2312"/>
          <w:color w:val="auto"/>
          <w:kern w:val="0"/>
          <w:sz w:val="32"/>
          <w:szCs w:val="32"/>
          <w:u w:val="none"/>
          <w:lang w:eastAsia="zh-CN"/>
        </w:rPr>
        <w:t>补贴（折合原粮计）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级补贴资金年度预算安排</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万元，如补贴总额突破安排资金，补贴标准按比例降低。</w:t>
      </w:r>
    </w:p>
    <w:p>
      <w:pPr>
        <w:pStyle w:val="10"/>
        <w:keepNext w:val="0"/>
        <w:keepLines w:val="0"/>
        <w:pageBreakBefore w:val="0"/>
        <w:widowControl w:val="0"/>
        <w:kinsoku/>
        <w:wordWrap/>
        <w:overflowPunct/>
        <w:topLinePunct w:val="0"/>
        <w:bidi w:val="0"/>
        <w:adjustRightInd/>
        <w:snapToGrid/>
        <w:spacing w:after="0" w:line="560" w:lineRule="exact"/>
        <w:ind w:left="0" w:leftChars="0" w:firstLine="640"/>
        <w:textAlignment w:val="auto"/>
        <w:rPr>
          <w:rFonts w:hint="default" w:ascii="仿宋_GB2312" w:hAnsi="仿宋_GB2312" w:eastAsia="仿宋_GB2312" w:cs="仿宋_GB2312"/>
          <w:color w:val="auto"/>
          <w:sz w:val="32"/>
          <w:szCs w:val="32"/>
        </w:rPr>
      </w:pP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eastAsia="zh-CN"/>
        </w:rPr>
        <w:t>四</w:t>
      </w: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bidi="ar"/>
        </w:rPr>
        <w:t>强化金融保险支持。</w:t>
      </w:r>
      <w:r>
        <w:rPr>
          <w:rFonts w:hint="default" w:ascii="仿宋_GB2312" w:hAnsi="仿宋_GB2312" w:eastAsia="仿宋_GB2312" w:cs="仿宋_GB2312"/>
          <w:color w:val="auto"/>
          <w:sz w:val="32"/>
          <w:szCs w:val="32"/>
        </w:rPr>
        <w:t>推行政策性水稻完全成本保险，继续实施大麦、小麦、玉米、油菜种植和杂交水稻制种等政策性农业保险，按现行标准给予保费补贴。继续执行规模种粮贷款贴息政策，</w:t>
      </w:r>
      <w:r>
        <w:rPr>
          <w:rFonts w:hint="eastAsia" w:ascii="仿宋_GB2312" w:hAnsi="仿宋_GB2312" w:eastAsia="仿宋_GB2312" w:cs="仿宋_GB2312"/>
          <w:color w:val="auto"/>
          <w:sz w:val="32"/>
          <w:szCs w:val="32"/>
        </w:rPr>
        <w:t>除用于购买农机具和开展小型粮食生产、加工等设施设备建设的贷款外，其他用途的贷款额原则上按照种粮面积计算并控制在每亩1000元以内的贷款额，给予年3%的贴息率且不超过实际贷款利率的70%（两者取低值）</w:t>
      </w:r>
      <w:r>
        <w:rPr>
          <w:rFonts w:hint="default"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lang w:eastAsia="zh-CN"/>
        </w:rPr>
        <w:t>探索</w:t>
      </w:r>
      <w:r>
        <w:rPr>
          <w:rFonts w:hint="default" w:ascii="仿宋_GB2312" w:hAnsi="仿宋_GB2312" w:eastAsia="仿宋_GB2312" w:cs="仿宋_GB2312"/>
          <w:color w:val="auto"/>
          <w:sz w:val="32"/>
          <w:szCs w:val="32"/>
        </w:rPr>
        <w:t>依法采用以奖代补、贷款贴息等方式支持油茶林种植和改造，实施林业政策性保险。鼓励金融机构为市场化粮食收购等主体提供融资服务。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五、保障体系</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楷体" w:cs="Times New Roman"/>
          <w:color w:val="auto"/>
          <w:kern w:val="0"/>
          <w:sz w:val="32"/>
          <w:szCs w:val="32"/>
          <w:lang w:val="en-US" w:eastAsia="zh-CN" w:bidi="ar-SA"/>
        </w:rPr>
        <w:t>（一）加强组织领导。</w:t>
      </w:r>
      <w:r>
        <w:rPr>
          <w:rFonts w:hint="default" w:ascii="仿宋_GB2312" w:hAnsi="仿宋_GB2312" w:eastAsia="仿宋_GB2312" w:cs="仿宋_GB2312"/>
          <w:color w:val="auto"/>
          <w:kern w:val="2"/>
          <w:sz w:val="32"/>
          <w:szCs w:val="32"/>
          <w:lang w:val="en-US" w:eastAsia="zh-CN" w:bidi="ar-SA"/>
        </w:rPr>
        <w:t>各</w:t>
      </w:r>
      <w:r>
        <w:rPr>
          <w:rFonts w:hint="eastAsia" w:ascii="仿宋_GB2312" w:hAnsi="仿宋_GB2312" w:eastAsia="仿宋_GB2312" w:cs="仿宋_GB2312"/>
          <w:color w:val="auto"/>
          <w:kern w:val="2"/>
          <w:sz w:val="32"/>
          <w:szCs w:val="32"/>
          <w:lang w:val="en-US" w:eastAsia="zh-CN" w:bidi="ar-SA"/>
        </w:rPr>
        <w:t>乡镇街道（单位）</w:t>
      </w:r>
      <w:r>
        <w:rPr>
          <w:rFonts w:hint="default" w:ascii="仿宋_GB2312" w:hAnsi="仿宋_GB2312" w:eastAsia="仿宋_GB2312" w:cs="仿宋_GB2312"/>
          <w:color w:val="auto"/>
          <w:kern w:val="2"/>
          <w:sz w:val="32"/>
          <w:szCs w:val="32"/>
          <w:lang w:val="en-US" w:eastAsia="zh-CN" w:bidi="ar-SA"/>
        </w:rPr>
        <w:t>要</w:t>
      </w:r>
      <w:r>
        <w:rPr>
          <w:rFonts w:hint="eastAsia" w:ascii="仿宋_GB2312" w:hAnsi="仿宋_GB2312" w:eastAsia="仿宋_GB2312" w:cs="仿宋_GB2312"/>
          <w:color w:val="auto"/>
          <w:kern w:val="2"/>
          <w:sz w:val="32"/>
          <w:szCs w:val="32"/>
          <w:lang w:val="en-US" w:eastAsia="zh-CN" w:bidi="ar-SA"/>
        </w:rPr>
        <w:t>切实</w:t>
      </w:r>
      <w:r>
        <w:rPr>
          <w:rFonts w:hint="default" w:ascii="仿宋_GB2312" w:hAnsi="仿宋_GB2312" w:eastAsia="仿宋_GB2312" w:cs="仿宋_GB2312"/>
          <w:color w:val="auto"/>
          <w:kern w:val="2"/>
          <w:sz w:val="32"/>
          <w:szCs w:val="32"/>
          <w:lang w:val="en-US" w:eastAsia="zh-CN" w:bidi="ar-SA"/>
        </w:rPr>
        <w:t>加强组织领导，严格落实粮食安全党政同责，定期研究粮油生产保供工作，推动粮油产业高质量发展。要持续加大政策扶持力度，确保财政投入稳定增长，统筹抓好生产、流通、储备、产销协作和节粮减损等各项工作。</w:t>
      </w:r>
      <w:r>
        <w:rPr>
          <w:rFonts w:hint="default" w:ascii="Times New Roman" w:hAnsi="Times New Roman" w:eastAsia="仿宋_GB2312" w:cs="Times New Roman"/>
          <w:color w:val="auto"/>
          <w:kern w:val="0"/>
          <w:sz w:val="32"/>
          <w:szCs w:val="32"/>
        </w:rPr>
        <w:t>强化部门协同，农业农村、发改、财政、自然资源、供销等部门要各司其职，密切配合，全力抓好粮油生产保供工作。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宋体" w:eastAsia="仿宋_GB2312" w:cs="仿宋_GB2312"/>
          <w:color w:val="auto"/>
          <w:kern w:val="0"/>
          <w:sz w:val="31"/>
          <w:szCs w:val="31"/>
          <w:lang w:val="en-US" w:eastAsia="zh-CN" w:bidi="ar"/>
        </w:rPr>
      </w:pPr>
      <w:r>
        <w:rPr>
          <w:rFonts w:hint="eastAsia" w:ascii="Times New Roman" w:hAnsi="Times New Roman" w:eastAsia="楷体" w:cs="Times New Roman"/>
          <w:color w:val="auto"/>
          <w:kern w:val="0"/>
          <w:sz w:val="32"/>
          <w:szCs w:val="32"/>
          <w:lang w:val="en-US" w:eastAsia="zh-CN" w:bidi="ar-SA"/>
        </w:rPr>
        <w:t>（二）加强服务指导。</w:t>
      </w:r>
      <w:r>
        <w:rPr>
          <w:rFonts w:hint="eastAsia" w:ascii="仿宋_GB2312" w:hAnsi="宋体" w:eastAsia="仿宋_GB2312" w:cs="仿宋_GB2312"/>
          <w:color w:val="auto"/>
          <w:kern w:val="0"/>
          <w:sz w:val="31"/>
          <w:szCs w:val="31"/>
          <w:lang w:val="en-US" w:eastAsia="zh-CN" w:bidi="ar"/>
        </w:rPr>
        <w:t>落实负责人包片指导督促粮食生产工作制度。进一步完善在线服务和专线服务机制，广泛组织种粮农民培训，组织农技专家与种粮大户结对挂钩，不断提高农民科技意识和种粮技能。加强先进适用技术推广，扎实开展各类示范区、示范方建设，有效发挥辐射带动作用。强化农业防灾减灾，</w:t>
      </w:r>
      <w:r>
        <w:rPr>
          <w:rFonts w:hint="default" w:ascii="仿宋_GB2312" w:hAnsi="仿宋_GB2312" w:eastAsia="仿宋_GB2312" w:cs="仿宋_GB2312"/>
          <w:color w:val="auto"/>
          <w:kern w:val="2"/>
          <w:sz w:val="32"/>
          <w:szCs w:val="32"/>
          <w:lang w:val="en-US" w:eastAsia="zh-CN" w:bidi="ar-SA"/>
        </w:rPr>
        <w:t>要牢固树立防灾减灾意识，加强自然灾害和农作物病虫害的预警预报，完善防控预案和救援物资，健全科学减灾措施</w:t>
      </w:r>
      <w:r>
        <w:rPr>
          <w:rFonts w:hint="eastAsia" w:ascii="仿宋_GB2312" w:hAnsi="仿宋_GB2312" w:eastAsia="仿宋_GB2312" w:cs="仿宋_GB2312"/>
          <w:color w:val="auto"/>
          <w:kern w:val="2"/>
          <w:sz w:val="32"/>
          <w:szCs w:val="32"/>
          <w:lang w:val="en-US" w:eastAsia="zh-CN" w:bidi="ar-SA"/>
        </w:rPr>
        <w:t>，</w:t>
      </w:r>
      <w:r>
        <w:rPr>
          <w:rFonts w:hint="eastAsia" w:ascii="仿宋_GB2312" w:hAnsi="宋体" w:eastAsia="仿宋_GB2312" w:cs="仿宋_GB2312"/>
          <w:color w:val="auto"/>
          <w:kern w:val="0"/>
          <w:sz w:val="31"/>
          <w:szCs w:val="31"/>
          <w:lang w:val="en-US" w:eastAsia="zh-CN" w:bidi="ar"/>
        </w:rPr>
        <w:t>实现早预警、早应对，着力保障粮食生产安全。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宋体" w:eastAsia="仿宋_GB2312" w:cs="仿宋_GB2312"/>
          <w:color w:val="auto"/>
          <w:kern w:val="0"/>
          <w:sz w:val="31"/>
          <w:szCs w:val="31"/>
          <w:lang w:val="en-US" w:eastAsia="zh-CN" w:bidi="ar"/>
        </w:rPr>
      </w:pPr>
      <w:r>
        <w:rPr>
          <w:rFonts w:hint="eastAsia" w:ascii="Times New Roman" w:hAnsi="Times New Roman" w:eastAsia="楷体" w:cs="Times New Roman"/>
          <w:color w:val="auto"/>
          <w:kern w:val="0"/>
          <w:sz w:val="32"/>
          <w:szCs w:val="32"/>
          <w:lang w:val="en-US" w:eastAsia="zh-CN" w:bidi="ar-SA"/>
        </w:rPr>
        <w:t>（三）加强考核评价。</w:t>
      </w:r>
      <w:r>
        <w:rPr>
          <w:rFonts w:ascii="仿宋_GB2312" w:hAnsi="宋体" w:eastAsia="仿宋_GB2312" w:cs="仿宋_GB2312"/>
          <w:color w:val="auto"/>
          <w:kern w:val="0"/>
          <w:sz w:val="31"/>
          <w:szCs w:val="31"/>
          <w:lang w:val="en-US" w:eastAsia="zh-CN" w:bidi="ar"/>
        </w:rPr>
        <w:t>粮油生产保供工作作为粮食安全责任</w:t>
      </w:r>
      <w:r>
        <w:rPr>
          <w:rFonts w:hint="eastAsia" w:ascii="仿宋_GB2312" w:hAnsi="宋体" w:eastAsia="仿宋_GB2312" w:cs="仿宋_GB2312"/>
          <w:color w:val="auto"/>
          <w:kern w:val="0"/>
          <w:sz w:val="31"/>
          <w:szCs w:val="31"/>
          <w:lang w:val="en-US" w:eastAsia="zh-CN" w:bidi="ar"/>
        </w:rPr>
        <w:t>制考核的重要内容，纳入区委区政府的年度工作目标责任制考核、乡村振兴战略实绩考核和政府督查激励事项。要</w:t>
      </w:r>
      <w:r>
        <w:rPr>
          <w:rFonts w:hint="default" w:ascii="仿宋_GB2312" w:hAnsi="仿宋_GB2312" w:eastAsia="仿宋_GB2312" w:cs="仿宋_GB2312"/>
          <w:color w:val="auto"/>
          <w:kern w:val="2"/>
          <w:sz w:val="32"/>
          <w:szCs w:val="32"/>
          <w:lang w:val="en-US" w:eastAsia="zh-CN" w:bidi="ar-SA"/>
        </w:rPr>
        <w:t>逐级分解下达目标任务，建立台账清单，确保任务指标到镇、到村、到户、到田，落实督导、调度、通报、约谈机制。</w:t>
      </w:r>
      <w:r>
        <w:rPr>
          <w:rFonts w:hint="eastAsia" w:ascii="仿宋_GB2312" w:hAnsi="宋体" w:eastAsia="仿宋_GB2312" w:cs="仿宋_GB2312"/>
          <w:color w:val="auto"/>
          <w:kern w:val="0"/>
          <w:sz w:val="31"/>
          <w:szCs w:val="31"/>
          <w:lang w:val="en-US" w:eastAsia="zh-CN" w:bidi="ar"/>
        </w:rPr>
        <w:t>强化粮油生产保供监测评价，适时通报工作进展情况，将完成年度生产目标任务情况作为合格要求。严格工作考核，强化考核结果运用，对未完成年度生产任务的取消评优资格，形成争先创优的良好氛围。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本文件明确的政策措施</w:t>
      </w:r>
      <w:r>
        <w:rPr>
          <w:rFonts w:hint="eastAsia" w:ascii="Times New Roman" w:hAnsi="Times New Roman" w:eastAsia="仿宋_GB2312" w:cs="Times New Roman"/>
          <w:color w:val="auto"/>
          <w:sz w:val="32"/>
          <w:szCs w:val="32"/>
          <w:lang w:eastAsia="zh-CN"/>
        </w:rPr>
        <w:t>执行期限为</w:t>
      </w:r>
      <w:r>
        <w:rPr>
          <w:rFonts w:hint="eastAsia" w:ascii="Times New Roman" w:hAnsi="Times New Roman" w:eastAsia="仿宋_GB2312" w:cs="Times New Roman"/>
          <w:color w:val="auto"/>
          <w:sz w:val="32"/>
          <w:szCs w:val="32"/>
          <w:lang w:val="en-US" w:eastAsia="zh-CN"/>
        </w:rPr>
        <w:t>2024年1月1日起</w:t>
      </w:r>
      <w:r>
        <w:rPr>
          <w:rFonts w:hint="default" w:ascii="Times New Roman" w:hAnsi="Times New Roman" w:eastAsia="仿宋_GB2312" w:cs="Times New Roman"/>
          <w:color w:val="auto"/>
          <w:sz w:val="32"/>
          <w:szCs w:val="32"/>
        </w:rPr>
        <w:t>至2024年12月31日。</w:t>
      </w:r>
      <w:r>
        <w:rPr>
          <w:rFonts w:hint="eastAsia" w:ascii="Times New Roman" w:hAnsi="Times New Roman" w:eastAsia="仿宋_GB2312" w:cs="Times New Roman"/>
          <w:color w:val="auto"/>
          <w:sz w:val="32"/>
          <w:szCs w:val="32"/>
          <w:lang w:eastAsia="zh-CN"/>
        </w:rPr>
        <w:t>虞区农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85 号文件即行废止。</w:t>
      </w:r>
      <w:r>
        <w:rPr>
          <w:rFonts w:hint="default" w:ascii="Times New Roman" w:hAnsi="Times New Roman" w:eastAsia="仿宋_GB2312" w:cs="Times New Roman"/>
          <w:color w:val="auto"/>
          <w:sz w:val="32"/>
          <w:szCs w:val="32"/>
        </w:rPr>
        <w:t>具体政策措施已明确执行期限的，从其规定；国家、省</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有其他相关支持政策措施的，遵照执行。</w:t>
      </w:r>
    </w:p>
    <w:p>
      <w:pPr>
        <w:pStyle w:val="8"/>
        <w:keepNext w:val="0"/>
        <w:keepLines w:val="0"/>
        <w:pageBreakBefore w:val="0"/>
        <w:kinsoku/>
        <w:wordWrap/>
        <w:overflowPunct/>
        <w:topLinePunct w:val="0"/>
        <w:bidi w:val="0"/>
        <w:adjustRightInd/>
        <w:snapToGrid/>
        <w:spacing w:line="560" w:lineRule="exact"/>
        <w:ind w:left="420" w:leftChars="0"/>
        <w:textAlignment w:val="auto"/>
        <w:rPr>
          <w:color w:val="auto"/>
        </w:rPr>
      </w:pPr>
    </w:p>
    <w:p>
      <w:pPr>
        <w:pStyle w:val="10"/>
        <w:keepNext w:val="0"/>
        <w:keepLines w:val="0"/>
        <w:pageBreakBefore w:val="0"/>
        <w:widowControl w:val="0"/>
        <w:kinsoku/>
        <w:wordWrap/>
        <w:overflowPunct/>
        <w:topLinePunct w:val="0"/>
        <w:bidi w:val="0"/>
        <w:adjustRightInd/>
        <w:snapToGrid/>
        <w:spacing w:after="0" w:line="540" w:lineRule="exact"/>
        <w:ind w:left="0" w:leftChars="0" w:firstLine="640"/>
        <w:textAlignment w:val="auto"/>
        <w:rPr>
          <w:rFonts w:hint="default"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bidi w:val="0"/>
        <w:adjustRightInd/>
        <w:snapToGrid/>
        <w:spacing w:after="0" w:line="540" w:lineRule="exact"/>
        <w:ind w:left="0" w:leftChars="0" w:firstLine="640"/>
        <w:textAlignment w:val="auto"/>
        <w:rPr>
          <w:rFonts w:hint="default"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bidi w:val="0"/>
        <w:adjustRightInd/>
        <w:snapToGrid/>
        <w:spacing w:after="0" w:line="540" w:lineRule="exact"/>
        <w:ind w:left="0" w:lef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附件：1.2024年粮食面积和产量任务；</w:t>
      </w:r>
    </w:p>
    <w:p>
      <w:pPr>
        <w:pStyle w:val="10"/>
        <w:keepNext w:val="0"/>
        <w:keepLines w:val="0"/>
        <w:pageBreakBefore w:val="0"/>
        <w:widowControl w:val="0"/>
        <w:kinsoku/>
        <w:wordWrap/>
        <w:overflowPunct/>
        <w:topLinePunct w:val="0"/>
        <w:bidi w:val="0"/>
        <w:adjustRightInd/>
        <w:snapToGrid/>
        <w:spacing w:after="0" w:line="540" w:lineRule="exact"/>
        <w:ind w:left="0" w:leftChars="0"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2.2024年油料面积和产量任务；</w:t>
      </w:r>
    </w:p>
    <w:p>
      <w:pPr>
        <w:pStyle w:val="10"/>
        <w:keepNext w:val="0"/>
        <w:keepLines w:val="0"/>
        <w:pageBreakBefore w:val="0"/>
        <w:widowControl w:val="0"/>
        <w:kinsoku/>
        <w:wordWrap/>
        <w:overflowPunct/>
        <w:topLinePunct w:val="0"/>
        <w:bidi w:val="0"/>
        <w:adjustRightInd/>
        <w:snapToGrid/>
        <w:spacing w:after="0" w:line="540" w:lineRule="exact"/>
        <w:ind w:left="0" w:leftChars="0"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3.2024年油茶面积和产量任务；</w:t>
      </w:r>
    </w:p>
    <w:p>
      <w:pPr>
        <w:pStyle w:val="10"/>
        <w:keepNext w:val="0"/>
        <w:keepLines w:val="0"/>
        <w:pageBreakBefore w:val="0"/>
        <w:widowControl w:val="0"/>
        <w:kinsoku/>
        <w:wordWrap/>
        <w:overflowPunct/>
        <w:topLinePunct w:val="0"/>
        <w:bidi w:val="0"/>
        <w:adjustRightInd/>
        <w:snapToGrid/>
        <w:spacing w:after="0" w:line="540" w:lineRule="exact"/>
        <w:ind w:left="0" w:leftChars="0"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4.2024年农资应急储备指标</w:t>
      </w:r>
      <w:r>
        <w:rPr>
          <w:rFonts w:hint="eastAsia" w:ascii="Times New Roman" w:hAnsi="Times New Roman" w:eastAsia="仿宋_GB2312" w:cs="Times New Roman"/>
          <w:color w:val="auto"/>
          <w:sz w:val="32"/>
          <w:szCs w:val="32"/>
          <w:lang w:eastAsia="zh-CN"/>
        </w:rPr>
        <w:t>任务</w:t>
      </w:r>
      <w:r>
        <w:rPr>
          <w:rFonts w:hint="default" w:ascii="Times New Roman" w:hAnsi="Times New Roman" w:eastAsia="仿宋_GB2312" w:cs="Times New Roman"/>
          <w:color w:val="auto"/>
          <w:sz w:val="32"/>
          <w:szCs w:val="32"/>
        </w:rPr>
        <w:t>。</w:t>
      </w:r>
    </w:p>
    <w:p>
      <w:pPr>
        <w:pStyle w:val="10"/>
        <w:keepNext w:val="0"/>
        <w:keepLines w:val="0"/>
        <w:pageBreakBefore w:val="0"/>
        <w:widowControl w:val="0"/>
        <w:kinsoku/>
        <w:wordWrap/>
        <w:overflowPunct/>
        <w:topLinePunct w:val="0"/>
        <w:bidi w:val="0"/>
        <w:adjustRightInd/>
        <w:snapToGrid/>
        <w:spacing w:after="0" w:line="540" w:lineRule="exact"/>
        <w:ind w:left="0" w:leftChars="0" w:firstLine="1600" w:firstLineChars="500"/>
        <w:textAlignment w:val="auto"/>
        <w:rPr>
          <w:rFonts w:hint="default" w:ascii="Times New Roman" w:hAnsi="Times New Roman" w:eastAsia="仿宋_GB2312" w:cs="Times New Roman"/>
          <w:color w:val="auto"/>
          <w:sz w:val="32"/>
          <w:szCs w:val="32"/>
        </w:rPr>
      </w:pPr>
    </w:p>
    <w:p>
      <w:pPr>
        <w:keepNext w:val="0"/>
        <w:keepLines w:val="0"/>
        <w:widowControl/>
        <w:suppressLineNumbers w:val="0"/>
        <w:jc w:val="left"/>
        <w:rPr>
          <w:rFonts w:ascii="仿宋_GB2312" w:hAnsi="宋体" w:eastAsia="仿宋_GB2312" w:cs="仿宋_GB2312"/>
          <w:color w:val="auto"/>
          <w:kern w:val="0"/>
          <w:sz w:val="31"/>
          <w:szCs w:val="31"/>
          <w:lang w:val="en-US" w:eastAsia="zh-CN" w:bidi="ar"/>
        </w:rPr>
      </w:pPr>
    </w:p>
    <w:p>
      <w:pPr>
        <w:pStyle w:val="8"/>
        <w:rPr>
          <w:rFonts w:ascii="仿宋_GB2312" w:hAnsi="宋体" w:eastAsia="仿宋_GB2312" w:cs="仿宋_GB2312"/>
          <w:color w:val="auto"/>
          <w:kern w:val="0"/>
          <w:sz w:val="31"/>
          <w:szCs w:val="31"/>
          <w:lang w:val="en-US" w:eastAsia="zh-CN" w:bidi="ar"/>
        </w:rPr>
      </w:pPr>
    </w:p>
    <w:p>
      <w:pPr>
        <w:rPr>
          <w:rFonts w:ascii="仿宋_GB2312" w:hAnsi="宋体" w:eastAsia="仿宋_GB2312" w:cs="仿宋_GB2312"/>
          <w:color w:val="auto"/>
          <w:kern w:val="0"/>
          <w:sz w:val="31"/>
          <w:szCs w:val="31"/>
          <w:lang w:val="en-US" w:eastAsia="zh-CN" w:bidi="ar"/>
        </w:rPr>
      </w:pPr>
    </w:p>
    <w:p>
      <w:pPr>
        <w:pStyle w:val="8"/>
        <w:rPr>
          <w:color w:val="auto"/>
          <w:lang w:val="en-US" w:eastAsia="zh-CN"/>
        </w:rPr>
      </w:pPr>
    </w:p>
    <w:p>
      <w:pPr>
        <w:keepNext w:val="0"/>
        <w:keepLines w:val="0"/>
        <w:widowControl/>
        <w:suppressLineNumbers w:val="0"/>
        <w:jc w:val="left"/>
        <w:rPr>
          <w:rFonts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ascii="仿宋_GB2312" w:hAnsi="宋体" w:eastAsia="仿宋_GB2312" w:cs="仿宋_GB2312"/>
          <w:color w:val="auto"/>
          <w:kern w:val="0"/>
          <w:sz w:val="31"/>
          <w:szCs w:val="31"/>
          <w:lang w:val="en-US" w:eastAsia="zh-CN" w:bidi="ar"/>
        </w:rPr>
      </w:pPr>
    </w:p>
    <w:p>
      <w:pPr>
        <w:pStyle w:val="2"/>
        <w:rPr>
          <w:rFonts w:hint="default" w:ascii="仿宋_GB2312" w:hAnsi="宋体" w:eastAsia="仿宋_GB2312" w:cs="仿宋_GB2312"/>
          <w:color w:val="auto"/>
          <w:kern w:val="0"/>
          <w:sz w:val="31"/>
          <w:szCs w:val="31"/>
          <w:lang w:val="en-US" w:eastAsia="zh-CN" w:bidi="ar"/>
        </w:rPr>
      </w:pPr>
    </w:p>
    <w:p>
      <w:pPr>
        <w:pStyle w:val="3"/>
        <w:rPr>
          <w:rFonts w:ascii="仿宋_GB2312" w:hAnsi="宋体" w:eastAsia="仿宋_GB2312" w:cs="仿宋_GB2312"/>
          <w:color w:val="auto"/>
          <w:kern w:val="0"/>
          <w:sz w:val="31"/>
          <w:szCs w:val="31"/>
          <w:lang w:val="en-US" w:eastAsia="zh-CN" w:bidi="ar"/>
        </w:rPr>
      </w:pPr>
    </w:p>
    <w:p>
      <w:pPr>
        <w:pStyle w:val="2"/>
        <w:rPr>
          <w:rFonts w:ascii="仿宋_GB2312" w:hAnsi="宋体" w:eastAsia="仿宋_GB2312" w:cs="仿宋_GB2312"/>
          <w:color w:val="auto"/>
          <w:kern w:val="0"/>
          <w:sz w:val="31"/>
          <w:szCs w:val="31"/>
          <w:lang w:val="en-US" w:eastAsia="zh-CN" w:bidi="ar"/>
        </w:rPr>
      </w:pPr>
    </w:p>
    <w:p>
      <w:pPr>
        <w:pStyle w:val="3"/>
        <w:rPr>
          <w:color w:val="auto"/>
          <w:lang w:val="en-US" w:eastAsia="zh-CN"/>
        </w:rPr>
      </w:pPr>
    </w:p>
    <w:p>
      <w:pPr>
        <w:keepNext w:val="0"/>
        <w:keepLines w:val="0"/>
        <w:widowControl/>
        <w:suppressLineNumbers w:val="0"/>
        <w:jc w:val="left"/>
        <w:rPr>
          <w:color w:val="auto"/>
        </w:rPr>
      </w:pPr>
      <w:r>
        <w:rPr>
          <w:rFonts w:ascii="仿宋_GB2312" w:hAnsi="宋体" w:eastAsia="仿宋_GB2312" w:cs="仿宋_GB2312"/>
          <w:color w:val="auto"/>
          <w:kern w:val="0"/>
          <w:sz w:val="31"/>
          <w:szCs w:val="31"/>
          <w:lang w:val="en-US" w:eastAsia="zh-CN" w:bidi="ar"/>
        </w:rPr>
        <w:t xml:space="preserve">绍兴市上虞区农业农村局 </w:t>
      </w:r>
      <w:r>
        <w:rPr>
          <w:rFonts w:hint="eastAsia" w:ascii="仿宋_GB2312" w:hAnsi="宋体" w:eastAsia="仿宋_GB2312" w:cs="仿宋_GB2312"/>
          <w:color w:val="auto"/>
          <w:kern w:val="0"/>
          <w:sz w:val="31"/>
          <w:szCs w:val="31"/>
          <w:lang w:val="en-US" w:eastAsia="zh-CN" w:bidi="ar"/>
        </w:rPr>
        <w:t xml:space="preserve">      绍兴市上虞区发展和改革局 </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绍兴市上虞区财政局     绍兴市自然资源和规划局上虞分局 </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p>
    <w:p>
      <w:pPr>
        <w:keepNext w:val="0"/>
        <w:keepLines w:val="0"/>
        <w:widowControl/>
        <w:suppressLineNumbers w:val="0"/>
        <w:ind w:firstLine="4340" w:firstLineChars="1400"/>
        <w:jc w:val="left"/>
        <w:rPr>
          <w:color w:val="auto"/>
        </w:rPr>
      </w:pPr>
      <w:r>
        <w:rPr>
          <w:rFonts w:hint="eastAsia" w:ascii="仿宋_GB2312" w:hAnsi="宋体" w:eastAsia="仿宋_GB2312" w:cs="仿宋_GB2312"/>
          <w:color w:val="auto"/>
          <w:kern w:val="0"/>
          <w:sz w:val="31"/>
          <w:szCs w:val="31"/>
          <w:lang w:val="en-US" w:eastAsia="zh-CN" w:bidi="ar"/>
        </w:rPr>
        <w:t xml:space="preserve">绍兴市上虞区供销合作总社 </w:t>
      </w:r>
    </w:p>
    <w:p>
      <w:pPr>
        <w:keepNext w:val="0"/>
        <w:keepLines w:val="0"/>
        <w:widowControl/>
        <w:suppressLineNumbers w:val="0"/>
        <w:ind w:firstLine="5270" w:firstLineChars="1700"/>
        <w:jc w:val="left"/>
        <w:rPr>
          <w:color w:val="auto"/>
        </w:rPr>
      </w:pPr>
      <w:r>
        <w:rPr>
          <w:rFonts w:hint="eastAsia" w:ascii="仿宋_GB2312" w:hAnsi="宋体" w:eastAsia="仿宋_GB2312" w:cs="仿宋_GB2312"/>
          <w:color w:val="auto"/>
          <w:kern w:val="0"/>
          <w:sz w:val="31"/>
          <w:szCs w:val="31"/>
          <w:lang w:val="en-US" w:eastAsia="zh-CN" w:bidi="ar"/>
        </w:rPr>
        <w:t xml:space="preserve">2024年  月  日 </w:t>
      </w: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eastAsia" w:ascii="宋体" w:hAnsi="宋体" w:eastAsia="宋体" w:cs="宋体"/>
          <w:color w:val="auto"/>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eastAsia" w:ascii="宋体" w:hAnsi="宋体" w:eastAsia="宋体" w:cs="宋体"/>
          <w:color w:val="auto"/>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eastAsia" w:ascii="宋体" w:hAnsi="宋体" w:eastAsia="宋体" w:cs="宋体"/>
          <w:color w:val="auto"/>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1</w:t>
      </w:r>
    </w:p>
    <w:p>
      <w:pPr>
        <w:pStyle w:val="4"/>
        <w:keepNext w:val="0"/>
        <w:keepLines w:val="0"/>
        <w:pageBreakBefore w:val="0"/>
        <w:widowControl w:val="0"/>
        <w:kinsoku/>
        <w:wordWrap/>
        <w:overflowPunct/>
        <w:topLinePunct w:val="0"/>
        <w:autoSpaceDE/>
        <w:autoSpaceDN/>
        <w:bidi w:val="0"/>
        <w:adjustRightInd/>
        <w:snapToGrid/>
        <w:spacing w:before="0"/>
        <w:ind w:left="0" w:right="0"/>
        <w:jc w:val="center"/>
        <w:textAlignment w:val="auto"/>
        <w:rPr>
          <w:rFonts w:hint="eastAsia" w:eastAsia="仿宋"/>
          <w:color w:val="auto"/>
          <w:lang w:eastAsia="zh-CN"/>
        </w:rPr>
      </w:pPr>
      <w:r>
        <w:rPr>
          <w:color w:val="auto"/>
        </w:rPr>
        <w:t>202</w:t>
      </w:r>
      <w:r>
        <w:rPr>
          <w:rFonts w:hint="eastAsia"/>
          <w:color w:val="auto"/>
          <w:lang w:val="en-US" w:eastAsia="zh-CN"/>
        </w:rPr>
        <w:t>4</w:t>
      </w:r>
      <w:r>
        <w:rPr>
          <w:color w:val="auto"/>
        </w:rPr>
        <w:t>年粮食面积和产量</w:t>
      </w:r>
      <w:r>
        <w:rPr>
          <w:rFonts w:hint="eastAsia"/>
          <w:color w:val="auto"/>
          <w:lang w:eastAsia="zh-CN"/>
        </w:rPr>
        <w:t>任务</w:t>
      </w:r>
    </w:p>
    <w:p>
      <w:pPr>
        <w:pStyle w:val="5"/>
        <w:spacing w:before="200" w:after="37" w:line="240" w:lineRule="auto"/>
        <w:ind w:left="0" w:right="471"/>
        <w:jc w:val="right"/>
        <w:rPr>
          <w:rFonts w:hint="eastAsia" w:ascii="仿宋" w:eastAsia="仿宋"/>
          <w:color w:val="auto"/>
        </w:rPr>
      </w:pPr>
      <w:r>
        <w:rPr>
          <w:rFonts w:hint="eastAsia" w:ascii="仿宋" w:eastAsia="仿宋"/>
          <w:color w:val="auto"/>
        </w:rPr>
        <w:t>单位：万亩、万吨</w:t>
      </w:r>
    </w:p>
    <w:tbl>
      <w:tblPr>
        <w:tblStyle w:val="11"/>
        <w:tblW w:w="93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696"/>
        <w:gridCol w:w="638"/>
        <w:gridCol w:w="659"/>
        <w:gridCol w:w="691"/>
        <w:gridCol w:w="630"/>
        <w:gridCol w:w="653"/>
        <w:gridCol w:w="642"/>
        <w:gridCol w:w="668"/>
        <w:gridCol w:w="630"/>
        <w:gridCol w:w="704"/>
        <w:gridCol w:w="73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075" w:type="dxa"/>
            <w:vMerge w:val="restart"/>
            <w:vAlign w:val="top"/>
          </w:tcPr>
          <w:p>
            <w:pPr>
              <w:pStyle w:val="14"/>
              <w:spacing w:before="0"/>
              <w:jc w:val="left"/>
              <w:rPr>
                <w:rFonts w:ascii="Times New Roman"/>
                <w:color w:val="auto"/>
                <w:sz w:val="24"/>
              </w:rPr>
            </w:pPr>
          </w:p>
        </w:tc>
        <w:tc>
          <w:tcPr>
            <w:tcW w:w="1334" w:type="dxa"/>
            <w:gridSpan w:val="2"/>
            <w:vAlign w:val="top"/>
          </w:tcPr>
          <w:p>
            <w:pPr>
              <w:pStyle w:val="14"/>
              <w:spacing w:before="39"/>
              <w:ind w:left="427"/>
              <w:jc w:val="left"/>
              <w:rPr>
                <w:color w:val="auto"/>
                <w:sz w:val="24"/>
              </w:rPr>
            </w:pPr>
            <w:r>
              <w:rPr>
                <w:color w:val="auto"/>
                <w:sz w:val="24"/>
              </w:rPr>
              <w:t>粮食</w:t>
            </w:r>
          </w:p>
        </w:tc>
        <w:tc>
          <w:tcPr>
            <w:tcW w:w="1350" w:type="dxa"/>
            <w:gridSpan w:val="2"/>
            <w:vAlign w:val="top"/>
          </w:tcPr>
          <w:p>
            <w:pPr>
              <w:pStyle w:val="14"/>
              <w:spacing w:before="39"/>
              <w:ind w:left="75"/>
              <w:jc w:val="left"/>
              <w:rPr>
                <w:color w:val="auto"/>
                <w:sz w:val="24"/>
              </w:rPr>
            </w:pPr>
            <w:r>
              <w:rPr>
                <w:color w:val="auto"/>
                <w:sz w:val="24"/>
              </w:rPr>
              <w:t>其中：早稻</w:t>
            </w:r>
          </w:p>
        </w:tc>
        <w:tc>
          <w:tcPr>
            <w:tcW w:w="1283" w:type="dxa"/>
            <w:gridSpan w:val="2"/>
            <w:vAlign w:val="top"/>
          </w:tcPr>
          <w:p>
            <w:pPr>
              <w:pStyle w:val="14"/>
              <w:spacing w:before="39"/>
              <w:ind w:left="400"/>
              <w:jc w:val="left"/>
              <w:rPr>
                <w:color w:val="auto"/>
                <w:sz w:val="24"/>
              </w:rPr>
            </w:pPr>
            <w:r>
              <w:rPr>
                <w:color w:val="auto"/>
                <w:sz w:val="24"/>
              </w:rPr>
              <w:t>晚稻</w:t>
            </w:r>
          </w:p>
        </w:tc>
        <w:tc>
          <w:tcPr>
            <w:tcW w:w="1310" w:type="dxa"/>
            <w:gridSpan w:val="2"/>
            <w:vAlign w:val="top"/>
          </w:tcPr>
          <w:p>
            <w:pPr>
              <w:pStyle w:val="14"/>
              <w:spacing w:before="39"/>
              <w:ind w:left="413"/>
              <w:jc w:val="left"/>
              <w:rPr>
                <w:color w:val="auto"/>
                <w:sz w:val="24"/>
              </w:rPr>
            </w:pPr>
            <w:r>
              <w:rPr>
                <w:color w:val="auto"/>
                <w:sz w:val="24"/>
              </w:rPr>
              <w:t>小麦</w:t>
            </w:r>
          </w:p>
        </w:tc>
        <w:tc>
          <w:tcPr>
            <w:tcW w:w="3030" w:type="dxa"/>
            <w:gridSpan w:val="4"/>
            <w:vAlign w:val="top"/>
          </w:tcPr>
          <w:p>
            <w:pPr>
              <w:pStyle w:val="14"/>
              <w:spacing w:before="39"/>
              <w:ind w:left="1135" w:right="1124"/>
              <w:rPr>
                <w:color w:val="auto"/>
                <w:sz w:val="24"/>
              </w:rPr>
            </w:pPr>
            <w:r>
              <w:rPr>
                <w:color w:val="auto"/>
                <w:sz w:val="24"/>
              </w:rPr>
              <w:t>旱杂粮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075" w:type="dxa"/>
            <w:vMerge w:val="continue"/>
            <w:tcBorders>
              <w:top w:val="nil"/>
            </w:tcBorders>
            <w:vAlign w:val="top"/>
          </w:tcPr>
          <w:p>
            <w:pPr>
              <w:rPr>
                <w:color w:val="auto"/>
                <w:sz w:val="2"/>
                <w:szCs w:val="2"/>
              </w:rPr>
            </w:pPr>
          </w:p>
        </w:tc>
        <w:tc>
          <w:tcPr>
            <w:tcW w:w="696" w:type="dxa"/>
            <w:vAlign w:val="top"/>
          </w:tcPr>
          <w:p>
            <w:pPr>
              <w:pStyle w:val="14"/>
              <w:spacing w:before="178"/>
              <w:ind w:left="27" w:right="16"/>
              <w:rPr>
                <w:color w:val="auto"/>
                <w:sz w:val="24"/>
              </w:rPr>
            </w:pPr>
            <w:r>
              <w:rPr>
                <w:color w:val="auto"/>
                <w:sz w:val="24"/>
              </w:rPr>
              <w:t>面积</w:t>
            </w:r>
          </w:p>
        </w:tc>
        <w:tc>
          <w:tcPr>
            <w:tcW w:w="638" w:type="dxa"/>
            <w:vAlign w:val="top"/>
          </w:tcPr>
          <w:p>
            <w:pPr>
              <w:pStyle w:val="14"/>
              <w:spacing w:before="178"/>
              <w:ind w:right="66"/>
              <w:jc w:val="right"/>
              <w:rPr>
                <w:color w:val="auto"/>
                <w:sz w:val="24"/>
              </w:rPr>
            </w:pPr>
            <w:r>
              <w:rPr>
                <w:color w:val="auto"/>
                <w:sz w:val="24"/>
              </w:rPr>
              <w:t>产量</w:t>
            </w:r>
          </w:p>
        </w:tc>
        <w:tc>
          <w:tcPr>
            <w:tcW w:w="659" w:type="dxa"/>
            <w:vAlign w:val="top"/>
          </w:tcPr>
          <w:p>
            <w:pPr>
              <w:pStyle w:val="14"/>
              <w:spacing w:before="178"/>
              <w:ind w:left="89"/>
              <w:jc w:val="left"/>
              <w:rPr>
                <w:color w:val="auto"/>
                <w:sz w:val="24"/>
              </w:rPr>
            </w:pPr>
            <w:r>
              <w:rPr>
                <w:color w:val="auto"/>
                <w:sz w:val="24"/>
              </w:rPr>
              <w:t>面积</w:t>
            </w:r>
          </w:p>
        </w:tc>
        <w:tc>
          <w:tcPr>
            <w:tcW w:w="691" w:type="dxa"/>
            <w:vAlign w:val="top"/>
          </w:tcPr>
          <w:p>
            <w:pPr>
              <w:pStyle w:val="14"/>
              <w:spacing w:before="178"/>
              <w:ind w:right="93"/>
              <w:jc w:val="right"/>
              <w:rPr>
                <w:color w:val="auto"/>
                <w:sz w:val="24"/>
              </w:rPr>
            </w:pPr>
            <w:r>
              <w:rPr>
                <w:color w:val="auto"/>
                <w:sz w:val="24"/>
              </w:rPr>
              <w:t>产量</w:t>
            </w:r>
          </w:p>
        </w:tc>
        <w:tc>
          <w:tcPr>
            <w:tcW w:w="630" w:type="dxa"/>
            <w:vAlign w:val="top"/>
          </w:tcPr>
          <w:p>
            <w:pPr>
              <w:pStyle w:val="14"/>
              <w:spacing w:before="178"/>
              <w:ind w:left="8"/>
              <w:rPr>
                <w:color w:val="auto"/>
                <w:sz w:val="24"/>
              </w:rPr>
            </w:pPr>
            <w:r>
              <w:rPr>
                <w:color w:val="auto"/>
                <w:sz w:val="24"/>
              </w:rPr>
              <w:t>面积</w:t>
            </w:r>
          </w:p>
        </w:tc>
        <w:tc>
          <w:tcPr>
            <w:tcW w:w="653" w:type="dxa"/>
            <w:vAlign w:val="top"/>
          </w:tcPr>
          <w:p>
            <w:pPr>
              <w:pStyle w:val="14"/>
              <w:spacing w:before="178"/>
              <w:ind w:left="6"/>
              <w:rPr>
                <w:color w:val="auto"/>
                <w:sz w:val="24"/>
              </w:rPr>
            </w:pPr>
            <w:r>
              <w:rPr>
                <w:color w:val="auto"/>
                <w:sz w:val="24"/>
              </w:rPr>
              <w:t>产量</w:t>
            </w:r>
          </w:p>
        </w:tc>
        <w:tc>
          <w:tcPr>
            <w:tcW w:w="642" w:type="dxa"/>
            <w:vAlign w:val="top"/>
          </w:tcPr>
          <w:p>
            <w:pPr>
              <w:pStyle w:val="14"/>
              <w:spacing w:before="178"/>
              <w:ind w:left="58" w:right="51"/>
              <w:rPr>
                <w:color w:val="auto"/>
                <w:sz w:val="24"/>
              </w:rPr>
            </w:pPr>
            <w:r>
              <w:rPr>
                <w:color w:val="auto"/>
                <w:sz w:val="24"/>
              </w:rPr>
              <w:t>面积</w:t>
            </w:r>
          </w:p>
        </w:tc>
        <w:tc>
          <w:tcPr>
            <w:tcW w:w="668" w:type="dxa"/>
            <w:vAlign w:val="top"/>
          </w:tcPr>
          <w:p>
            <w:pPr>
              <w:pStyle w:val="14"/>
              <w:spacing w:before="178"/>
              <w:ind w:right="82"/>
              <w:jc w:val="right"/>
              <w:rPr>
                <w:color w:val="auto"/>
                <w:sz w:val="24"/>
              </w:rPr>
            </w:pPr>
            <w:r>
              <w:rPr>
                <w:color w:val="auto"/>
                <w:sz w:val="24"/>
              </w:rPr>
              <w:t>产量</w:t>
            </w:r>
          </w:p>
        </w:tc>
        <w:tc>
          <w:tcPr>
            <w:tcW w:w="630" w:type="dxa"/>
            <w:vAlign w:val="top"/>
          </w:tcPr>
          <w:p>
            <w:pPr>
              <w:pStyle w:val="14"/>
              <w:spacing w:before="178"/>
              <w:ind w:left="11"/>
              <w:rPr>
                <w:color w:val="auto"/>
                <w:sz w:val="24"/>
              </w:rPr>
            </w:pPr>
            <w:r>
              <w:rPr>
                <w:color w:val="auto"/>
                <w:sz w:val="24"/>
              </w:rPr>
              <w:t>面积</w:t>
            </w:r>
          </w:p>
        </w:tc>
        <w:tc>
          <w:tcPr>
            <w:tcW w:w="704" w:type="dxa"/>
            <w:vAlign w:val="top"/>
          </w:tcPr>
          <w:p>
            <w:pPr>
              <w:pStyle w:val="14"/>
              <w:spacing w:before="178"/>
              <w:ind w:right="99"/>
              <w:jc w:val="right"/>
              <w:rPr>
                <w:color w:val="auto"/>
                <w:sz w:val="24"/>
              </w:rPr>
            </w:pPr>
            <w:r>
              <w:rPr>
                <w:color w:val="auto"/>
                <w:sz w:val="24"/>
              </w:rPr>
              <w:t>产量</w:t>
            </w:r>
          </w:p>
        </w:tc>
        <w:tc>
          <w:tcPr>
            <w:tcW w:w="738" w:type="dxa"/>
            <w:vAlign w:val="top"/>
          </w:tcPr>
          <w:p>
            <w:pPr>
              <w:pStyle w:val="14"/>
              <w:spacing w:before="18" w:line="310" w:lineRule="atLeast"/>
              <w:ind w:left="128" w:right="-15" w:hanging="116"/>
              <w:jc w:val="left"/>
              <w:rPr>
                <w:color w:val="auto"/>
                <w:sz w:val="24"/>
              </w:rPr>
            </w:pPr>
            <w:r>
              <w:rPr>
                <w:color w:val="auto"/>
                <w:sz w:val="24"/>
              </w:rPr>
              <w:t>其中： 大豆</w:t>
            </w:r>
          </w:p>
        </w:tc>
        <w:tc>
          <w:tcPr>
            <w:tcW w:w="958" w:type="dxa"/>
            <w:vAlign w:val="top"/>
          </w:tcPr>
          <w:p>
            <w:pPr>
              <w:pStyle w:val="14"/>
              <w:spacing w:before="18" w:line="310" w:lineRule="atLeast"/>
              <w:ind w:left="117" w:right="2" w:hanging="104"/>
              <w:jc w:val="left"/>
              <w:rPr>
                <w:color w:val="auto"/>
                <w:sz w:val="24"/>
              </w:rPr>
            </w:pPr>
            <w:r>
              <w:rPr>
                <w:color w:val="auto"/>
                <w:spacing w:val="-12"/>
                <w:sz w:val="24"/>
              </w:rPr>
              <w:t>其中：大</w:t>
            </w:r>
            <w:r>
              <w:rPr>
                <w:color w:val="auto"/>
                <w:sz w:val="24"/>
              </w:rPr>
              <w:t>豆产量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spacing w:before="47"/>
              <w:ind w:left="35" w:right="29"/>
              <w:rPr>
                <w:rFonts w:hint="eastAsia" w:ascii="仿宋_GB2312" w:eastAsia="仿宋_GB2312"/>
                <w:color w:val="auto"/>
                <w:sz w:val="24"/>
              </w:rPr>
            </w:pPr>
            <w:r>
              <w:rPr>
                <w:rFonts w:hint="eastAsia" w:ascii="仿宋_GB2312" w:eastAsia="仿宋_GB2312"/>
                <w:color w:val="auto"/>
                <w:sz w:val="24"/>
              </w:rPr>
              <w:t>全区</w:t>
            </w:r>
          </w:p>
        </w:tc>
        <w:tc>
          <w:tcPr>
            <w:tcW w:w="696" w:type="dxa"/>
            <w:vAlign w:val="top"/>
          </w:tcPr>
          <w:p>
            <w:pPr>
              <w:pStyle w:val="14"/>
              <w:spacing w:before="47"/>
              <w:ind w:left="27" w:leftChars="0" w:right="19" w:rightChars="0"/>
              <w:rPr>
                <w:color w:val="auto"/>
                <w:sz w:val="24"/>
              </w:rPr>
            </w:pPr>
            <w:r>
              <w:rPr>
                <w:color w:val="auto"/>
                <w:sz w:val="24"/>
              </w:rPr>
              <w:t>47.99</w:t>
            </w:r>
          </w:p>
        </w:tc>
        <w:tc>
          <w:tcPr>
            <w:tcW w:w="638" w:type="dxa"/>
            <w:vAlign w:val="top"/>
          </w:tcPr>
          <w:p>
            <w:pPr>
              <w:pStyle w:val="14"/>
              <w:spacing w:before="47"/>
              <w:ind w:right="8" w:rightChars="0"/>
              <w:jc w:val="right"/>
              <w:rPr>
                <w:color w:val="auto"/>
                <w:sz w:val="24"/>
              </w:rPr>
            </w:pPr>
            <w:r>
              <w:rPr>
                <w:color w:val="auto"/>
                <w:sz w:val="24"/>
              </w:rPr>
              <w:t>20.0</w:t>
            </w:r>
            <w:r>
              <w:rPr>
                <w:rFonts w:hint="eastAsia"/>
                <w:color w:val="auto"/>
                <w:sz w:val="24"/>
                <w:lang w:val="en-US" w:eastAsia="zh-CN"/>
              </w:rPr>
              <w:t>0</w:t>
            </w:r>
          </w:p>
        </w:tc>
        <w:tc>
          <w:tcPr>
            <w:tcW w:w="659" w:type="dxa"/>
            <w:vAlign w:val="top"/>
          </w:tcPr>
          <w:p>
            <w:pPr>
              <w:pStyle w:val="14"/>
              <w:spacing w:before="47"/>
              <w:ind w:left="29" w:leftChars="0"/>
              <w:jc w:val="left"/>
              <w:rPr>
                <w:color w:val="auto"/>
                <w:sz w:val="24"/>
              </w:rPr>
            </w:pPr>
            <w:r>
              <w:rPr>
                <w:color w:val="auto"/>
                <w:sz w:val="24"/>
              </w:rPr>
              <w:t>12.90</w:t>
            </w:r>
          </w:p>
        </w:tc>
        <w:tc>
          <w:tcPr>
            <w:tcW w:w="691" w:type="dxa"/>
            <w:vAlign w:val="top"/>
          </w:tcPr>
          <w:p>
            <w:pPr>
              <w:pStyle w:val="14"/>
              <w:spacing w:before="47"/>
              <w:ind w:right="96" w:rightChars="0"/>
              <w:jc w:val="right"/>
              <w:rPr>
                <w:color w:val="auto"/>
                <w:sz w:val="24"/>
              </w:rPr>
            </w:pPr>
            <w:r>
              <w:rPr>
                <w:color w:val="auto"/>
                <w:sz w:val="24"/>
              </w:rPr>
              <w:t>5.78</w:t>
            </w:r>
          </w:p>
        </w:tc>
        <w:tc>
          <w:tcPr>
            <w:tcW w:w="630" w:type="dxa"/>
            <w:vAlign w:val="top"/>
          </w:tcPr>
          <w:p>
            <w:pPr>
              <w:pStyle w:val="14"/>
              <w:spacing w:before="47"/>
              <w:ind w:left="5" w:leftChars="0"/>
              <w:rPr>
                <w:color w:val="auto"/>
                <w:sz w:val="24"/>
              </w:rPr>
            </w:pPr>
            <w:r>
              <w:rPr>
                <w:color w:val="auto"/>
                <w:sz w:val="24"/>
              </w:rPr>
              <w:t>20.40</w:t>
            </w:r>
          </w:p>
        </w:tc>
        <w:tc>
          <w:tcPr>
            <w:tcW w:w="653" w:type="dxa"/>
            <w:vAlign w:val="top"/>
          </w:tcPr>
          <w:p>
            <w:pPr>
              <w:pStyle w:val="14"/>
              <w:spacing w:before="47"/>
              <w:ind w:left="4" w:leftChars="0"/>
              <w:rPr>
                <w:color w:val="auto"/>
                <w:sz w:val="24"/>
              </w:rPr>
            </w:pPr>
            <w:r>
              <w:rPr>
                <w:color w:val="auto"/>
                <w:sz w:val="24"/>
              </w:rPr>
              <w:t>10.2</w:t>
            </w:r>
            <w:r>
              <w:rPr>
                <w:rFonts w:hint="eastAsia"/>
                <w:color w:val="auto"/>
                <w:sz w:val="24"/>
                <w:lang w:val="en-US" w:eastAsia="zh-CN"/>
              </w:rPr>
              <w:t>0</w:t>
            </w:r>
          </w:p>
        </w:tc>
        <w:tc>
          <w:tcPr>
            <w:tcW w:w="642" w:type="dxa"/>
            <w:vAlign w:val="top"/>
          </w:tcPr>
          <w:p>
            <w:pPr>
              <w:pStyle w:val="14"/>
              <w:spacing w:before="47"/>
              <w:ind w:left="57" w:leftChars="0" w:right="52" w:rightChars="0"/>
              <w:rPr>
                <w:color w:val="auto"/>
                <w:sz w:val="24"/>
              </w:rPr>
            </w:pPr>
            <w:r>
              <w:rPr>
                <w:color w:val="auto"/>
                <w:sz w:val="24"/>
              </w:rPr>
              <w:t>4.43</w:t>
            </w:r>
          </w:p>
        </w:tc>
        <w:tc>
          <w:tcPr>
            <w:tcW w:w="668" w:type="dxa"/>
            <w:vAlign w:val="top"/>
          </w:tcPr>
          <w:p>
            <w:pPr>
              <w:pStyle w:val="14"/>
              <w:spacing w:before="47"/>
              <w:ind w:right="85" w:rightChars="0"/>
              <w:jc w:val="right"/>
              <w:rPr>
                <w:color w:val="auto"/>
                <w:sz w:val="24"/>
              </w:rPr>
            </w:pPr>
            <w:r>
              <w:rPr>
                <w:color w:val="auto"/>
                <w:sz w:val="24"/>
              </w:rPr>
              <w:t>1.24</w:t>
            </w:r>
          </w:p>
        </w:tc>
        <w:tc>
          <w:tcPr>
            <w:tcW w:w="630" w:type="dxa"/>
            <w:vAlign w:val="top"/>
          </w:tcPr>
          <w:p>
            <w:pPr>
              <w:pStyle w:val="14"/>
              <w:spacing w:before="47"/>
              <w:ind w:left="8" w:leftChars="0"/>
              <w:rPr>
                <w:color w:val="auto"/>
                <w:sz w:val="24"/>
              </w:rPr>
            </w:pPr>
            <w:r>
              <w:rPr>
                <w:color w:val="auto"/>
                <w:sz w:val="24"/>
              </w:rPr>
              <w:t>10.26</w:t>
            </w:r>
          </w:p>
        </w:tc>
        <w:tc>
          <w:tcPr>
            <w:tcW w:w="704" w:type="dxa"/>
            <w:vAlign w:val="top"/>
          </w:tcPr>
          <w:p>
            <w:pPr>
              <w:pStyle w:val="14"/>
              <w:spacing w:before="47"/>
              <w:ind w:right="101" w:rightChars="0"/>
              <w:jc w:val="right"/>
              <w:rPr>
                <w:color w:val="auto"/>
                <w:sz w:val="24"/>
              </w:rPr>
            </w:pPr>
            <w:r>
              <w:rPr>
                <w:color w:val="auto"/>
                <w:sz w:val="24"/>
              </w:rPr>
              <w:t>2.78</w:t>
            </w:r>
          </w:p>
        </w:tc>
        <w:tc>
          <w:tcPr>
            <w:tcW w:w="738" w:type="dxa"/>
            <w:vAlign w:val="top"/>
          </w:tcPr>
          <w:p>
            <w:pPr>
              <w:pStyle w:val="14"/>
              <w:spacing w:before="47"/>
              <w:ind w:right="119" w:rightChars="0"/>
              <w:jc w:val="right"/>
              <w:rPr>
                <w:rFonts w:hint="eastAsia" w:eastAsia="仿宋"/>
                <w:color w:val="auto"/>
                <w:sz w:val="24"/>
                <w:lang w:val="en-US" w:eastAsia="zh-CN"/>
              </w:rPr>
            </w:pPr>
            <w:r>
              <w:rPr>
                <w:color w:val="auto"/>
                <w:sz w:val="24"/>
              </w:rPr>
              <w:t>4.23</w:t>
            </w:r>
            <w:r>
              <w:rPr>
                <w:rFonts w:hint="eastAsia"/>
                <w:color w:val="auto"/>
                <w:sz w:val="24"/>
                <w:lang w:val="en-US" w:eastAsia="zh-CN"/>
              </w:rPr>
              <w:t>5</w:t>
            </w:r>
          </w:p>
        </w:tc>
        <w:tc>
          <w:tcPr>
            <w:tcW w:w="958" w:type="dxa"/>
            <w:vAlign w:val="top"/>
          </w:tcPr>
          <w:p>
            <w:pPr>
              <w:pStyle w:val="14"/>
              <w:spacing w:before="47"/>
              <w:ind w:left="156" w:leftChars="0" w:right="151" w:rightChars="0"/>
              <w:rPr>
                <w:color w:val="auto"/>
                <w:sz w:val="24"/>
              </w:rPr>
            </w:pPr>
            <w:r>
              <w:rPr>
                <w:color w:val="auto"/>
                <w:sz w:val="24"/>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百官街道</w:t>
            </w:r>
          </w:p>
        </w:tc>
        <w:tc>
          <w:tcPr>
            <w:tcW w:w="696" w:type="dxa"/>
            <w:vAlign w:val="top"/>
          </w:tcPr>
          <w:p>
            <w:pPr>
              <w:pStyle w:val="14"/>
              <w:ind w:left="27" w:leftChars="0" w:right="19" w:rightChars="0"/>
              <w:rPr>
                <w:color w:val="auto"/>
                <w:sz w:val="24"/>
              </w:rPr>
            </w:pPr>
            <w:r>
              <w:rPr>
                <w:color w:val="auto"/>
                <w:sz w:val="24"/>
              </w:rPr>
              <w:t>1.14</w:t>
            </w:r>
          </w:p>
        </w:tc>
        <w:tc>
          <w:tcPr>
            <w:tcW w:w="638" w:type="dxa"/>
            <w:vAlign w:val="top"/>
          </w:tcPr>
          <w:p>
            <w:pPr>
              <w:pStyle w:val="14"/>
              <w:ind w:right="8" w:rightChars="0"/>
              <w:jc w:val="right"/>
              <w:rPr>
                <w:color w:val="auto"/>
                <w:sz w:val="24"/>
              </w:rPr>
            </w:pPr>
            <w:r>
              <w:rPr>
                <w:color w:val="auto"/>
                <w:sz w:val="24"/>
              </w:rPr>
              <w:t>0.490</w:t>
            </w:r>
          </w:p>
        </w:tc>
        <w:tc>
          <w:tcPr>
            <w:tcW w:w="659" w:type="dxa"/>
            <w:vAlign w:val="top"/>
          </w:tcPr>
          <w:p>
            <w:pPr>
              <w:pStyle w:val="14"/>
              <w:ind w:left="89" w:leftChars="0"/>
              <w:jc w:val="left"/>
              <w:rPr>
                <w:color w:val="auto"/>
                <w:sz w:val="24"/>
              </w:rPr>
            </w:pPr>
            <w:r>
              <w:rPr>
                <w:color w:val="auto"/>
                <w:sz w:val="24"/>
              </w:rPr>
              <w:t>0.43</w:t>
            </w:r>
          </w:p>
        </w:tc>
        <w:tc>
          <w:tcPr>
            <w:tcW w:w="691" w:type="dxa"/>
            <w:vAlign w:val="top"/>
          </w:tcPr>
          <w:p>
            <w:pPr>
              <w:pStyle w:val="14"/>
              <w:ind w:right="36" w:rightChars="0"/>
              <w:jc w:val="right"/>
              <w:rPr>
                <w:color w:val="auto"/>
                <w:sz w:val="24"/>
              </w:rPr>
            </w:pPr>
            <w:r>
              <w:rPr>
                <w:color w:val="auto"/>
                <w:sz w:val="24"/>
              </w:rPr>
              <w:t>0.193</w:t>
            </w:r>
          </w:p>
        </w:tc>
        <w:tc>
          <w:tcPr>
            <w:tcW w:w="630" w:type="dxa"/>
            <w:vAlign w:val="top"/>
          </w:tcPr>
          <w:p>
            <w:pPr>
              <w:pStyle w:val="14"/>
              <w:ind w:left="5" w:leftChars="0"/>
              <w:rPr>
                <w:color w:val="auto"/>
                <w:sz w:val="24"/>
              </w:rPr>
            </w:pPr>
            <w:r>
              <w:rPr>
                <w:color w:val="auto"/>
                <w:sz w:val="24"/>
              </w:rPr>
              <w:t>0.50</w:t>
            </w:r>
          </w:p>
        </w:tc>
        <w:tc>
          <w:tcPr>
            <w:tcW w:w="653" w:type="dxa"/>
            <w:vAlign w:val="top"/>
          </w:tcPr>
          <w:p>
            <w:pPr>
              <w:pStyle w:val="14"/>
              <w:ind w:left="4" w:leftChars="0"/>
              <w:rPr>
                <w:color w:val="auto"/>
                <w:sz w:val="24"/>
              </w:rPr>
            </w:pPr>
            <w:r>
              <w:rPr>
                <w:color w:val="auto"/>
                <w:sz w:val="24"/>
              </w:rPr>
              <w:t>0.24</w:t>
            </w:r>
          </w:p>
        </w:tc>
        <w:tc>
          <w:tcPr>
            <w:tcW w:w="642" w:type="dxa"/>
            <w:vAlign w:val="top"/>
          </w:tcPr>
          <w:p>
            <w:pPr>
              <w:pStyle w:val="14"/>
              <w:ind w:left="58" w:leftChars="0" w:right="51" w:rightChars="0"/>
              <w:rPr>
                <w:color w:val="auto"/>
                <w:sz w:val="24"/>
              </w:rPr>
            </w:pPr>
            <w:r>
              <w:rPr>
                <w:color w:val="auto"/>
                <w:sz w:val="24"/>
              </w:rPr>
              <w:t>0.04</w:t>
            </w:r>
          </w:p>
        </w:tc>
        <w:tc>
          <w:tcPr>
            <w:tcW w:w="668" w:type="dxa"/>
            <w:vAlign w:val="top"/>
          </w:tcPr>
          <w:p>
            <w:pPr>
              <w:pStyle w:val="14"/>
              <w:ind w:right="25" w:rightChars="0"/>
              <w:jc w:val="right"/>
              <w:rPr>
                <w:color w:val="auto"/>
                <w:sz w:val="24"/>
              </w:rPr>
            </w:pPr>
            <w:r>
              <w:rPr>
                <w:color w:val="auto"/>
                <w:sz w:val="24"/>
              </w:rPr>
              <w:t>0.011</w:t>
            </w:r>
          </w:p>
        </w:tc>
        <w:tc>
          <w:tcPr>
            <w:tcW w:w="630" w:type="dxa"/>
            <w:vAlign w:val="top"/>
          </w:tcPr>
          <w:p>
            <w:pPr>
              <w:pStyle w:val="14"/>
              <w:ind w:left="8" w:leftChars="0"/>
              <w:rPr>
                <w:color w:val="auto"/>
                <w:sz w:val="24"/>
              </w:rPr>
            </w:pPr>
            <w:r>
              <w:rPr>
                <w:color w:val="auto"/>
                <w:sz w:val="24"/>
              </w:rPr>
              <w:t>0.17</w:t>
            </w:r>
          </w:p>
        </w:tc>
        <w:tc>
          <w:tcPr>
            <w:tcW w:w="704" w:type="dxa"/>
            <w:vAlign w:val="top"/>
          </w:tcPr>
          <w:p>
            <w:pPr>
              <w:pStyle w:val="14"/>
              <w:ind w:right="41" w:rightChars="0"/>
              <w:jc w:val="right"/>
              <w:rPr>
                <w:color w:val="auto"/>
                <w:sz w:val="24"/>
              </w:rPr>
            </w:pPr>
            <w:r>
              <w:rPr>
                <w:color w:val="auto"/>
                <w:sz w:val="24"/>
              </w:rPr>
              <w:t>0.046</w:t>
            </w:r>
          </w:p>
        </w:tc>
        <w:tc>
          <w:tcPr>
            <w:tcW w:w="738" w:type="dxa"/>
            <w:vAlign w:val="top"/>
          </w:tcPr>
          <w:p>
            <w:pPr>
              <w:pStyle w:val="14"/>
              <w:ind w:right="59" w:rightChars="0"/>
              <w:jc w:val="right"/>
              <w:rPr>
                <w:color w:val="auto"/>
                <w:sz w:val="24"/>
              </w:rPr>
            </w:pPr>
            <w:r>
              <w:rPr>
                <w:color w:val="auto"/>
                <w:sz w:val="24"/>
              </w:rPr>
              <w:t>0.059</w:t>
            </w:r>
          </w:p>
        </w:tc>
        <w:tc>
          <w:tcPr>
            <w:tcW w:w="958" w:type="dxa"/>
            <w:vAlign w:val="top"/>
          </w:tcPr>
          <w:p>
            <w:pPr>
              <w:pStyle w:val="14"/>
              <w:ind w:left="156" w:leftChars="0" w:right="151" w:rightChars="0"/>
              <w:rPr>
                <w:color w:val="auto"/>
                <w:sz w:val="24"/>
              </w:rPr>
            </w:pPr>
            <w:r>
              <w:rPr>
                <w:color w:val="auto"/>
                <w:sz w:val="24"/>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曹娥街道</w:t>
            </w:r>
          </w:p>
        </w:tc>
        <w:tc>
          <w:tcPr>
            <w:tcW w:w="696" w:type="dxa"/>
            <w:vAlign w:val="top"/>
          </w:tcPr>
          <w:p>
            <w:pPr>
              <w:pStyle w:val="14"/>
              <w:spacing w:before="45"/>
              <w:ind w:left="27" w:leftChars="0" w:right="19" w:rightChars="0"/>
              <w:rPr>
                <w:color w:val="auto"/>
                <w:sz w:val="24"/>
              </w:rPr>
            </w:pPr>
            <w:r>
              <w:rPr>
                <w:color w:val="auto"/>
                <w:sz w:val="24"/>
              </w:rPr>
              <w:t>1.42</w:t>
            </w:r>
          </w:p>
        </w:tc>
        <w:tc>
          <w:tcPr>
            <w:tcW w:w="638" w:type="dxa"/>
            <w:vAlign w:val="top"/>
          </w:tcPr>
          <w:p>
            <w:pPr>
              <w:pStyle w:val="14"/>
              <w:spacing w:before="45"/>
              <w:ind w:right="8" w:rightChars="0"/>
              <w:jc w:val="right"/>
              <w:rPr>
                <w:color w:val="auto"/>
                <w:sz w:val="24"/>
              </w:rPr>
            </w:pPr>
            <w:r>
              <w:rPr>
                <w:color w:val="auto"/>
                <w:sz w:val="24"/>
              </w:rPr>
              <w:t>0.592</w:t>
            </w:r>
          </w:p>
        </w:tc>
        <w:tc>
          <w:tcPr>
            <w:tcW w:w="659" w:type="dxa"/>
            <w:vAlign w:val="top"/>
          </w:tcPr>
          <w:p>
            <w:pPr>
              <w:pStyle w:val="14"/>
              <w:spacing w:before="45"/>
              <w:ind w:left="89" w:leftChars="0"/>
              <w:jc w:val="left"/>
              <w:rPr>
                <w:color w:val="auto"/>
                <w:sz w:val="24"/>
              </w:rPr>
            </w:pPr>
            <w:r>
              <w:rPr>
                <w:color w:val="auto"/>
                <w:sz w:val="24"/>
              </w:rPr>
              <w:t>0.36</w:t>
            </w:r>
          </w:p>
        </w:tc>
        <w:tc>
          <w:tcPr>
            <w:tcW w:w="691" w:type="dxa"/>
            <w:vAlign w:val="top"/>
          </w:tcPr>
          <w:p>
            <w:pPr>
              <w:pStyle w:val="14"/>
              <w:spacing w:before="45"/>
              <w:ind w:right="36" w:rightChars="0"/>
              <w:jc w:val="right"/>
              <w:rPr>
                <w:color w:val="auto"/>
                <w:sz w:val="24"/>
              </w:rPr>
            </w:pPr>
            <w:r>
              <w:rPr>
                <w:color w:val="auto"/>
                <w:sz w:val="24"/>
              </w:rPr>
              <w:t>0.161</w:t>
            </w:r>
          </w:p>
        </w:tc>
        <w:tc>
          <w:tcPr>
            <w:tcW w:w="630" w:type="dxa"/>
            <w:vAlign w:val="top"/>
          </w:tcPr>
          <w:p>
            <w:pPr>
              <w:pStyle w:val="14"/>
              <w:spacing w:before="45"/>
              <w:ind w:left="5" w:leftChars="0"/>
              <w:rPr>
                <w:color w:val="auto"/>
                <w:sz w:val="24"/>
              </w:rPr>
            </w:pPr>
            <w:r>
              <w:rPr>
                <w:color w:val="auto"/>
                <w:sz w:val="24"/>
              </w:rPr>
              <w:t>0.62</w:t>
            </w:r>
          </w:p>
        </w:tc>
        <w:tc>
          <w:tcPr>
            <w:tcW w:w="653" w:type="dxa"/>
            <w:vAlign w:val="top"/>
          </w:tcPr>
          <w:p>
            <w:pPr>
              <w:pStyle w:val="14"/>
              <w:spacing w:before="45"/>
              <w:ind w:left="4" w:leftChars="0"/>
              <w:rPr>
                <w:color w:val="auto"/>
                <w:sz w:val="24"/>
              </w:rPr>
            </w:pPr>
            <w:r>
              <w:rPr>
                <w:color w:val="auto"/>
                <w:sz w:val="24"/>
              </w:rPr>
              <w:t>0.31</w:t>
            </w:r>
          </w:p>
        </w:tc>
        <w:tc>
          <w:tcPr>
            <w:tcW w:w="642" w:type="dxa"/>
            <w:vAlign w:val="top"/>
          </w:tcPr>
          <w:p>
            <w:pPr>
              <w:pStyle w:val="14"/>
              <w:spacing w:before="45"/>
              <w:ind w:left="57" w:leftChars="0" w:right="52" w:rightChars="0"/>
              <w:rPr>
                <w:color w:val="auto"/>
                <w:sz w:val="24"/>
              </w:rPr>
            </w:pPr>
            <w:r>
              <w:rPr>
                <w:color w:val="auto"/>
                <w:sz w:val="24"/>
              </w:rPr>
              <w:t>0.28</w:t>
            </w:r>
          </w:p>
        </w:tc>
        <w:tc>
          <w:tcPr>
            <w:tcW w:w="668" w:type="dxa"/>
            <w:vAlign w:val="top"/>
          </w:tcPr>
          <w:p>
            <w:pPr>
              <w:pStyle w:val="14"/>
              <w:spacing w:before="45"/>
              <w:ind w:right="25" w:rightChars="0"/>
              <w:jc w:val="right"/>
              <w:rPr>
                <w:color w:val="auto"/>
                <w:sz w:val="24"/>
              </w:rPr>
            </w:pPr>
            <w:r>
              <w:rPr>
                <w:color w:val="auto"/>
                <w:sz w:val="24"/>
              </w:rPr>
              <w:t>0.078</w:t>
            </w:r>
          </w:p>
        </w:tc>
        <w:tc>
          <w:tcPr>
            <w:tcW w:w="630" w:type="dxa"/>
            <w:vAlign w:val="top"/>
          </w:tcPr>
          <w:p>
            <w:pPr>
              <w:pStyle w:val="14"/>
              <w:spacing w:before="45"/>
              <w:ind w:left="8" w:leftChars="0"/>
              <w:rPr>
                <w:color w:val="auto"/>
                <w:sz w:val="24"/>
              </w:rPr>
            </w:pPr>
            <w:r>
              <w:rPr>
                <w:color w:val="auto"/>
                <w:sz w:val="24"/>
              </w:rPr>
              <w:t>0.16</w:t>
            </w:r>
          </w:p>
        </w:tc>
        <w:tc>
          <w:tcPr>
            <w:tcW w:w="704" w:type="dxa"/>
            <w:vAlign w:val="top"/>
          </w:tcPr>
          <w:p>
            <w:pPr>
              <w:pStyle w:val="14"/>
              <w:spacing w:before="45"/>
              <w:ind w:right="41" w:rightChars="0"/>
              <w:jc w:val="right"/>
              <w:rPr>
                <w:color w:val="auto"/>
                <w:sz w:val="24"/>
              </w:rPr>
            </w:pPr>
            <w:r>
              <w:rPr>
                <w:color w:val="auto"/>
                <w:sz w:val="24"/>
              </w:rPr>
              <w:t>0.043</w:t>
            </w:r>
          </w:p>
        </w:tc>
        <w:tc>
          <w:tcPr>
            <w:tcW w:w="738" w:type="dxa"/>
            <w:vAlign w:val="top"/>
          </w:tcPr>
          <w:p>
            <w:pPr>
              <w:pStyle w:val="14"/>
              <w:spacing w:before="45"/>
              <w:ind w:right="59" w:rightChars="0"/>
              <w:jc w:val="right"/>
              <w:rPr>
                <w:color w:val="auto"/>
                <w:sz w:val="24"/>
              </w:rPr>
            </w:pPr>
            <w:r>
              <w:rPr>
                <w:color w:val="auto"/>
                <w:sz w:val="24"/>
              </w:rPr>
              <w:t>0.065</w:t>
            </w:r>
          </w:p>
        </w:tc>
        <w:tc>
          <w:tcPr>
            <w:tcW w:w="958" w:type="dxa"/>
            <w:vAlign w:val="top"/>
          </w:tcPr>
          <w:p>
            <w:pPr>
              <w:pStyle w:val="14"/>
              <w:spacing w:before="45"/>
              <w:ind w:left="156" w:leftChars="0" w:right="151" w:rightChars="0"/>
              <w:rPr>
                <w:color w:val="auto"/>
                <w:sz w:val="24"/>
              </w:rPr>
            </w:pPr>
            <w:r>
              <w:rPr>
                <w:color w:val="auto"/>
                <w:sz w:val="24"/>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东关街道</w:t>
            </w:r>
          </w:p>
        </w:tc>
        <w:tc>
          <w:tcPr>
            <w:tcW w:w="696" w:type="dxa"/>
            <w:vAlign w:val="top"/>
          </w:tcPr>
          <w:p>
            <w:pPr>
              <w:pStyle w:val="14"/>
              <w:ind w:left="27" w:leftChars="0" w:right="19" w:rightChars="0"/>
              <w:rPr>
                <w:color w:val="auto"/>
                <w:sz w:val="24"/>
              </w:rPr>
            </w:pPr>
            <w:r>
              <w:rPr>
                <w:color w:val="auto"/>
                <w:sz w:val="24"/>
              </w:rPr>
              <w:t>2.42</w:t>
            </w:r>
          </w:p>
        </w:tc>
        <w:tc>
          <w:tcPr>
            <w:tcW w:w="638" w:type="dxa"/>
            <w:vAlign w:val="top"/>
          </w:tcPr>
          <w:p>
            <w:pPr>
              <w:pStyle w:val="14"/>
              <w:ind w:right="8" w:rightChars="0"/>
              <w:jc w:val="right"/>
              <w:rPr>
                <w:color w:val="auto"/>
                <w:sz w:val="24"/>
              </w:rPr>
            </w:pPr>
            <w:r>
              <w:rPr>
                <w:color w:val="auto"/>
                <w:sz w:val="24"/>
              </w:rPr>
              <w:t>1.015</w:t>
            </w:r>
          </w:p>
        </w:tc>
        <w:tc>
          <w:tcPr>
            <w:tcW w:w="659" w:type="dxa"/>
            <w:vAlign w:val="top"/>
          </w:tcPr>
          <w:p>
            <w:pPr>
              <w:pStyle w:val="14"/>
              <w:ind w:left="89" w:leftChars="0"/>
              <w:jc w:val="left"/>
              <w:rPr>
                <w:color w:val="auto"/>
                <w:sz w:val="24"/>
              </w:rPr>
            </w:pPr>
            <w:r>
              <w:rPr>
                <w:color w:val="auto"/>
                <w:sz w:val="24"/>
              </w:rPr>
              <w:t>0.78</w:t>
            </w:r>
          </w:p>
        </w:tc>
        <w:tc>
          <w:tcPr>
            <w:tcW w:w="691" w:type="dxa"/>
            <w:vAlign w:val="top"/>
          </w:tcPr>
          <w:p>
            <w:pPr>
              <w:pStyle w:val="14"/>
              <w:ind w:right="36" w:rightChars="0"/>
              <w:jc w:val="right"/>
              <w:rPr>
                <w:color w:val="auto"/>
                <w:sz w:val="24"/>
              </w:rPr>
            </w:pPr>
            <w:r>
              <w:rPr>
                <w:color w:val="auto"/>
                <w:sz w:val="24"/>
              </w:rPr>
              <w:t>0.349</w:t>
            </w:r>
          </w:p>
        </w:tc>
        <w:tc>
          <w:tcPr>
            <w:tcW w:w="630" w:type="dxa"/>
            <w:vAlign w:val="top"/>
          </w:tcPr>
          <w:p>
            <w:pPr>
              <w:pStyle w:val="14"/>
              <w:ind w:left="5" w:leftChars="0"/>
              <w:rPr>
                <w:color w:val="auto"/>
                <w:sz w:val="24"/>
              </w:rPr>
            </w:pPr>
            <w:r>
              <w:rPr>
                <w:color w:val="auto"/>
                <w:sz w:val="24"/>
              </w:rPr>
              <w:t>1.00</w:t>
            </w:r>
          </w:p>
        </w:tc>
        <w:tc>
          <w:tcPr>
            <w:tcW w:w="653" w:type="dxa"/>
            <w:vAlign w:val="top"/>
          </w:tcPr>
          <w:p>
            <w:pPr>
              <w:pStyle w:val="14"/>
              <w:ind w:left="4" w:leftChars="0"/>
              <w:rPr>
                <w:color w:val="auto"/>
                <w:sz w:val="24"/>
              </w:rPr>
            </w:pPr>
            <w:r>
              <w:rPr>
                <w:color w:val="auto"/>
                <w:sz w:val="24"/>
              </w:rPr>
              <w:t>0.49</w:t>
            </w:r>
          </w:p>
        </w:tc>
        <w:tc>
          <w:tcPr>
            <w:tcW w:w="642" w:type="dxa"/>
            <w:vAlign w:val="top"/>
          </w:tcPr>
          <w:p>
            <w:pPr>
              <w:pStyle w:val="14"/>
              <w:ind w:left="57" w:leftChars="0" w:right="52" w:rightChars="0"/>
              <w:rPr>
                <w:color w:val="auto"/>
                <w:sz w:val="24"/>
              </w:rPr>
            </w:pPr>
            <w:r>
              <w:rPr>
                <w:color w:val="auto"/>
                <w:sz w:val="24"/>
              </w:rPr>
              <w:t>0.21</w:t>
            </w:r>
          </w:p>
        </w:tc>
        <w:tc>
          <w:tcPr>
            <w:tcW w:w="668" w:type="dxa"/>
            <w:vAlign w:val="top"/>
          </w:tcPr>
          <w:p>
            <w:pPr>
              <w:pStyle w:val="14"/>
              <w:ind w:right="25" w:rightChars="0"/>
              <w:jc w:val="right"/>
              <w:rPr>
                <w:color w:val="auto"/>
                <w:sz w:val="24"/>
              </w:rPr>
            </w:pPr>
            <w:r>
              <w:rPr>
                <w:color w:val="auto"/>
                <w:sz w:val="24"/>
              </w:rPr>
              <w:t>0.059</w:t>
            </w:r>
          </w:p>
        </w:tc>
        <w:tc>
          <w:tcPr>
            <w:tcW w:w="630" w:type="dxa"/>
            <w:vAlign w:val="top"/>
          </w:tcPr>
          <w:p>
            <w:pPr>
              <w:pStyle w:val="14"/>
              <w:ind w:left="8" w:leftChars="0"/>
              <w:rPr>
                <w:color w:val="auto"/>
                <w:sz w:val="24"/>
              </w:rPr>
            </w:pPr>
            <w:r>
              <w:rPr>
                <w:color w:val="auto"/>
                <w:sz w:val="24"/>
              </w:rPr>
              <w:t>0.43</w:t>
            </w:r>
          </w:p>
        </w:tc>
        <w:tc>
          <w:tcPr>
            <w:tcW w:w="704" w:type="dxa"/>
            <w:vAlign w:val="top"/>
          </w:tcPr>
          <w:p>
            <w:pPr>
              <w:pStyle w:val="14"/>
              <w:ind w:right="41" w:rightChars="0"/>
              <w:jc w:val="right"/>
              <w:rPr>
                <w:color w:val="auto"/>
                <w:sz w:val="24"/>
              </w:rPr>
            </w:pPr>
            <w:r>
              <w:rPr>
                <w:color w:val="auto"/>
                <w:sz w:val="24"/>
              </w:rPr>
              <w:t>0.117</w:t>
            </w:r>
          </w:p>
        </w:tc>
        <w:tc>
          <w:tcPr>
            <w:tcW w:w="738" w:type="dxa"/>
            <w:vAlign w:val="top"/>
          </w:tcPr>
          <w:p>
            <w:pPr>
              <w:pStyle w:val="14"/>
              <w:ind w:right="59" w:rightChars="0"/>
              <w:jc w:val="right"/>
              <w:rPr>
                <w:color w:val="auto"/>
                <w:sz w:val="24"/>
              </w:rPr>
            </w:pPr>
            <w:r>
              <w:rPr>
                <w:color w:val="auto"/>
                <w:sz w:val="24"/>
              </w:rPr>
              <w:t>0.158</w:t>
            </w:r>
          </w:p>
        </w:tc>
        <w:tc>
          <w:tcPr>
            <w:tcW w:w="958" w:type="dxa"/>
            <w:vAlign w:val="top"/>
          </w:tcPr>
          <w:p>
            <w:pPr>
              <w:pStyle w:val="14"/>
              <w:ind w:left="156" w:leftChars="0" w:right="151" w:rightChars="0"/>
              <w:rPr>
                <w:color w:val="auto"/>
                <w:sz w:val="24"/>
              </w:rPr>
            </w:pPr>
            <w:r>
              <w:rPr>
                <w:color w:val="auto"/>
                <w:sz w:val="24"/>
              </w:rPr>
              <w:t>0.028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道墟街道</w:t>
            </w:r>
          </w:p>
        </w:tc>
        <w:tc>
          <w:tcPr>
            <w:tcW w:w="696" w:type="dxa"/>
            <w:vAlign w:val="top"/>
          </w:tcPr>
          <w:p>
            <w:pPr>
              <w:pStyle w:val="14"/>
              <w:spacing w:before="45"/>
              <w:ind w:left="27" w:leftChars="0" w:right="19" w:rightChars="0"/>
              <w:rPr>
                <w:color w:val="auto"/>
                <w:sz w:val="24"/>
              </w:rPr>
            </w:pPr>
            <w:r>
              <w:rPr>
                <w:color w:val="auto"/>
                <w:sz w:val="24"/>
              </w:rPr>
              <w:t>2.85</w:t>
            </w:r>
          </w:p>
        </w:tc>
        <w:tc>
          <w:tcPr>
            <w:tcW w:w="638" w:type="dxa"/>
            <w:vAlign w:val="top"/>
          </w:tcPr>
          <w:p>
            <w:pPr>
              <w:pStyle w:val="14"/>
              <w:spacing w:before="45"/>
              <w:ind w:right="8" w:rightChars="0"/>
              <w:jc w:val="right"/>
              <w:rPr>
                <w:color w:val="auto"/>
                <w:sz w:val="24"/>
              </w:rPr>
            </w:pPr>
            <w:r>
              <w:rPr>
                <w:color w:val="auto"/>
                <w:sz w:val="24"/>
              </w:rPr>
              <w:t>1.096</w:t>
            </w:r>
          </w:p>
        </w:tc>
        <w:tc>
          <w:tcPr>
            <w:tcW w:w="659" w:type="dxa"/>
            <w:vAlign w:val="top"/>
          </w:tcPr>
          <w:p>
            <w:pPr>
              <w:pStyle w:val="14"/>
              <w:spacing w:before="45"/>
              <w:ind w:left="89" w:leftChars="0"/>
              <w:jc w:val="left"/>
              <w:rPr>
                <w:color w:val="auto"/>
                <w:sz w:val="24"/>
              </w:rPr>
            </w:pPr>
            <w:r>
              <w:rPr>
                <w:color w:val="auto"/>
                <w:sz w:val="24"/>
              </w:rPr>
              <w:t>0.54</w:t>
            </w:r>
          </w:p>
        </w:tc>
        <w:tc>
          <w:tcPr>
            <w:tcW w:w="691" w:type="dxa"/>
            <w:vAlign w:val="top"/>
          </w:tcPr>
          <w:p>
            <w:pPr>
              <w:pStyle w:val="14"/>
              <w:spacing w:before="45"/>
              <w:ind w:right="36" w:rightChars="0"/>
              <w:jc w:val="right"/>
              <w:rPr>
                <w:color w:val="auto"/>
                <w:sz w:val="24"/>
              </w:rPr>
            </w:pPr>
            <w:r>
              <w:rPr>
                <w:color w:val="auto"/>
                <w:sz w:val="24"/>
              </w:rPr>
              <w:t>0.242</w:t>
            </w:r>
          </w:p>
        </w:tc>
        <w:tc>
          <w:tcPr>
            <w:tcW w:w="630" w:type="dxa"/>
            <w:vAlign w:val="top"/>
          </w:tcPr>
          <w:p>
            <w:pPr>
              <w:pStyle w:val="14"/>
              <w:spacing w:before="45"/>
              <w:ind w:left="5" w:leftChars="0"/>
              <w:rPr>
                <w:color w:val="auto"/>
                <w:sz w:val="24"/>
              </w:rPr>
            </w:pPr>
            <w:r>
              <w:rPr>
                <w:color w:val="auto"/>
                <w:sz w:val="24"/>
              </w:rPr>
              <w:t>0.95</w:t>
            </w:r>
          </w:p>
        </w:tc>
        <w:tc>
          <w:tcPr>
            <w:tcW w:w="653" w:type="dxa"/>
            <w:vAlign w:val="top"/>
          </w:tcPr>
          <w:p>
            <w:pPr>
              <w:pStyle w:val="14"/>
              <w:spacing w:before="45"/>
              <w:ind w:left="4" w:leftChars="0"/>
              <w:rPr>
                <w:color w:val="auto"/>
                <w:sz w:val="24"/>
              </w:rPr>
            </w:pPr>
            <w:r>
              <w:rPr>
                <w:color w:val="auto"/>
                <w:sz w:val="24"/>
              </w:rPr>
              <w:t>0.48</w:t>
            </w:r>
          </w:p>
        </w:tc>
        <w:tc>
          <w:tcPr>
            <w:tcW w:w="642" w:type="dxa"/>
            <w:vAlign w:val="top"/>
          </w:tcPr>
          <w:p>
            <w:pPr>
              <w:pStyle w:val="14"/>
              <w:spacing w:before="45"/>
              <w:ind w:left="57" w:leftChars="0" w:right="52" w:rightChars="0"/>
              <w:rPr>
                <w:color w:val="auto"/>
                <w:sz w:val="24"/>
              </w:rPr>
            </w:pPr>
            <w:r>
              <w:rPr>
                <w:color w:val="auto"/>
                <w:sz w:val="24"/>
              </w:rPr>
              <w:t>0.60</w:t>
            </w:r>
          </w:p>
        </w:tc>
        <w:tc>
          <w:tcPr>
            <w:tcW w:w="668" w:type="dxa"/>
            <w:vAlign w:val="top"/>
          </w:tcPr>
          <w:p>
            <w:pPr>
              <w:pStyle w:val="14"/>
              <w:spacing w:before="45"/>
              <w:ind w:right="25" w:rightChars="0"/>
              <w:jc w:val="right"/>
              <w:rPr>
                <w:color w:val="auto"/>
                <w:sz w:val="24"/>
              </w:rPr>
            </w:pPr>
            <w:r>
              <w:rPr>
                <w:color w:val="auto"/>
                <w:sz w:val="24"/>
              </w:rPr>
              <w:t>0.168</w:t>
            </w:r>
          </w:p>
        </w:tc>
        <w:tc>
          <w:tcPr>
            <w:tcW w:w="630" w:type="dxa"/>
            <w:vAlign w:val="top"/>
          </w:tcPr>
          <w:p>
            <w:pPr>
              <w:pStyle w:val="14"/>
              <w:spacing w:before="45"/>
              <w:ind w:left="8" w:leftChars="0"/>
              <w:rPr>
                <w:color w:val="auto"/>
                <w:sz w:val="24"/>
              </w:rPr>
            </w:pPr>
            <w:r>
              <w:rPr>
                <w:color w:val="auto"/>
                <w:sz w:val="24"/>
              </w:rPr>
              <w:t>0.76</w:t>
            </w:r>
          </w:p>
        </w:tc>
        <w:tc>
          <w:tcPr>
            <w:tcW w:w="704" w:type="dxa"/>
            <w:vAlign w:val="top"/>
          </w:tcPr>
          <w:p>
            <w:pPr>
              <w:pStyle w:val="14"/>
              <w:spacing w:before="45"/>
              <w:ind w:right="41" w:rightChars="0"/>
              <w:jc w:val="right"/>
              <w:rPr>
                <w:color w:val="auto"/>
                <w:sz w:val="24"/>
              </w:rPr>
            </w:pPr>
            <w:r>
              <w:rPr>
                <w:color w:val="auto"/>
                <w:sz w:val="24"/>
              </w:rPr>
              <w:t>0.206</w:t>
            </w:r>
          </w:p>
        </w:tc>
        <w:tc>
          <w:tcPr>
            <w:tcW w:w="738" w:type="dxa"/>
            <w:vAlign w:val="top"/>
          </w:tcPr>
          <w:p>
            <w:pPr>
              <w:pStyle w:val="14"/>
              <w:spacing w:before="45"/>
              <w:ind w:right="59" w:rightChars="0"/>
              <w:jc w:val="right"/>
              <w:rPr>
                <w:rFonts w:hint="eastAsia" w:eastAsia="仿宋"/>
                <w:color w:val="auto"/>
                <w:sz w:val="24"/>
                <w:lang w:eastAsia="zh-CN"/>
              </w:rPr>
            </w:pPr>
            <w:r>
              <w:rPr>
                <w:color w:val="auto"/>
                <w:sz w:val="24"/>
              </w:rPr>
              <w:t>0.45</w:t>
            </w:r>
            <w:r>
              <w:rPr>
                <w:rFonts w:hint="eastAsia"/>
                <w:color w:val="auto"/>
                <w:sz w:val="24"/>
                <w:lang w:val="en-US" w:eastAsia="zh-CN"/>
              </w:rPr>
              <w:t>2</w:t>
            </w:r>
          </w:p>
        </w:tc>
        <w:tc>
          <w:tcPr>
            <w:tcW w:w="958" w:type="dxa"/>
            <w:vAlign w:val="top"/>
          </w:tcPr>
          <w:p>
            <w:pPr>
              <w:pStyle w:val="14"/>
              <w:spacing w:before="45"/>
              <w:ind w:left="156" w:leftChars="0" w:right="151" w:rightChars="0"/>
              <w:rPr>
                <w:color w:val="auto"/>
                <w:sz w:val="24"/>
              </w:rPr>
            </w:pPr>
            <w:r>
              <w:rPr>
                <w:color w:val="auto"/>
                <w:sz w:val="24"/>
              </w:rPr>
              <w:t>0.080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7"/>
              <w:ind w:left="35" w:right="29"/>
              <w:rPr>
                <w:rFonts w:hint="eastAsia" w:ascii="仿宋_GB2312" w:eastAsia="仿宋_GB2312"/>
                <w:color w:val="auto"/>
                <w:sz w:val="24"/>
              </w:rPr>
            </w:pPr>
            <w:r>
              <w:rPr>
                <w:rFonts w:hint="eastAsia" w:ascii="仿宋_GB2312" w:eastAsia="仿宋_GB2312"/>
                <w:color w:val="auto"/>
                <w:sz w:val="24"/>
              </w:rPr>
              <w:t>小越街道</w:t>
            </w:r>
          </w:p>
        </w:tc>
        <w:tc>
          <w:tcPr>
            <w:tcW w:w="696" w:type="dxa"/>
            <w:vAlign w:val="top"/>
          </w:tcPr>
          <w:p>
            <w:pPr>
              <w:pStyle w:val="14"/>
              <w:spacing w:before="47"/>
              <w:ind w:left="27" w:leftChars="0" w:right="19" w:rightChars="0"/>
              <w:rPr>
                <w:color w:val="auto"/>
                <w:sz w:val="24"/>
              </w:rPr>
            </w:pPr>
            <w:r>
              <w:rPr>
                <w:color w:val="auto"/>
                <w:sz w:val="24"/>
              </w:rPr>
              <w:t>2.63</w:t>
            </w:r>
          </w:p>
        </w:tc>
        <w:tc>
          <w:tcPr>
            <w:tcW w:w="638" w:type="dxa"/>
            <w:vAlign w:val="top"/>
          </w:tcPr>
          <w:p>
            <w:pPr>
              <w:pStyle w:val="14"/>
              <w:spacing w:before="47"/>
              <w:ind w:right="8" w:rightChars="0"/>
              <w:jc w:val="right"/>
              <w:rPr>
                <w:color w:val="auto"/>
                <w:sz w:val="24"/>
              </w:rPr>
            </w:pPr>
            <w:r>
              <w:rPr>
                <w:color w:val="auto"/>
                <w:sz w:val="24"/>
              </w:rPr>
              <w:t>1.100</w:t>
            </w:r>
          </w:p>
        </w:tc>
        <w:tc>
          <w:tcPr>
            <w:tcW w:w="659" w:type="dxa"/>
            <w:vAlign w:val="top"/>
          </w:tcPr>
          <w:p>
            <w:pPr>
              <w:pStyle w:val="14"/>
              <w:spacing w:before="47"/>
              <w:ind w:left="89" w:leftChars="0"/>
              <w:jc w:val="left"/>
              <w:rPr>
                <w:color w:val="auto"/>
                <w:sz w:val="24"/>
              </w:rPr>
            </w:pPr>
            <w:r>
              <w:rPr>
                <w:color w:val="auto"/>
                <w:sz w:val="24"/>
              </w:rPr>
              <w:t>0.90</w:t>
            </w:r>
          </w:p>
        </w:tc>
        <w:tc>
          <w:tcPr>
            <w:tcW w:w="691" w:type="dxa"/>
            <w:vAlign w:val="top"/>
          </w:tcPr>
          <w:p>
            <w:pPr>
              <w:pStyle w:val="14"/>
              <w:spacing w:before="47"/>
              <w:ind w:right="36" w:rightChars="0"/>
              <w:jc w:val="right"/>
              <w:rPr>
                <w:color w:val="auto"/>
                <w:sz w:val="24"/>
              </w:rPr>
            </w:pPr>
            <w:r>
              <w:rPr>
                <w:color w:val="auto"/>
                <w:sz w:val="24"/>
              </w:rPr>
              <w:t>0.403</w:t>
            </w:r>
          </w:p>
        </w:tc>
        <w:tc>
          <w:tcPr>
            <w:tcW w:w="630" w:type="dxa"/>
            <w:vAlign w:val="top"/>
          </w:tcPr>
          <w:p>
            <w:pPr>
              <w:pStyle w:val="14"/>
              <w:spacing w:before="47"/>
              <w:ind w:left="5" w:leftChars="0"/>
              <w:rPr>
                <w:color w:val="auto"/>
                <w:sz w:val="24"/>
              </w:rPr>
            </w:pPr>
            <w:r>
              <w:rPr>
                <w:color w:val="auto"/>
                <w:sz w:val="24"/>
              </w:rPr>
              <w:t>1.08</w:t>
            </w:r>
          </w:p>
        </w:tc>
        <w:tc>
          <w:tcPr>
            <w:tcW w:w="653" w:type="dxa"/>
            <w:vAlign w:val="top"/>
          </w:tcPr>
          <w:p>
            <w:pPr>
              <w:pStyle w:val="14"/>
              <w:spacing w:before="47"/>
              <w:ind w:left="4" w:leftChars="0"/>
              <w:rPr>
                <w:color w:val="auto"/>
                <w:sz w:val="24"/>
              </w:rPr>
            </w:pPr>
            <w:r>
              <w:rPr>
                <w:color w:val="auto"/>
                <w:sz w:val="24"/>
              </w:rPr>
              <w:t>0.52</w:t>
            </w:r>
          </w:p>
        </w:tc>
        <w:tc>
          <w:tcPr>
            <w:tcW w:w="642" w:type="dxa"/>
            <w:vAlign w:val="top"/>
          </w:tcPr>
          <w:p>
            <w:pPr>
              <w:pStyle w:val="14"/>
              <w:spacing w:before="47"/>
              <w:ind w:left="57" w:leftChars="0" w:right="52" w:rightChars="0"/>
              <w:rPr>
                <w:color w:val="auto"/>
                <w:sz w:val="24"/>
              </w:rPr>
            </w:pPr>
            <w:r>
              <w:rPr>
                <w:color w:val="auto"/>
                <w:sz w:val="24"/>
              </w:rPr>
              <w:t>0.09</w:t>
            </w:r>
          </w:p>
        </w:tc>
        <w:tc>
          <w:tcPr>
            <w:tcW w:w="668" w:type="dxa"/>
            <w:vAlign w:val="top"/>
          </w:tcPr>
          <w:p>
            <w:pPr>
              <w:pStyle w:val="14"/>
              <w:spacing w:before="47"/>
              <w:ind w:right="25" w:rightChars="0"/>
              <w:jc w:val="right"/>
              <w:rPr>
                <w:color w:val="auto"/>
                <w:sz w:val="24"/>
              </w:rPr>
            </w:pPr>
            <w:r>
              <w:rPr>
                <w:color w:val="auto"/>
                <w:sz w:val="24"/>
              </w:rPr>
              <w:t>0.025</w:t>
            </w:r>
          </w:p>
        </w:tc>
        <w:tc>
          <w:tcPr>
            <w:tcW w:w="630" w:type="dxa"/>
            <w:vAlign w:val="top"/>
          </w:tcPr>
          <w:p>
            <w:pPr>
              <w:pStyle w:val="14"/>
              <w:spacing w:before="47"/>
              <w:ind w:left="8" w:leftChars="0"/>
              <w:rPr>
                <w:color w:val="auto"/>
                <w:sz w:val="24"/>
              </w:rPr>
            </w:pPr>
            <w:r>
              <w:rPr>
                <w:color w:val="auto"/>
                <w:sz w:val="24"/>
              </w:rPr>
              <w:t>0.56</w:t>
            </w:r>
          </w:p>
        </w:tc>
        <w:tc>
          <w:tcPr>
            <w:tcW w:w="704" w:type="dxa"/>
            <w:vAlign w:val="top"/>
          </w:tcPr>
          <w:p>
            <w:pPr>
              <w:pStyle w:val="14"/>
              <w:spacing w:before="47"/>
              <w:ind w:right="41" w:rightChars="0"/>
              <w:jc w:val="right"/>
              <w:rPr>
                <w:color w:val="auto"/>
                <w:sz w:val="24"/>
              </w:rPr>
            </w:pPr>
            <w:r>
              <w:rPr>
                <w:color w:val="auto"/>
                <w:sz w:val="24"/>
              </w:rPr>
              <w:t>0.152</w:t>
            </w:r>
          </w:p>
        </w:tc>
        <w:tc>
          <w:tcPr>
            <w:tcW w:w="738" w:type="dxa"/>
            <w:vAlign w:val="top"/>
          </w:tcPr>
          <w:p>
            <w:pPr>
              <w:pStyle w:val="14"/>
              <w:spacing w:before="47"/>
              <w:ind w:right="59" w:rightChars="0"/>
              <w:jc w:val="right"/>
              <w:rPr>
                <w:rFonts w:hint="eastAsia" w:eastAsia="仿宋"/>
                <w:color w:val="auto"/>
                <w:sz w:val="24"/>
                <w:lang w:eastAsia="zh-CN"/>
              </w:rPr>
            </w:pPr>
            <w:r>
              <w:rPr>
                <w:color w:val="auto"/>
                <w:sz w:val="24"/>
              </w:rPr>
              <w:t>0.10</w:t>
            </w:r>
            <w:r>
              <w:rPr>
                <w:rFonts w:hint="eastAsia"/>
                <w:color w:val="auto"/>
                <w:sz w:val="24"/>
                <w:lang w:val="en-US" w:eastAsia="zh-CN"/>
              </w:rPr>
              <w:t>4</w:t>
            </w:r>
          </w:p>
        </w:tc>
        <w:tc>
          <w:tcPr>
            <w:tcW w:w="958" w:type="dxa"/>
            <w:vAlign w:val="top"/>
          </w:tcPr>
          <w:p>
            <w:pPr>
              <w:pStyle w:val="14"/>
              <w:spacing w:before="47"/>
              <w:ind w:left="156" w:leftChars="0" w:right="151" w:rightChars="0"/>
              <w:rPr>
                <w:color w:val="auto"/>
                <w:sz w:val="24"/>
              </w:rPr>
            </w:pPr>
            <w:r>
              <w:rPr>
                <w:color w:val="auto"/>
                <w:sz w:val="24"/>
              </w:rPr>
              <w:t>0.018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梁湖街道</w:t>
            </w:r>
          </w:p>
        </w:tc>
        <w:tc>
          <w:tcPr>
            <w:tcW w:w="696" w:type="dxa"/>
            <w:vAlign w:val="top"/>
          </w:tcPr>
          <w:p>
            <w:pPr>
              <w:pStyle w:val="14"/>
              <w:ind w:left="27" w:leftChars="0" w:right="19" w:rightChars="0"/>
              <w:rPr>
                <w:color w:val="auto"/>
                <w:sz w:val="24"/>
              </w:rPr>
            </w:pPr>
            <w:r>
              <w:rPr>
                <w:color w:val="auto"/>
                <w:sz w:val="24"/>
              </w:rPr>
              <w:t>1.43</w:t>
            </w:r>
          </w:p>
        </w:tc>
        <w:tc>
          <w:tcPr>
            <w:tcW w:w="638" w:type="dxa"/>
            <w:vAlign w:val="top"/>
          </w:tcPr>
          <w:p>
            <w:pPr>
              <w:pStyle w:val="14"/>
              <w:ind w:right="8" w:rightChars="0"/>
              <w:jc w:val="right"/>
              <w:rPr>
                <w:color w:val="auto"/>
                <w:sz w:val="24"/>
              </w:rPr>
            </w:pPr>
            <w:r>
              <w:rPr>
                <w:color w:val="auto"/>
                <w:sz w:val="24"/>
              </w:rPr>
              <w:t>0.558</w:t>
            </w:r>
          </w:p>
        </w:tc>
        <w:tc>
          <w:tcPr>
            <w:tcW w:w="659" w:type="dxa"/>
            <w:vAlign w:val="top"/>
          </w:tcPr>
          <w:p>
            <w:pPr>
              <w:pStyle w:val="14"/>
              <w:ind w:left="89" w:leftChars="0"/>
              <w:jc w:val="left"/>
              <w:rPr>
                <w:color w:val="auto"/>
                <w:sz w:val="24"/>
              </w:rPr>
            </w:pPr>
            <w:r>
              <w:rPr>
                <w:color w:val="auto"/>
                <w:sz w:val="24"/>
              </w:rPr>
              <w:t>0.34</w:t>
            </w:r>
          </w:p>
        </w:tc>
        <w:tc>
          <w:tcPr>
            <w:tcW w:w="691" w:type="dxa"/>
            <w:vAlign w:val="top"/>
          </w:tcPr>
          <w:p>
            <w:pPr>
              <w:pStyle w:val="14"/>
              <w:ind w:right="36" w:rightChars="0"/>
              <w:jc w:val="right"/>
              <w:rPr>
                <w:color w:val="auto"/>
                <w:sz w:val="24"/>
              </w:rPr>
            </w:pPr>
            <w:r>
              <w:rPr>
                <w:color w:val="auto"/>
                <w:sz w:val="24"/>
              </w:rPr>
              <w:t>0.152</w:t>
            </w:r>
          </w:p>
        </w:tc>
        <w:tc>
          <w:tcPr>
            <w:tcW w:w="630" w:type="dxa"/>
            <w:vAlign w:val="top"/>
          </w:tcPr>
          <w:p>
            <w:pPr>
              <w:pStyle w:val="14"/>
              <w:ind w:left="5" w:leftChars="0"/>
              <w:rPr>
                <w:color w:val="auto"/>
                <w:sz w:val="24"/>
              </w:rPr>
            </w:pPr>
            <w:r>
              <w:rPr>
                <w:color w:val="auto"/>
                <w:sz w:val="24"/>
              </w:rPr>
              <w:t>0.46</w:t>
            </w:r>
          </w:p>
        </w:tc>
        <w:tc>
          <w:tcPr>
            <w:tcW w:w="653" w:type="dxa"/>
            <w:vAlign w:val="top"/>
          </w:tcPr>
          <w:p>
            <w:pPr>
              <w:pStyle w:val="14"/>
              <w:ind w:left="4" w:leftChars="0"/>
              <w:rPr>
                <w:color w:val="auto"/>
                <w:sz w:val="24"/>
              </w:rPr>
            </w:pPr>
            <w:r>
              <w:rPr>
                <w:color w:val="auto"/>
                <w:sz w:val="24"/>
              </w:rPr>
              <w:t>0.23</w:t>
            </w:r>
          </w:p>
        </w:tc>
        <w:tc>
          <w:tcPr>
            <w:tcW w:w="642" w:type="dxa"/>
            <w:vAlign w:val="top"/>
          </w:tcPr>
          <w:p>
            <w:pPr>
              <w:pStyle w:val="14"/>
              <w:ind w:left="57" w:leftChars="0" w:right="52" w:rightChars="0"/>
              <w:rPr>
                <w:color w:val="auto"/>
                <w:sz w:val="24"/>
              </w:rPr>
            </w:pPr>
            <w:r>
              <w:rPr>
                <w:color w:val="auto"/>
                <w:sz w:val="24"/>
              </w:rPr>
              <w:t>0.20</w:t>
            </w:r>
          </w:p>
        </w:tc>
        <w:tc>
          <w:tcPr>
            <w:tcW w:w="668" w:type="dxa"/>
            <w:vAlign w:val="top"/>
          </w:tcPr>
          <w:p>
            <w:pPr>
              <w:pStyle w:val="14"/>
              <w:ind w:right="25" w:rightChars="0"/>
              <w:jc w:val="right"/>
              <w:rPr>
                <w:color w:val="auto"/>
                <w:sz w:val="24"/>
              </w:rPr>
            </w:pPr>
            <w:r>
              <w:rPr>
                <w:color w:val="auto"/>
                <w:sz w:val="24"/>
              </w:rPr>
              <w:t>0.060</w:t>
            </w:r>
          </w:p>
        </w:tc>
        <w:tc>
          <w:tcPr>
            <w:tcW w:w="630" w:type="dxa"/>
            <w:vAlign w:val="top"/>
          </w:tcPr>
          <w:p>
            <w:pPr>
              <w:pStyle w:val="14"/>
              <w:ind w:left="8" w:leftChars="0"/>
              <w:rPr>
                <w:color w:val="auto"/>
                <w:sz w:val="24"/>
              </w:rPr>
            </w:pPr>
            <w:r>
              <w:rPr>
                <w:color w:val="auto"/>
                <w:sz w:val="24"/>
              </w:rPr>
              <w:t>0.43</w:t>
            </w:r>
          </w:p>
        </w:tc>
        <w:tc>
          <w:tcPr>
            <w:tcW w:w="704" w:type="dxa"/>
            <w:vAlign w:val="top"/>
          </w:tcPr>
          <w:p>
            <w:pPr>
              <w:pStyle w:val="14"/>
              <w:ind w:right="41" w:rightChars="0"/>
              <w:jc w:val="right"/>
              <w:rPr>
                <w:color w:val="auto"/>
                <w:sz w:val="24"/>
              </w:rPr>
            </w:pPr>
            <w:r>
              <w:rPr>
                <w:color w:val="auto"/>
                <w:sz w:val="24"/>
              </w:rPr>
              <w:t>0.116</w:t>
            </w:r>
          </w:p>
        </w:tc>
        <w:tc>
          <w:tcPr>
            <w:tcW w:w="738" w:type="dxa"/>
            <w:vAlign w:val="top"/>
          </w:tcPr>
          <w:p>
            <w:pPr>
              <w:pStyle w:val="14"/>
              <w:ind w:right="59" w:rightChars="0"/>
              <w:jc w:val="right"/>
              <w:rPr>
                <w:rFonts w:hint="eastAsia" w:eastAsia="仿宋"/>
                <w:color w:val="auto"/>
                <w:sz w:val="24"/>
                <w:lang w:eastAsia="zh-CN"/>
              </w:rPr>
            </w:pPr>
            <w:r>
              <w:rPr>
                <w:color w:val="auto"/>
                <w:sz w:val="24"/>
              </w:rPr>
              <w:t>0.11</w:t>
            </w:r>
            <w:r>
              <w:rPr>
                <w:rFonts w:hint="eastAsia"/>
                <w:color w:val="auto"/>
                <w:sz w:val="24"/>
                <w:lang w:val="en-US" w:eastAsia="zh-CN"/>
              </w:rPr>
              <w:t>4</w:t>
            </w:r>
          </w:p>
        </w:tc>
        <w:tc>
          <w:tcPr>
            <w:tcW w:w="958" w:type="dxa"/>
            <w:vAlign w:val="top"/>
          </w:tcPr>
          <w:p>
            <w:pPr>
              <w:pStyle w:val="14"/>
              <w:ind w:left="156" w:leftChars="0" w:right="151" w:rightChars="0"/>
              <w:rPr>
                <w:color w:val="auto"/>
                <w:sz w:val="24"/>
              </w:rPr>
            </w:pPr>
            <w:r>
              <w:rPr>
                <w:color w:val="auto"/>
                <w:sz w:val="24"/>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崧厦街道</w:t>
            </w:r>
          </w:p>
        </w:tc>
        <w:tc>
          <w:tcPr>
            <w:tcW w:w="696" w:type="dxa"/>
            <w:vAlign w:val="top"/>
          </w:tcPr>
          <w:p>
            <w:pPr>
              <w:pStyle w:val="14"/>
              <w:spacing w:before="45"/>
              <w:ind w:left="27" w:leftChars="0" w:right="19" w:rightChars="0"/>
              <w:rPr>
                <w:color w:val="auto"/>
                <w:sz w:val="24"/>
              </w:rPr>
            </w:pPr>
            <w:r>
              <w:rPr>
                <w:color w:val="auto"/>
                <w:sz w:val="24"/>
              </w:rPr>
              <w:t>6.02</w:t>
            </w:r>
          </w:p>
        </w:tc>
        <w:tc>
          <w:tcPr>
            <w:tcW w:w="638" w:type="dxa"/>
            <w:vAlign w:val="top"/>
          </w:tcPr>
          <w:p>
            <w:pPr>
              <w:pStyle w:val="14"/>
              <w:spacing w:before="45"/>
              <w:ind w:right="8" w:rightChars="0"/>
              <w:jc w:val="right"/>
              <w:rPr>
                <w:color w:val="auto"/>
                <w:sz w:val="24"/>
              </w:rPr>
            </w:pPr>
            <w:r>
              <w:rPr>
                <w:color w:val="auto"/>
                <w:sz w:val="24"/>
              </w:rPr>
              <w:t>2.492</w:t>
            </w:r>
          </w:p>
        </w:tc>
        <w:tc>
          <w:tcPr>
            <w:tcW w:w="659" w:type="dxa"/>
            <w:vAlign w:val="top"/>
          </w:tcPr>
          <w:p>
            <w:pPr>
              <w:pStyle w:val="14"/>
              <w:spacing w:before="45"/>
              <w:ind w:left="89" w:leftChars="0"/>
              <w:jc w:val="left"/>
              <w:rPr>
                <w:color w:val="auto"/>
                <w:sz w:val="24"/>
              </w:rPr>
            </w:pPr>
            <w:r>
              <w:rPr>
                <w:color w:val="auto"/>
                <w:sz w:val="24"/>
              </w:rPr>
              <w:t>1.22</w:t>
            </w:r>
          </w:p>
        </w:tc>
        <w:tc>
          <w:tcPr>
            <w:tcW w:w="691" w:type="dxa"/>
            <w:vAlign w:val="top"/>
          </w:tcPr>
          <w:p>
            <w:pPr>
              <w:pStyle w:val="14"/>
              <w:spacing w:before="45"/>
              <w:ind w:right="36" w:rightChars="0"/>
              <w:jc w:val="right"/>
              <w:rPr>
                <w:color w:val="auto"/>
                <w:sz w:val="24"/>
              </w:rPr>
            </w:pPr>
            <w:r>
              <w:rPr>
                <w:color w:val="auto"/>
                <w:sz w:val="24"/>
              </w:rPr>
              <w:t>0.547</w:t>
            </w:r>
          </w:p>
        </w:tc>
        <w:tc>
          <w:tcPr>
            <w:tcW w:w="630" w:type="dxa"/>
            <w:vAlign w:val="top"/>
          </w:tcPr>
          <w:p>
            <w:pPr>
              <w:pStyle w:val="14"/>
              <w:spacing w:before="45"/>
              <w:ind w:left="5" w:leftChars="0"/>
              <w:rPr>
                <w:color w:val="auto"/>
                <w:sz w:val="24"/>
              </w:rPr>
            </w:pPr>
            <w:r>
              <w:rPr>
                <w:color w:val="auto"/>
                <w:sz w:val="24"/>
              </w:rPr>
              <w:t>2.54</w:t>
            </w:r>
          </w:p>
        </w:tc>
        <w:tc>
          <w:tcPr>
            <w:tcW w:w="653" w:type="dxa"/>
            <w:vAlign w:val="top"/>
          </w:tcPr>
          <w:p>
            <w:pPr>
              <w:pStyle w:val="14"/>
              <w:spacing w:before="45"/>
              <w:ind w:left="4" w:leftChars="0"/>
              <w:rPr>
                <w:color w:val="auto"/>
                <w:sz w:val="24"/>
              </w:rPr>
            </w:pPr>
            <w:r>
              <w:rPr>
                <w:color w:val="auto"/>
                <w:sz w:val="24"/>
              </w:rPr>
              <w:t>1.32</w:t>
            </w:r>
          </w:p>
        </w:tc>
        <w:tc>
          <w:tcPr>
            <w:tcW w:w="642" w:type="dxa"/>
            <w:vAlign w:val="top"/>
          </w:tcPr>
          <w:p>
            <w:pPr>
              <w:pStyle w:val="14"/>
              <w:spacing w:before="45"/>
              <w:ind w:left="57" w:leftChars="0" w:right="52" w:rightChars="0"/>
              <w:rPr>
                <w:color w:val="auto"/>
                <w:sz w:val="24"/>
              </w:rPr>
            </w:pPr>
            <w:r>
              <w:rPr>
                <w:color w:val="auto"/>
                <w:sz w:val="24"/>
              </w:rPr>
              <w:t>1.43</w:t>
            </w:r>
          </w:p>
        </w:tc>
        <w:tc>
          <w:tcPr>
            <w:tcW w:w="668" w:type="dxa"/>
            <w:vAlign w:val="top"/>
          </w:tcPr>
          <w:p>
            <w:pPr>
              <w:pStyle w:val="14"/>
              <w:spacing w:before="45"/>
              <w:ind w:right="25" w:rightChars="0"/>
              <w:jc w:val="right"/>
              <w:rPr>
                <w:color w:val="auto"/>
                <w:sz w:val="24"/>
              </w:rPr>
            </w:pPr>
            <w:r>
              <w:rPr>
                <w:color w:val="auto"/>
                <w:sz w:val="24"/>
              </w:rPr>
              <w:t>0.400</w:t>
            </w:r>
          </w:p>
        </w:tc>
        <w:tc>
          <w:tcPr>
            <w:tcW w:w="630" w:type="dxa"/>
            <w:vAlign w:val="top"/>
          </w:tcPr>
          <w:p>
            <w:pPr>
              <w:pStyle w:val="14"/>
              <w:spacing w:before="45"/>
              <w:ind w:left="8" w:leftChars="0"/>
              <w:rPr>
                <w:color w:val="auto"/>
                <w:sz w:val="24"/>
              </w:rPr>
            </w:pPr>
            <w:r>
              <w:rPr>
                <w:color w:val="auto"/>
                <w:sz w:val="24"/>
              </w:rPr>
              <w:t>0.83</w:t>
            </w:r>
          </w:p>
        </w:tc>
        <w:tc>
          <w:tcPr>
            <w:tcW w:w="704" w:type="dxa"/>
            <w:vAlign w:val="top"/>
          </w:tcPr>
          <w:p>
            <w:pPr>
              <w:pStyle w:val="14"/>
              <w:spacing w:before="45"/>
              <w:ind w:right="41" w:rightChars="0"/>
              <w:jc w:val="right"/>
              <w:rPr>
                <w:color w:val="auto"/>
                <w:sz w:val="24"/>
              </w:rPr>
            </w:pPr>
            <w:r>
              <w:rPr>
                <w:color w:val="auto"/>
                <w:sz w:val="24"/>
              </w:rPr>
              <w:t>0.225</w:t>
            </w:r>
          </w:p>
        </w:tc>
        <w:tc>
          <w:tcPr>
            <w:tcW w:w="738" w:type="dxa"/>
            <w:vAlign w:val="top"/>
          </w:tcPr>
          <w:p>
            <w:pPr>
              <w:pStyle w:val="14"/>
              <w:spacing w:before="45"/>
              <w:ind w:right="59" w:rightChars="0"/>
              <w:jc w:val="right"/>
              <w:rPr>
                <w:rFonts w:hint="eastAsia" w:eastAsia="仿宋"/>
                <w:color w:val="auto"/>
                <w:sz w:val="24"/>
                <w:lang w:eastAsia="zh-CN"/>
              </w:rPr>
            </w:pPr>
            <w:r>
              <w:rPr>
                <w:color w:val="auto"/>
                <w:sz w:val="24"/>
              </w:rPr>
              <w:t>0.44</w:t>
            </w:r>
            <w:r>
              <w:rPr>
                <w:rFonts w:hint="eastAsia"/>
                <w:color w:val="auto"/>
                <w:sz w:val="24"/>
                <w:lang w:val="en-US" w:eastAsia="zh-CN"/>
              </w:rPr>
              <w:t>4</w:t>
            </w:r>
          </w:p>
        </w:tc>
        <w:tc>
          <w:tcPr>
            <w:tcW w:w="958" w:type="dxa"/>
            <w:vAlign w:val="top"/>
          </w:tcPr>
          <w:p>
            <w:pPr>
              <w:pStyle w:val="14"/>
              <w:spacing w:before="45"/>
              <w:ind w:left="156" w:leftChars="0" w:right="151" w:rightChars="0"/>
              <w:rPr>
                <w:color w:val="auto"/>
                <w:sz w:val="24"/>
              </w:rPr>
            </w:pPr>
            <w:r>
              <w:rPr>
                <w:color w:val="auto"/>
                <w:sz w:val="24"/>
              </w:rPr>
              <w:t>0.079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章镇镇</w:t>
            </w:r>
          </w:p>
        </w:tc>
        <w:tc>
          <w:tcPr>
            <w:tcW w:w="696" w:type="dxa"/>
            <w:vAlign w:val="top"/>
          </w:tcPr>
          <w:p>
            <w:pPr>
              <w:pStyle w:val="14"/>
              <w:ind w:left="27" w:leftChars="0" w:right="19" w:rightChars="0"/>
              <w:rPr>
                <w:color w:val="auto"/>
                <w:sz w:val="24"/>
              </w:rPr>
            </w:pPr>
            <w:r>
              <w:rPr>
                <w:color w:val="auto"/>
                <w:sz w:val="24"/>
              </w:rPr>
              <w:t>4.88</w:t>
            </w:r>
          </w:p>
        </w:tc>
        <w:tc>
          <w:tcPr>
            <w:tcW w:w="638" w:type="dxa"/>
            <w:vAlign w:val="top"/>
          </w:tcPr>
          <w:p>
            <w:pPr>
              <w:pStyle w:val="14"/>
              <w:ind w:right="8" w:rightChars="0"/>
              <w:jc w:val="right"/>
              <w:rPr>
                <w:color w:val="auto"/>
                <w:sz w:val="24"/>
              </w:rPr>
            </w:pPr>
            <w:r>
              <w:rPr>
                <w:color w:val="auto"/>
                <w:sz w:val="24"/>
              </w:rPr>
              <w:t>2.204</w:t>
            </w:r>
          </w:p>
        </w:tc>
        <w:tc>
          <w:tcPr>
            <w:tcW w:w="659" w:type="dxa"/>
            <w:vAlign w:val="top"/>
          </w:tcPr>
          <w:p>
            <w:pPr>
              <w:pStyle w:val="14"/>
              <w:ind w:left="89" w:leftChars="0"/>
              <w:jc w:val="left"/>
              <w:rPr>
                <w:color w:val="auto"/>
                <w:sz w:val="24"/>
              </w:rPr>
            </w:pPr>
            <w:r>
              <w:rPr>
                <w:color w:val="auto"/>
                <w:sz w:val="24"/>
              </w:rPr>
              <w:t>1.18</w:t>
            </w:r>
          </w:p>
        </w:tc>
        <w:tc>
          <w:tcPr>
            <w:tcW w:w="691" w:type="dxa"/>
            <w:vAlign w:val="top"/>
          </w:tcPr>
          <w:p>
            <w:pPr>
              <w:pStyle w:val="14"/>
              <w:ind w:right="36" w:rightChars="0"/>
              <w:jc w:val="right"/>
              <w:rPr>
                <w:color w:val="auto"/>
                <w:sz w:val="24"/>
              </w:rPr>
            </w:pPr>
            <w:r>
              <w:rPr>
                <w:color w:val="auto"/>
                <w:sz w:val="24"/>
              </w:rPr>
              <w:t>0.528</w:t>
            </w:r>
          </w:p>
        </w:tc>
        <w:tc>
          <w:tcPr>
            <w:tcW w:w="630" w:type="dxa"/>
            <w:vAlign w:val="top"/>
          </w:tcPr>
          <w:p>
            <w:pPr>
              <w:pStyle w:val="14"/>
              <w:ind w:left="5" w:leftChars="0"/>
              <w:rPr>
                <w:color w:val="auto"/>
                <w:sz w:val="24"/>
              </w:rPr>
            </w:pPr>
            <w:r>
              <w:rPr>
                <w:color w:val="auto"/>
                <w:sz w:val="24"/>
              </w:rPr>
              <w:t>2.65</w:t>
            </w:r>
          </w:p>
        </w:tc>
        <w:tc>
          <w:tcPr>
            <w:tcW w:w="653" w:type="dxa"/>
            <w:vAlign w:val="top"/>
          </w:tcPr>
          <w:p>
            <w:pPr>
              <w:pStyle w:val="14"/>
              <w:ind w:left="4" w:leftChars="0"/>
              <w:rPr>
                <w:color w:val="auto"/>
                <w:sz w:val="24"/>
              </w:rPr>
            </w:pPr>
            <w:r>
              <w:rPr>
                <w:color w:val="auto"/>
                <w:sz w:val="24"/>
              </w:rPr>
              <w:t>1.39</w:t>
            </w:r>
          </w:p>
        </w:tc>
        <w:tc>
          <w:tcPr>
            <w:tcW w:w="642" w:type="dxa"/>
            <w:vAlign w:val="top"/>
          </w:tcPr>
          <w:p>
            <w:pPr>
              <w:pStyle w:val="14"/>
              <w:ind w:left="57" w:leftChars="0" w:right="52" w:rightChars="0"/>
              <w:rPr>
                <w:color w:val="auto"/>
                <w:sz w:val="24"/>
              </w:rPr>
            </w:pPr>
            <w:r>
              <w:rPr>
                <w:color w:val="auto"/>
                <w:sz w:val="24"/>
              </w:rPr>
              <w:t>0.18</w:t>
            </w:r>
          </w:p>
        </w:tc>
        <w:tc>
          <w:tcPr>
            <w:tcW w:w="668" w:type="dxa"/>
            <w:vAlign w:val="top"/>
          </w:tcPr>
          <w:p>
            <w:pPr>
              <w:pStyle w:val="14"/>
              <w:ind w:right="25" w:rightChars="0"/>
              <w:jc w:val="right"/>
              <w:rPr>
                <w:color w:val="auto"/>
                <w:sz w:val="24"/>
              </w:rPr>
            </w:pPr>
            <w:r>
              <w:rPr>
                <w:color w:val="auto"/>
                <w:sz w:val="24"/>
              </w:rPr>
              <w:t>0.050</w:t>
            </w:r>
          </w:p>
        </w:tc>
        <w:tc>
          <w:tcPr>
            <w:tcW w:w="630" w:type="dxa"/>
            <w:vAlign w:val="top"/>
          </w:tcPr>
          <w:p>
            <w:pPr>
              <w:pStyle w:val="14"/>
              <w:ind w:left="8" w:leftChars="0"/>
              <w:rPr>
                <w:color w:val="auto"/>
                <w:sz w:val="24"/>
              </w:rPr>
            </w:pPr>
            <w:r>
              <w:rPr>
                <w:color w:val="auto"/>
                <w:sz w:val="24"/>
              </w:rPr>
              <w:t>0.87</w:t>
            </w:r>
          </w:p>
        </w:tc>
        <w:tc>
          <w:tcPr>
            <w:tcW w:w="704" w:type="dxa"/>
            <w:vAlign w:val="top"/>
          </w:tcPr>
          <w:p>
            <w:pPr>
              <w:pStyle w:val="14"/>
              <w:ind w:right="41" w:rightChars="0"/>
              <w:jc w:val="right"/>
              <w:rPr>
                <w:color w:val="auto"/>
                <w:sz w:val="24"/>
              </w:rPr>
            </w:pPr>
            <w:r>
              <w:rPr>
                <w:color w:val="auto"/>
                <w:sz w:val="24"/>
              </w:rPr>
              <w:t>0.236</w:t>
            </w:r>
          </w:p>
        </w:tc>
        <w:tc>
          <w:tcPr>
            <w:tcW w:w="738" w:type="dxa"/>
            <w:vAlign w:val="top"/>
          </w:tcPr>
          <w:p>
            <w:pPr>
              <w:pStyle w:val="14"/>
              <w:ind w:right="59" w:rightChars="0"/>
              <w:jc w:val="right"/>
              <w:rPr>
                <w:color w:val="auto"/>
                <w:sz w:val="24"/>
              </w:rPr>
            </w:pPr>
            <w:r>
              <w:rPr>
                <w:color w:val="auto"/>
                <w:sz w:val="24"/>
              </w:rPr>
              <w:t>0.486</w:t>
            </w:r>
          </w:p>
        </w:tc>
        <w:tc>
          <w:tcPr>
            <w:tcW w:w="958" w:type="dxa"/>
            <w:vAlign w:val="top"/>
          </w:tcPr>
          <w:p>
            <w:pPr>
              <w:pStyle w:val="14"/>
              <w:ind w:left="156" w:leftChars="0" w:right="151" w:rightChars="0"/>
              <w:rPr>
                <w:color w:val="auto"/>
                <w:sz w:val="24"/>
              </w:rPr>
            </w:pPr>
            <w:r>
              <w:rPr>
                <w:color w:val="auto"/>
                <w:sz w:val="24"/>
              </w:rPr>
              <w:t>0.086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丰惠镇</w:t>
            </w:r>
          </w:p>
        </w:tc>
        <w:tc>
          <w:tcPr>
            <w:tcW w:w="696" w:type="dxa"/>
            <w:vAlign w:val="top"/>
          </w:tcPr>
          <w:p>
            <w:pPr>
              <w:pStyle w:val="14"/>
              <w:spacing w:before="45"/>
              <w:ind w:left="27" w:leftChars="0" w:right="19" w:rightChars="0"/>
              <w:rPr>
                <w:color w:val="auto"/>
                <w:sz w:val="24"/>
              </w:rPr>
            </w:pPr>
            <w:r>
              <w:rPr>
                <w:color w:val="auto"/>
                <w:sz w:val="24"/>
              </w:rPr>
              <w:t>5.64</w:t>
            </w:r>
          </w:p>
        </w:tc>
        <w:tc>
          <w:tcPr>
            <w:tcW w:w="638" w:type="dxa"/>
            <w:vAlign w:val="top"/>
          </w:tcPr>
          <w:p>
            <w:pPr>
              <w:pStyle w:val="14"/>
              <w:spacing w:before="45"/>
              <w:ind w:right="8" w:rightChars="0"/>
              <w:jc w:val="right"/>
              <w:rPr>
                <w:color w:val="auto"/>
                <w:sz w:val="24"/>
              </w:rPr>
            </w:pPr>
            <w:r>
              <w:rPr>
                <w:color w:val="auto"/>
                <w:sz w:val="24"/>
              </w:rPr>
              <w:t>2.474</w:t>
            </w:r>
          </w:p>
        </w:tc>
        <w:tc>
          <w:tcPr>
            <w:tcW w:w="659" w:type="dxa"/>
            <w:vAlign w:val="top"/>
          </w:tcPr>
          <w:p>
            <w:pPr>
              <w:pStyle w:val="14"/>
              <w:spacing w:before="45"/>
              <w:ind w:left="89" w:leftChars="0"/>
              <w:jc w:val="left"/>
              <w:rPr>
                <w:color w:val="auto"/>
                <w:sz w:val="24"/>
              </w:rPr>
            </w:pPr>
            <w:r>
              <w:rPr>
                <w:color w:val="auto"/>
                <w:sz w:val="24"/>
              </w:rPr>
              <w:t>2.22</w:t>
            </w:r>
          </w:p>
        </w:tc>
        <w:tc>
          <w:tcPr>
            <w:tcW w:w="691" w:type="dxa"/>
            <w:vAlign w:val="top"/>
          </w:tcPr>
          <w:p>
            <w:pPr>
              <w:pStyle w:val="14"/>
              <w:spacing w:before="45"/>
              <w:ind w:right="36" w:rightChars="0"/>
              <w:jc w:val="right"/>
              <w:rPr>
                <w:color w:val="auto"/>
                <w:sz w:val="24"/>
              </w:rPr>
            </w:pPr>
            <w:r>
              <w:rPr>
                <w:color w:val="auto"/>
                <w:sz w:val="24"/>
              </w:rPr>
              <w:t>0.995</w:t>
            </w:r>
          </w:p>
        </w:tc>
        <w:tc>
          <w:tcPr>
            <w:tcW w:w="630" w:type="dxa"/>
            <w:vAlign w:val="top"/>
          </w:tcPr>
          <w:p>
            <w:pPr>
              <w:pStyle w:val="14"/>
              <w:spacing w:before="45"/>
              <w:ind w:left="5" w:leftChars="0"/>
              <w:rPr>
                <w:color w:val="auto"/>
                <w:sz w:val="24"/>
              </w:rPr>
            </w:pPr>
            <w:r>
              <w:rPr>
                <w:color w:val="auto"/>
                <w:sz w:val="24"/>
              </w:rPr>
              <w:t>2.65</w:t>
            </w:r>
          </w:p>
        </w:tc>
        <w:tc>
          <w:tcPr>
            <w:tcW w:w="653" w:type="dxa"/>
            <w:vAlign w:val="top"/>
          </w:tcPr>
          <w:p>
            <w:pPr>
              <w:pStyle w:val="14"/>
              <w:spacing w:before="45"/>
              <w:ind w:left="4" w:leftChars="0"/>
              <w:rPr>
                <w:color w:val="auto"/>
                <w:sz w:val="24"/>
              </w:rPr>
            </w:pPr>
            <w:r>
              <w:rPr>
                <w:color w:val="auto"/>
                <w:sz w:val="24"/>
              </w:rPr>
              <w:t>1.27</w:t>
            </w:r>
          </w:p>
        </w:tc>
        <w:tc>
          <w:tcPr>
            <w:tcW w:w="642" w:type="dxa"/>
            <w:vAlign w:val="top"/>
          </w:tcPr>
          <w:p>
            <w:pPr>
              <w:pStyle w:val="14"/>
              <w:spacing w:before="45"/>
              <w:ind w:left="57" w:leftChars="0" w:right="52" w:rightChars="0"/>
              <w:rPr>
                <w:color w:val="auto"/>
                <w:sz w:val="24"/>
              </w:rPr>
            </w:pPr>
            <w:r>
              <w:rPr>
                <w:color w:val="auto"/>
                <w:sz w:val="24"/>
              </w:rPr>
              <w:t>0.09</w:t>
            </w:r>
          </w:p>
        </w:tc>
        <w:tc>
          <w:tcPr>
            <w:tcW w:w="668" w:type="dxa"/>
            <w:vAlign w:val="top"/>
          </w:tcPr>
          <w:p>
            <w:pPr>
              <w:pStyle w:val="14"/>
              <w:spacing w:before="45"/>
              <w:ind w:right="25" w:rightChars="0"/>
              <w:jc w:val="right"/>
              <w:rPr>
                <w:color w:val="auto"/>
                <w:sz w:val="24"/>
              </w:rPr>
            </w:pPr>
            <w:r>
              <w:rPr>
                <w:color w:val="auto"/>
                <w:sz w:val="24"/>
              </w:rPr>
              <w:t>0.025</w:t>
            </w:r>
          </w:p>
        </w:tc>
        <w:tc>
          <w:tcPr>
            <w:tcW w:w="630" w:type="dxa"/>
            <w:vAlign w:val="top"/>
          </w:tcPr>
          <w:p>
            <w:pPr>
              <w:pStyle w:val="14"/>
              <w:spacing w:before="45"/>
              <w:ind w:left="8" w:leftChars="0"/>
              <w:rPr>
                <w:color w:val="auto"/>
                <w:sz w:val="24"/>
              </w:rPr>
            </w:pPr>
            <w:r>
              <w:rPr>
                <w:color w:val="auto"/>
                <w:sz w:val="24"/>
              </w:rPr>
              <w:t>0.68</w:t>
            </w:r>
          </w:p>
        </w:tc>
        <w:tc>
          <w:tcPr>
            <w:tcW w:w="704" w:type="dxa"/>
            <w:vAlign w:val="top"/>
          </w:tcPr>
          <w:p>
            <w:pPr>
              <w:pStyle w:val="14"/>
              <w:spacing w:before="45"/>
              <w:ind w:right="41" w:rightChars="0"/>
              <w:jc w:val="right"/>
              <w:rPr>
                <w:color w:val="auto"/>
                <w:sz w:val="24"/>
              </w:rPr>
            </w:pPr>
            <w:r>
              <w:rPr>
                <w:color w:val="auto"/>
                <w:sz w:val="24"/>
              </w:rPr>
              <w:t>0.184</w:t>
            </w:r>
          </w:p>
        </w:tc>
        <w:tc>
          <w:tcPr>
            <w:tcW w:w="738" w:type="dxa"/>
            <w:vAlign w:val="top"/>
          </w:tcPr>
          <w:p>
            <w:pPr>
              <w:pStyle w:val="14"/>
              <w:spacing w:before="45"/>
              <w:ind w:right="59" w:rightChars="0"/>
              <w:jc w:val="right"/>
              <w:rPr>
                <w:rFonts w:hint="eastAsia" w:eastAsia="仿宋"/>
                <w:color w:val="auto"/>
                <w:sz w:val="24"/>
                <w:lang w:eastAsia="zh-CN"/>
              </w:rPr>
            </w:pPr>
            <w:r>
              <w:rPr>
                <w:color w:val="auto"/>
                <w:sz w:val="24"/>
              </w:rPr>
              <w:t>0.23</w:t>
            </w:r>
            <w:r>
              <w:rPr>
                <w:rFonts w:hint="eastAsia"/>
                <w:color w:val="auto"/>
                <w:sz w:val="24"/>
                <w:lang w:val="en-US" w:eastAsia="zh-CN"/>
              </w:rPr>
              <w:t>4</w:t>
            </w:r>
          </w:p>
        </w:tc>
        <w:tc>
          <w:tcPr>
            <w:tcW w:w="958" w:type="dxa"/>
            <w:vAlign w:val="top"/>
          </w:tcPr>
          <w:p>
            <w:pPr>
              <w:pStyle w:val="14"/>
              <w:spacing w:before="45"/>
              <w:ind w:left="156" w:leftChars="0" w:right="151" w:rightChars="0"/>
              <w:rPr>
                <w:color w:val="auto"/>
                <w:sz w:val="24"/>
              </w:rPr>
            </w:pPr>
            <w:r>
              <w:rPr>
                <w:color w:val="auto"/>
                <w:sz w:val="24"/>
              </w:rPr>
              <w:t>0.041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上浦镇</w:t>
            </w:r>
          </w:p>
        </w:tc>
        <w:tc>
          <w:tcPr>
            <w:tcW w:w="696" w:type="dxa"/>
            <w:vAlign w:val="top"/>
          </w:tcPr>
          <w:p>
            <w:pPr>
              <w:pStyle w:val="14"/>
              <w:ind w:left="27" w:leftChars="0" w:right="19" w:rightChars="0"/>
              <w:rPr>
                <w:color w:val="auto"/>
                <w:sz w:val="24"/>
              </w:rPr>
            </w:pPr>
            <w:r>
              <w:rPr>
                <w:color w:val="auto"/>
                <w:sz w:val="24"/>
              </w:rPr>
              <w:t>3.56</w:t>
            </w:r>
          </w:p>
        </w:tc>
        <w:tc>
          <w:tcPr>
            <w:tcW w:w="638" w:type="dxa"/>
            <w:vAlign w:val="top"/>
          </w:tcPr>
          <w:p>
            <w:pPr>
              <w:pStyle w:val="14"/>
              <w:ind w:right="8" w:rightChars="0"/>
              <w:jc w:val="right"/>
              <w:rPr>
                <w:color w:val="auto"/>
                <w:sz w:val="24"/>
              </w:rPr>
            </w:pPr>
            <w:r>
              <w:rPr>
                <w:color w:val="auto"/>
                <w:sz w:val="24"/>
              </w:rPr>
              <w:t>1.543</w:t>
            </w:r>
          </w:p>
        </w:tc>
        <w:tc>
          <w:tcPr>
            <w:tcW w:w="659" w:type="dxa"/>
            <w:vAlign w:val="top"/>
          </w:tcPr>
          <w:p>
            <w:pPr>
              <w:pStyle w:val="14"/>
              <w:ind w:left="89" w:leftChars="0"/>
              <w:jc w:val="left"/>
              <w:rPr>
                <w:color w:val="auto"/>
                <w:sz w:val="24"/>
              </w:rPr>
            </w:pPr>
            <w:r>
              <w:rPr>
                <w:color w:val="auto"/>
                <w:sz w:val="24"/>
              </w:rPr>
              <w:t>1.06</w:t>
            </w:r>
          </w:p>
        </w:tc>
        <w:tc>
          <w:tcPr>
            <w:tcW w:w="691" w:type="dxa"/>
            <w:vAlign w:val="top"/>
          </w:tcPr>
          <w:p>
            <w:pPr>
              <w:pStyle w:val="14"/>
              <w:ind w:right="36" w:rightChars="0"/>
              <w:jc w:val="right"/>
              <w:rPr>
                <w:color w:val="auto"/>
                <w:sz w:val="24"/>
              </w:rPr>
            </w:pPr>
            <w:r>
              <w:rPr>
                <w:color w:val="auto"/>
                <w:sz w:val="24"/>
              </w:rPr>
              <w:t>0.475</w:t>
            </w:r>
          </w:p>
        </w:tc>
        <w:tc>
          <w:tcPr>
            <w:tcW w:w="630" w:type="dxa"/>
            <w:vAlign w:val="top"/>
          </w:tcPr>
          <w:p>
            <w:pPr>
              <w:pStyle w:val="14"/>
              <w:ind w:left="5" w:leftChars="0"/>
              <w:rPr>
                <w:color w:val="auto"/>
                <w:sz w:val="24"/>
              </w:rPr>
            </w:pPr>
            <w:r>
              <w:rPr>
                <w:color w:val="auto"/>
                <w:sz w:val="24"/>
              </w:rPr>
              <w:t>1.70</w:t>
            </w:r>
          </w:p>
        </w:tc>
        <w:tc>
          <w:tcPr>
            <w:tcW w:w="653" w:type="dxa"/>
            <w:vAlign w:val="top"/>
          </w:tcPr>
          <w:p>
            <w:pPr>
              <w:pStyle w:val="14"/>
              <w:ind w:left="4" w:leftChars="0"/>
              <w:rPr>
                <w:color w:val="auto"/>
                <w:sz w:val="24"/>
              </w:rPr>
            </w:pPr>
            <w:r>
              <w:rPr>
                <w:color w:val="auto"/>
                <w:sz w:val="24"/>
              </w:rPr>
              <w:t>0.85</w:t>
            </w:r>
          </w:p>
        </w:tc>
        <w:tc>
          <w:tcPr>
            <w:tcW w:w="642" w:type="dxa"/>
            <w:vAlign w:val="top"/>
          </w:tcPr>
          <w:p>
            <w:pPr>
              <w:pStyle w:val="14"/>
              <w:ind w:left="58" w:leftChars="0" w:right="51" w:rightChars="0"/>
              <w:rPr>
                <w:color w:val="auto"/>
                <w:sz w:val="24"/>
              </w:rPr>
            </w:pPr>
            <w:r>
              <w:rPr>
                <w:color w:val="auto"/>
                <w:sz w:val="24"/>
              </w:rPr>
              <w:t>0.17</w:t>
            </w:r>
          </w:p>
        </w:tc>
        <w:tc>
          <w:tcPr>
            <w:tcW w:w="668" w:type="dxa"/>
            <w:vAlign w:val="top"/>
          </w:tcPr>
          <w:p>
            <w:pPr>
              <w:pStyle w:val="14"/>
              <w:ind w:right="25" w:rightChars="0"/>
              <w:jc w:val="right"/>
              <w:rPr>
                <w:color w:val="auto"/>
                <w:sz w:val="24"/>
              </w:rPr>
            </w:pPr>
            <w:r>
              <w:rPr>
                <w:color w:val="auto"/>
                <w:sz w:val="24"/>
              </w:rPr>
              <w:t>0.047</w:t>
            </w:r>
          </w:p>
        </w:tc>
        <w:tc>
          <w:tcPr>
            <w:tcW w:w="630" w:type="dxa"/>
            <w:vAlign w:val="top"/>
          </w:tcPr>
          <w:p>
            <w:pPr>
              <w:pStyle w:val="14"/>
              <w:ind w:left="8" w:leftChars="0"/>
              <w:rPr>
                <w:color w:val="auto"/>
                <w:sz w:val="24"/>
              </w:rPr>
            </w:pPr>
            <w:r>
              <w:rPr>
                <w:color w:val="auto"/>
                <w:sz w:val="24"/>
              </w:rPr>
              <w:t>0.63</w:t>
            </w:r>
          </w:p>
        </w:tc>
        <w:tc>
          <w:tcPr>
            <w:tcW w:w="704" w:type="dxa"/>
            <w:vAlign w:val="top"/>
          </w:tcPr>
          <w:p>
            <w:pPr>
              <w:pStyle w:val="14"/>
              <w:ind w:right="41" w:rightChars="0"/>
              <w:jc w:val="right"/>
              <w:rPr>
                <w:color w:val="auto"/>
                <w:sz w:val="24"/>
              </w:rPr>
            </w:pPr>
            <w:r>
              <w:rPr>
                <w:color w:val="auto"/>
                <w:sz w:val="24"/>
              </w:rPr>
              <w:t>0.171</w:t>
            </w:r>
          </w:p>
        </w:tc>
        <w:tc>
          <w:tcPr>
            <w:tcW w:w="738" w:type="dxa"/>
            <w:vAlign w:val="top"/>
          </w:tcPr>
          <w:p>
            <w:pPr>
              <w:pStyle w:val="14"/>
              <w:ind w:right="59" w:rightChars="0"/>
              <w:jc w:val="right"/>
              <w:rPr>
                <w:color w:val="auto"/>
                <w:sz w:val="24"/>
              </w:rPr>
            </w:pPr>
            <w:r>
              <w:rPr>
                <w:color w:val="auto"/>
                <w:sz w:val="24"/>
              </w:rPr>
              <w:t>0.184</w:t>
            </w:r>
          </w:p>
        </w:tc>
        <w:tc>
          <w:tcPr>
            <w:tcW w:w="958" w:type="dxa"/>
            <w:vAlign w:val="top"/>
          </w:tcPr>
          <w:p>
            <w:pPr>
              <w:pStyle w:val="14"/>
              <w:ind w:left="156" w:leftChars="0" w:right="151" w:rightChars="0"/>
              <w:rPr>
                <w:color w:val="auto"/>
                <w:sz w:val="24"/>
              </w:rPr>
            </w:pPr>
            <w:r>
              <w:rPr>
                <w:color w:val="auto"/>
                <w:sz w:val="24"/>
              </w:rPr>
              <w:t>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汤浦镇</w:t>
            </w:r>
          </w:p>
        </w:tc>
        <w:tc>
          <w:tcPr>
            <w:tcW w:w="696" w:type="dxa"/>
            <w:vAlign w:val="top"/>
          </w:tcPr>
          <w:p>
            <w:pPr>
              <w:pStyle w:val="14"/>
              <w:ind w:left="27" w:leftChars="0" w:right="19" w:rightChars="0"/>
              <w:rPr>
                <w:color w:val="auto"/>
                <w:sz w:val="24"/>
              </w:rPr>
            </w:pPr>
            <w:r>
              <w:rPr>
                <w:color w:val="auto"/>
                <w:sz w:val="24"/>
              </w:rPr>
              <w:t>0.86</w:t>
            </w:r>
          </w:p>
        </w:tc>
        <w:tc>
          <w:tcPr>
            <w:tcW w:w="638" w:type="dxa"/>
            <w:vAlign w:val="top"/>
          </w:tcPr>
          <w:p>
            <w:pPr>
              <w:pStyle w:val="14"/>
              <w:ind w:right="8" w:rightChars="0"/>
              <w:jc w:val="right"/>
              <w:rPr>
                <w:color w:val="auto"/>
                <w:sz w:val="24"/>
              </w:rPr>
            </w:pPr>
            <w:r>
              <w:rPr>
                <w:color w:val="auto"/>
                <w:sz w:val="24"/>
              </w:rPr>
              <w:t>0.367</w:t>
            </w:r>
          </w:p>
        </w:tc>
        <w:tc>
          <w:tcPr>
            <w:tcW w:w="659" w:type="dxa"/>
            <w:vAlign w:val="top"/>
          </w:tcPr>
          <w:p>
            <w:pPr>
              <w:pStyle w:val="14"/>
              <w:ind w:left="89" w:leftChars="0"/>
              <w:jc w:val="left"/>
              <w:rPr>
                <w:color w:val="auto"/>
                <w:sz w:val="24"/>
              </w:rPr>
            </w:pPr>
            <w:r>
              <w:rPr>
                <w:color w:val="auto"/>
                <w:sz w:val="24"/>
              </w:rPr>
              <w:t>0.22</w:t>
            </w:r>
          </w:p>
        </w:tc>
        <w:tc>
          <w:tcPr>
            <w:tcW w:w="691" w:type="dxa"/>
            <w:vAlign w:val="top"/>
          </w:tcPr>
          <w:p>
            <w:pPr>
              <w:pStyle w:val="14"/>
              <w:ind w:right="36" w:rightChars="0"/>
              <w:jc w:val="right"/>
              <w:rPr>
                <w:color w:val="auto"/>
                <w:sz w:val="24"/>
              </w:rPr>
            </w:pPr>
            <w:r>
              <w:rPr>
                <w:color w:val="auto"/>
                <w:sz w:val="24"/>
              </w:rPr>
              <w:t>0.099</w:t>
            </w:r>
          </w:p>
        </w:tc>
        <w:tc>
          <w:tcPr>
            <w:tcW w:w="630" w:type="dxa"/>
            <w:vAlign w:val="top"/>
          </w:tcPr>
          <w:p>
            <w:pPr>
              <w:pStyle w:val="14"/>
              <w:ind w:left="5" w:leftChars="0"/>
              <w:rPr>
                <w:color w:val="auto"/>
                <w:sz w:val="24"/>
              </w:rPr>
            </w:pPr>
            <w:r>
              <w:rPr>
                <w:color w:val="auto"/>
                <w:sz w:val="24"/>
              </w:rPr>
              <w:t>0.39</w:t>
            </w:r>
          </w:p>
        </w:tc>
        <w:tc>
          <w:tcPr>
            <w:tcW w:w="653" w:type="dxa"/>
            <w:vAlign w:val="top"/>
          </w:tcPr>
          <w:p>
            <w:pPr>
              <w:pStyle w:val="14"/>
              <w:ind w:left="4" w:leftChars="0"/>
              <w:rPr>
                <w:color w:val="auto"/>
                <w:sz w:val="24"/>
              </w:rPr>
            </w:pPr>
            <w:r>
              <w:rPr>
                <w:color w:val="auto"/>
                <w:sz w:val="24"/>
              </w:rPr>
              <w:t>0.20</w:t>
            </w:r>
          </w:p>
        </w:tc>
        <w:tc>
          <w:tcPr>
            <w:tcW w:w="642" w:type="dxa"/>
            <w:vAlign w:val="top"/>
          </w:tcPr>
          <w:p>
            <w:pPr>
              <w:pStyle w:val="14"/>
              <w:ind w:left="57" w:leftChars="0" w:right="52" w:rightChars="0"/>
              <w:rPr>
                <w:color w:val="auto"/>
                <w:sz w:val="24"/>
              </w:rPr>
            </w:pPr>
            <w:r>
              <w:rPr>
                <w:color w:val="auto"/>
                <w:sz w:val="24"/>
              </w:rPr>
              <w:t>0.09</w:t>
            </w:r>
          </w:p>
        </w:tc>
        <w:tc>
          <w:tcPr>
            <w:tcW w:w="668" w:type="dxa"/>
            <w:vAlign w:val="top"/>
          </w:tcPr>
          <w:p>
            <w:pPr>
              <w:pStyle w:val="14"/>
              <w:ind w:right="25" w:rightChars="0"/>
              <w:jc w:val="right"/>
              <w:rPr>
                <w:color w:val="auto"/>
                <w:sz w:val="24"/>
              </w:rPr>
            </w:pPr>
            <w:r>
              <w:rPr>
                <w:color w:val="auto"/>
                <w:sz w:val="24"/>
              </w:rPr>
              <w:t>0.025</w:t>
            </w:r>
          </w:p>
        </w:tc>
        <w:tc>
          <w:tcPr>
            <w:tcW w:w="630" w:type="dxa"/>
            <w:vAlign w:val="top"/>
          </w:tcPr>
          <w:p>
            <w:pPr>
              <w:pStyle w:val="14"/>
              <w:ind w:left="8" w:leftChars="0"/>
              <w:rPr>
                <w:color w:val="auto"/>
                <w:sz w:val="24"/>
              </w:rPr>
            </w:pPr>
            <w:r>
              <w:rPr>
                <w:color w:val="auto"/>
                <w:sz w:val="24"/>
              </w:rPr>
              <w:t>0.16</w:t>
            </w:r>
          </w:p>
        </w:tc>
        <w:tc>
          <w:tcPr>
            <w:tcW w:w="704" w:type="dxa"/>
            <w:vAlign w:val="top"/>
          </w:tcPr>
          <w:p>
            <w:pPr>
              <w:pStyle w:val="14"/>
              <w:ind w:right="41" w:rightChars="0"/>
              <w:jc w:val="right"/>
              <w:rPr>
                <w:color w:val="auto"/>
                <w:sz w:val="24"/>
              </w:rPr>
            </w:pPr>
            <w:r>
              <w:rPr>
                <w:color w:val="auto"/>
                <w:sz w:val="24"/>
              </w:rPr>
              <w:t>0.043</w:t>
            </w:r>
          </w:p>
        </w:tc>
        <w:tc>
          <w:tcPr>
            <w:tcW w:w="738" w:type="dxa"/>
            <w:vAlign w:val="top"/>
          </w:tcPr>
          <w:p>
            <w:pPr>
              <w:pStyle w:val="14"/>
              <w:ind w:right="59" w:rightChars="0"/>
              <w:jc w:val="right"/>
              <w:rPr>
                <w:color w:val="auto"/>
                <w:sz w:val="24"/>
              </w:rPr>
            </w:pPr>
            <w:r>
              <w:rPr>
                <w:color w:val="auto"/>
                <w:sz w:val="24"/>
              </w:rPr>
              <w:t>0.043</w:t>
            </w:r>
          </w:p>
        </w:tc>
        <w:tc>
          <w:tcPr>
            <w:tcW w:w="958" w:type="dxa"/>
            <w:vAlign w:val="top"/>
          </w:tcPr>
          <w:p>
            <w:pPr>
              <w:pStyle w:val="14"/>
              <w:ind w:left="156" w:leftChars="0" w:right="151" w:rightChars="0"/>
              <w:rPr>
                <w:color w:val="auto"/>
                <w:sz w:val="24"/>
              </w:rPr>
            </w:pPr>
            <w:r>
              <w:rPr>
                <w:color w:val="auto"/>
                <w:sz w:val="24"/>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7"/>
              <w:ind w:left="35" w:right="29"/>
              <w:rPr>
                <w:rFonts w:hint="eastAsia" w:ascii="仿宋_GB2312" w:eastAsia="仿宋_GB2312"/>
                <w:color w:val="auto"/>
                <w:sz w:val="24"/>
              </w:rPr>
            </w:pPr>
            <w:r>
              <w:rPr>
                <w:rFonts w:hint="eastAsia" w:ascii="仿宋_GB2312" w:eastAsia="仿宋_GB2312"/>
                <w:color w:val="auto"/>
                <w:sz w:val="24"/>
              </w:rPr>
              <w:t>永和镇</w:t>
            </w:r>
          </w:p>
        </w:tc>
        <w:tc>
          <w:tcPr>
            <w:tcW w:w="696" w:type="dxa"/>
            <w:vAlign w:val="top"/>
          </w:tcPr>
          <w:p>
            <w:pPr>
              <w:pStyle w:val="14"/>
              <w:spacing w:before="47"/>
              <w:ind w:left="27" w:leftChars="0" w:right="19" w:rightChars="0"/>
              <w:rPr>
                <w:color w:val="auto"/>
                <w:sz w:val="24"/>
              </w:rPr>
            </w:pPr>
            <w:r>
              <w:rPr>
                <w:color w:val="auto"/>
                <w:sz w:val="24"/>
              </w:rPr>
              <w:t>2.70</w:t>
            </w:r>
          </w:p>
        </w:tc>
        <w:tc>
          <w:tcPr>
            <w:tcW w:w="638" w:type="dxa"/>
            <w:vAlign w:val="top"/>
          </w:tcPr>
          <w:p>
            <w:pPr>
              <w:pStyle w:val="14"/>
              <w:spacing w:before="47"/>
              <w:ind w:right="8" w:rightChars="0"/>
              <w:jc w:val="right"/>
              <w:rPr>
                <w:color w:val="auto"/>
                <w:sz w:val="24"/>
              </w:rPr>
            </w:pPr>
            <w:r>
              <w:rPr>
                <w:color w:val="auto"/>
                <w:sz w:val="24"/>
              </w:rPr>
              <w:t>1.166</w:t>
            </w:r>
          </w:p>
        </w:tc>
        <w:tc>
          <w:tcPr>
            <w:tcW w:w="659" w:type="dxa"/>
            <w:vAlign w:val="top"/>
          </w:tcPr>
          <w:p>
            <w:pPr>
              <w:pStyle w:val="14"/>
              <w:spacing w:before="47"/>
              <w:ind w:left="89" w:leftChars="0"/>
              <w:jc w:val="left"/>
              <w:rPr>
                <w:color w:val="auto"/>
                <w:sz w:val="24"/>
              </w:rPr>
            </w:pPr>
            <w:r>
              <w:rPr>
                <w:color w:val="auto"/>
                <w:sz w:val="24"/>
              </w:rPr>
              <w:t>1.18</w:t>
            </w:r>
          </w:p>
        </w:tc>
        <w:tc>
          <w:tcPr>
            <w:tcW w:w="691" w:type="dxa"/>
            <w:vAlign w:val="top"/>
          </w:tcPr>
          <w:p>
            <w:pPr>
              <w:pStyle w:val="14"/>
              <w:spacing w:before="47"/>
              <w:ind w:right="36" w:rightChars="0"/>
              <w:jc w:val="right"/>
              <w:rPr>
                <w:color w:val="auto"/>
                <w:sz w:val="24"/>
              </w:rPr>
            </w:pPr>
            <w:r>
              <w:rPr>
                <w:color w:val="auto"/>
                <w:sz w:val="24"/>
              </w:rPr>
              <w:t>0.529</w:t>
            </w:r>
          </w:p>
        </w:tc>
        <w:tc>
          <w:tcPr>
            <w:tcW w:w="630" w:type="dxa"/>
            <w:vAlign w:val="top"/>
          </w:tcPr>
          <w:p>
            <w:pPr>
              <w:pStyle w:val="14"/>
              <w:spacing w:before="47"/>
              <w:ind w:left="5" w:leftChars="0"/>
              <w:rPr>
                <w:color w:val="auto"/>
                <w:sz w:val="24"/>
              </w:rPr>
            </w:pPr>
            <w:r>
              <w:rPr>
                <w:color w:val="auto"/>
                <w:sz w:val="24"/>
              </w:rPr>
              <w:t>1.20</w:t>
            </w:r>
          </w:p>
        </w:tc>
        <w:tc>
          <w:tcPr>
            <w:tcW w:w="653" w:type="dxa"/>
            <w:vAlign w:val="top"/>
          </w:tcPr>
          <w:p>
            <w:pPr>
              <w:pStyle w:val="14"/>
              <w:spacing w:before="47"/>
              <w:ind w:left="4" w:leftChars="0"/>
              <w:rPr>
                <w:color w:val="auto"/>
                <w:sz w:val="24"/>
              </w:rPr>
            </w:pPr>
            <w:r>
              <w:rPr>
                <w:color w:val="auto"/>
                <w:sz w:val="24"/>
              </w:rPr>
              <w:t>0.55</w:t>
            </w:r>
          </w:p>
        </w:tc>
        <w:tc>
          <w:tcPr>
            <w:tcW w:w="642" w:type="dxa"/>
            <w:vAlign w:val="top"/>
          </w:tcPr>
          <w:p>
            <w:pPr>
              <w:pStyle w:val="14"/>
              <w:spacing w:before="47"/>
              <w:ind w:left="57" w:leftChars="0" w:right="52" w:rightChars="0"/>
              <w:rPr>
                <w:color w:val="auto"/>
                <w:sz w:val="24"/>
              </w:rPr>
            </w:pPr>
            <w:r>
              <w:rPr>
                <w:color w:val="auto"/>
                <w:sz w:val="24"/>
              </w:rPr>
              <w:t>0.01</w:t>
            </w:r>
          </w:p>
        </w:tc>
        <w:tc>
          <w:tcPr>
            <w:tcW w:w="668" w:type="dxa"/>
            <w:vAlign w:val="top"/>
          </w:tcPr>
          <w:p>
            <w:pPr>
              <w:pStyle w:val="14"/>
              <w:spacing w:before="47"/>
              <w:ind w:right="25" w:rightChars="0"/>
              <w:jc w:val="right"/>
              <w:rPr>
                <w:color w:val="auto"/>
                <w:sz w:val="24"/>
              </w:rPr>
            </w:pPr>
            <w:r>
              <w:rPr>
                <w:color w:val="auto"/>
                <w:sz w:val="24"/>
              </w:rPr>
              <w:t>0.003</w:t>
            </w:r>
          </w:p>
        </w:tc>
        <w:tc>
          <w:tcPr>
            <w:tcW w:w="630" w:type="dxa"/>
            <w:vAlign w:val="top"/>
          </w:tcPr>
          <w:p>
            <w:pPr>
              <w:pStyle w:val="14"/>
              <w:spacing w:before="47"/>
              <w:ind w:left="8" w:leftChars="0"/>
              <w:rPr>
                <w:color w:val="auto"/>
                <w:sz w:val="24"/>
              </w:rPr>
            </w:pPr>
            <w:r>
              <w:rPr>
                <w:color w:val="auto"/>
                <w:sz w:val="24"/>
              </w:rPr>
              <w:t>0.31</w:t>
            </w:r>
          </w:p>
        </w:tc>
        <w:tc>
          <w:tcPr>
            <w:tcW w:w="704" w:type="dxa"/>
            <w:vAlign w:val="top"/>
          </w:tcPr>
          <w:p>
            <w:pPr>
              <w:pStyle w:val="14"/>
              <w:spacing w:before="47"/>
              <w:ind w:right="41" w:rightChars="0"/>
              <w:jc w:val="right"/>
              <w:rPr>
                <w:color w:val="auto"/>
                <w:sz w:val="24"/>
              </w:rPr>
            </w:pPr>
            <w:r>
              <w:rPr>
                <w:color w:val="auto"/>
                <w:sz w:val="24"/>
              </w:rPr>
              <w:t>0.084</w:t>
            </w:r>
          </w:p>
        </w:tc>
        <w:tc>
          <w:tcPr>
            <w:tcW w:w="738" w:type="dxa"/>
            <w:vAlign w:val="top"/>
          </w:tcPr>
          <w:p>
            <w:pPr>
              <w:pStyle w:val="14"/>
              <w:spacing w:before="47"/>
              <w:ind w:right="119" w:rightChars="0"/>
              <w:jc w:val="right"/>
              <w:rPr>
                <w:color w:val="auto"/>
                <w:sz w:val="24"/>
              </w:rPr>
            </w:pPr>
            <w:r>
              <w:rPr>
                <w:color w:val="auto"/>
                <w:sz w:val="24"/>
              </w:rPr>
              <w:t>0.11</w:t>
            </w:r>
          </w:p>
        </w:tc>
        <w:tc>
          <w:tcPr>
            <w:tcW w:w="958" w:type="dxa"/>
            <w:vAlign w:val="top"/>
          </w:tcPr>
          <w:p>
            <w:pPr>
              <w:pStyle w:val="14"/>
              <w:spacing w:before="47"/>
              <w:ind w:left="156" w:leftChars="0" w:right="151" w:rightChars="0"/>
              <w:rPr>
                <w:color w:val="auto"/>
                <w:sz w:val="24"/>
              </w:rPr>
            </w:pPr>
            <w:r>
              <w:rPr>
                <w:color w:val="auto"/>
                <w:sz w:val="24"/>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驿亭镇</w:t>
            </w:r>
          </w:p>
        </w:tc>
        <w:tc>
          <w:tcPr>
            <w:tcW w:w="696" w:type="dxa"/>
            <w:vAlign w:val="top"/>
          </w:tcPr>
          <w:p>
            <w:pPr>
              <w:pStyle w:val="14"/>
              <w:ind w:left="27" w:leftChars="0" w:right="19" w:rightChars="0"/>
              <w:rPr>
                <w:color w:val="auto"/>
                <w:sz w:val="24"/>
              </w:rPr>
            </w:pPr>
            <w:r>
              <w:rPr>
                <w:color w:val="auto"/>
                <w:sz w:val="24"/>
              </w:rPr>
              <w:t>1.32</w:t>
            </w:r>
          </w:p>
        </w:tc>
        <w:tc>
          <w:tcPr>
            <w:tcW w:w="638" w:type="dxa"/>
            <w:vAlign w:val="top"/>
          </w:tcPr>
          <w:p>
            <w:pPr>
              <w:pStyle w:val="14"/>
              <w:ind w:right="8" w:rightChars="0"/>
              <w:jc w:val="right"/>
              <w:rPr>
                <w:color w:val="auto"/>
                <w:sz w:val="24"/>
              </w:rPr>
            </w:pPr>
            <w:r>
              <w:rPr>
                <w:color w:val="auto"/>
                <w:sz w:val="24"/>
              </w:rPr>
              <w:t>0.558</w:t>
            </w:r>
          </w:p>
        </w:tc>
        <w:tc>
          <w:tcPr>
            <w:tcW w:w="659" w:type="dxa"/>
            <w:vAlign w:val="top"/>
          </w:tcPr>
          <w:p>
            <w:pPr>
              <w:pStyle w:val="14"/>
              <w:ind w:left="89" w:leftChars="0"/>
              <w:jc w:val="left"/>
              <w:rPr>
                <w:color w:val="auto"/>
                <w:sz w:val="24"/>
              </w:rPr>
            </w:pPr>
            <w:r>
              <w:rPr>
                <w:color w:val="auto"/>
                <w:sz w:val="24"/>
              </w:rPr>
              <w:t>0.38</w:t>
            </w:r>
          </w:p>
        </w:tc>
        <w:tc>
          <w:tcPr>
            <w:tcW w:w="691" w:type="dxa"/>
            <w:vAlign w:val="top"/>
          </w:tcPr>
          <w:p>
            <w:pPr>
              <w:pStyle w:val="14"/>
              <w:ind w:right="36" w:rightChars="0"/>
              <w:jc w:val="right"/>
              <w:rPr>
                <w:color w:val="auto"/>
                <w:sz w:val="24"/>
              </w:rPr>
            </w:pPr>
            <w:r>
              <w:rPr>
                <w:color w:val="auto"/>
                <w:sz w:val="24"/>
              </w:rPr>
              <w:t>0.170</w:t>
            </w:r>
          </w:p>
        </w:tc>
        <w:tc>
          <w:tcPr>
            <w:tcW w:w="630" w:type="dxa"/>
            <w:vAlign w:val="top"/>
          </w:tcPr>
          <w:p>
            <w:pPr>
              <w:pStyle w:val="14"/>
              <w:ind w:left="5" w:leftChars="0"/>
              <w:rPr>
                <w:color w:val="auto"/>
                <w:sz w:val="24"/>
              </w:rPr>
            </w:pPr>
            <w:r>
              <w:rPr>
                <w:color w:val="auto"/>
                <w:sz w:val="24"/>
              </w:rPr>
              <w:t>0.58</w:t>
            </w:r>
          </w:p>
        </w:tc>
        <w:tc>
          <w:tcPr>
            <w:tcW w:w="653" w:type="dxa"/>
            <w:vAlign w:val="top"/>
          </w:tcPr>
          <w:p>
            <w:pPr>
              <w:pStyle w:val="14"/>
              <w:ind w:left="4" w:leftChars="0"/>
              <w:rPr>
                <w:color w:val="auto"/>
                <w:sz w:val="24"/>
              </w:rPr>
            </w:pPr>
            <w:r>
              <w:rPr>
                <w:color w:val="auto"/>
                <w:sz w:val="24"/>
              </w:rPr>
              <w:t>0.29</w:t>
            </w:r>
          </w:p>
        </w:tc>
        <w:tc>
          <w:tcPr>
            <w:tcW w:w="642" w:type="dxa"/>
            <w:vAlign w:val="top"/>
          </w:tcPr>
          <w:p>
            <w:pPr>
              <w:pStyle w:val="14"/>
              <w:ind w:left="57" w:leftChars="0" w:right="52" w:rightChars="0"/>
              <w:rPr>
                <w:color w:val="auto"/>
                <w:sz w:val="24"/>
              </w:rPr>
            </w:pPr>
            <w:r>
              <w:rPr>
                <w:color w:val="auto"/>
                <w:sz w:val="24"/>
              </w:rPr>
              <w:t>0.07</w:t>
            </w:r>
          </w:p>
        </w:tc>
        <w:tc>
          <w:tcPr>
            <w:tcW w:w="668" w:type="dxa"/>
            <w:vAlign w:val="top"/>
          </w:tcPr>
          <w:p>
            <w:pPr>
              <w:pStyle w:val="14"/>
              <w:ind w:right="25" w:rightChars="0"/>
              <w:jc w:val="right"/>
              <w:rPr>
                <w:color w:val="auto"/>
                <w:sz w:val="24"/>
              </w:rPr>
            </w:pPr>
            <w:r>
              <w:rPr>
                <w:color w:val="auto"/>
                <w:sz w:val="24"/>
              </w:rPr>
              <w:t>0.019</w:t>
            </w:r>
          </w:p>
        </w:tc>
        <w:tc>
          <w:tcPr>
            <w:tcW w:w="630" w:type="dxa"/>
            <w:vAlign w:val="top"/>
          </w:tcPr>
          <w:p>
            <w:pPr>
              <w:pStyle w:val="14"/>
              <w:ind w:left="8" w:leftChars="0"/>
              <w:rPr>
                <w:color w:val="auto"/>
                <w:sz w:val="24"/>
              </w:rPr>
            </w:pPr>
            <w:r>
              <w:rPr>
                <w:color w:val="auto"/>
                <w:sz w:val="24"/>
              </w:rPr>
              <w:t>0.29</w:t>
            </w:r>
          </w:p>
        </w:tc>
        <w:tc>
          <w:tcPr>
            <w:tcW w:w="704" w:type="dxa"/>
            <w:vAlign w:val="top"/>
          </w:tcPr>
          <w:p>
            <w:pPr>
              <w:pStyle w:val="14"/>
              <w:ind w:right="41" w:rightChars="0"/>
              <w:jc w:val="right"/>
              <w:rPr>
                <w:color w:val="auto"/>
                <w:sz w:val="24"/>
              </w:rPr>
            </w:pPr>
            <w:r>
              <w:rPr>
                <w:color w:val="auto"/>
                <w:sz w:val="24"/>
              </w:rPr>
              <w:t>0.079</w:t>
            </w:r>
          </w:p>
        </w:tc>
        <w:tc>
          <w:tcPr>
            <w:tcW w:w="738" w:type="dxa"/>
            <w:vAlign w:val="top"/>
          </w:tcPr>
          <w:p>
            <w:pPr>
              <w:pStyle w:val="14"/>
              <w:ind w:right="59" w:rightChars="0"/>
              <w:jc w:val="right"/>
              <w:rPr>
                <w:color w:val="auto"/>
                <w:sz w:val="24"/>
              </w:rPr>
            </w:pPr>
            <w:r>
              <w:rPr>
                <w:color w:val="auto"/>
                <w:sz w:val="24"/>
              </w:rPr>
              <w:t>0.137</w:t>
            </w:r>
          </w:p>
        </w:tc>
        <w:tc>
          <w:tcPr>
            <w:tcW w:w="958" w:type="dxa"/>
            <w:vAlign w:val="top"/>
          </w:tcPr>
          <w:p>
            <w:pPr>
              <w:pStyle w:val="14"/>
              <w:ind w:left="156" w:leftChars="0" w:right="151" w:rightChars="0"/>
              <w:rPr>
                <w:color w:val="auto"/>
                <w:sz w:val="24"/>
              </w:rPr>
            </w:pPr>
            <w:r>
              <w:rPr>
                <w:color w:val="auto"/>
                <w:sz w:val="24"/>
              </w:rPr>
              <w:t>0.024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谢塘镇</w:t>
            </w:r>
          </w:p>
        </w:tc>
        <w:tc>
          <w:tcPr>
            <w:tcW w:w="696" w:type="dxa"/>
            <w:vAlign w:val="top"/>
          </w:tcPr>
          <w:p>
            <w:pPr>
              <w:pStyle w:val="14"/>
              <w:spacing w:before="45"/>
              <w:ind w:left="27" w:leftChars="0" w:right="19" w:rightChars="0"/>
              <w:rPr>
                <w:color w:val="auto"/>
                <w:sz w:val="24"/>
              </w:rPr>
            </w:pPr>
            <w:r>
              <w:rPr>
                <w:color w:val="auto"/>
                <w:sz w:val="24"/>
              </w:rPr>
              <w:t>3.29</w:t>
            </w:r>
          </w:p>
        </w:tc>
        <w:tc>
          <w:tcPr>
            <w:tcW w:w="638" w:type="dxa"/>
            <w:vAlign w:val="top"/>
          </w:tcPr>
          <w:p>
            <w:pPr>
              <w:pStyle w:val="14"/>
              <w:spacing w:before="45"/>
              <w:ind w:right="8" w:rightChars="0"/>
              <w:jc w:val="right"/>
              <w:rPr>
                <w:color w:val="auto"/>
                <w:sz w:val="24"/>
              </w:rPr>
            </w:pPr>
            <w:r>
              <w:rPr>
                <w:color w:val="auto"/>
                <w:sz w:val="24"/>
              </w:rPr>
              <w:t>1.397</w:t>
            </w:r>
          </w:p>
        </w:tc>
        <w:tc>
          <w:tcPr>
            <w:tcW w:w="659" w:type="dxa"/>
            <w:vAlign w:val="top"/>
          </w:tcPr>
          <w:p>
            <w:pPr>
              <w:pStyle w:val="14"/>
              <w:spacing w:before="45"/>
              <w:ind w:left="89" w:leftChars="0"/>
              <w:jc w:val="left"/>
              <w:rPr>
                <w:color w:val="auto"/>
                <w:sz w:val="24"/>
              </w:rPr>
            </w:pPr>
            <w:r>
              <w:rPr>
                <w:color w:val="auto"/>
                <w:sz w:val="24"/>
              </w:rPr>
              <w:t>1.22</w:t>
            </w:r>
          </w:p>
        </w:tc>
        <w:tc>
          <w:tcPr>
            <w:tcW w:w="691" w:type="dxa"/>
            <w:vAlign w:val="top"/>
          </w:tcPr>
          <w:p>
            <w:pPr>
              <w:pStyle w:val="14"/>
              <w:spacing w:before="45"/>
              <w:ind w:right="36" w:rightChars="0"/>
              <w:jc w:val="right"/>
              <w:rPr>
                <w:color w:val="auto"/>
                <w:sz w:val="24"/>
              </w:rPr>
            </w:pPr>
            <w:r>
              <w:rPr>
                <w:color w:val="auto"/>
                <w:sz w:val="24"/>
              </w:rPr>
              <w:t>0.547</w:t>
            </w:r>
          </w:p>
        </w:tc>
        <w:tc>
          <w:tcPr>
            <w:tcW w:w="630" w:type="dxa"/>
            <w:vAlign w:val="top"/>
          </w:tcPr>
          <w:p>
            <w:pPr>
              <w:pStyle w:val="14"/>
              <w:spacing w:before="45"/>
              <w:ind w:left="5" w:leftChars="0"/>
              <w:rPr>
                <w:color w:val="auto"/>
                <w:sz w:val="24"/>
              </w:rPr>
            </w:pPr>
            <w:r>
              <w:rPr>
                <w:color w:val="auto"/>
                <w:sz w:val="24"/>
              </w:rPr>
              <w:t>1.41</w:t>
            </w:r>
          </w:p>
        </w:tc>
        <w:tc>
          <w:tcPr>
            <w:tcW w:w="653" w:type="dxa"/>
            <w:vAlign w:val="top"/>
          </w:tcPr>
          <w:p>
            <w:pPr>
              <w:pStyle w:val="14"/>
              <w:spacing w:before="45"/>
              <w:ind w:left="4" w:leftChars="0"/>
              <w:rPr>
                <w:color w:val="auto"/>
                <w:sz w:val="24"/>
              </w:rPr>
            </w:pPr>
            <w:r>
              <w:rPr>
                <w:color w:val="auto"/>
                <w:sz w:val="24"/>
              </w:rPr>
              <w:t>0.67</w:t>
            </w:r>
          </w:p>
        </w:tc>
        <w:tc>
          <w:tcPr>
            <w:tcW w:w="642" w:type="dxa"/>
            <w:vAlign w:val="top"/>
          </w:tcPr>
          <w:p>
            <w:pPr>
              <w:pStyle w:val="14"/>
              <w:spacing w:before="45"/>
              <w:ind w:left="57" w:leftChars="0" w:right="52" w:rightChars="0"/>
              <w:rPr>
                <w:color w:val="auto"/>
                <w:sz w:val="24"/>
              </w:rPr>
            </w:pPr>
            <w:r>
              <w:rPr>
                <w:color w:val="auto"/>
                <w:sz w:val="24"/>
              </w:rPr>
              <w:t>0.17</w:t>
            </w:r>
          </w:p>
        </w:tc>
        <w:tc>
          <w:tcPr>
            <w:tcW w:w="668" w:type="dxa"/>
            <w:vAlign w:val="top"/>
          </w:tcPr>
          <w:p>
            <w:pPr>
              <w:pStyle w:val="14"/>
              <w:spacing w:before="45"/>
              <w:ind w:right="25" w:rightChars="0"/>
              <w:jc w:val="right"/>
              <w:rPr>
                <w:color w:val="auto"/>
                <w:sz w:val="24"/>
              </w:rPr>
            </w:pPr>
            <w:r>
              <w:rPr>
                <w:color w:val="auto"/>
                <w:sz w:val="24"/>
              </w:rPr>
              <w:t>0.047</w:t>
            </w:r>
          </w:p>
        </w:tc>
        <w:tc>
          <w:tcPr>
            <w:tcW w:w="630" w:type="dxa"/>
            <w:vAlign w:val="top"/>
          </w:tcPr>
          <w:p>
            <w:pPr>
              <w:pStyle w:val="14"/>
              <w:spacing w:before="45"/>
              <w:ind w:left="8" w:leftChars="0"/>
              <w:rPr>
                <w:color w:val="auto"/>
                <w:sz w:val="24"/>
              </w:rPr>
            </w:pPr>
            <w:r>
              <w:rPr>
                <w:color w:val="auto"/>
                <w:sz w:val="24"/>
              </w:rPr>
              <w:t>0.49</w:t>
            </w:r>
          </w:p>
        </w:tc>
        <w:tc>
          <w:tcPr>
            <w:tcW w:w="704" w:type="dxa"/>
            <w:vAlign w:val="top"/>
          </w:tcPr>
          <w:p>
            <w:pPr>
              <w:pStyle w:val="14"/>
              <w:spacing w:before="45"/>
              <w:ind w:right="41" w:rightChars="0"/>
              <w:jc w:val="right"/>
              <w:rPr>
                <w:color w:val="auto"/>
                <w:sz w:val="24"/>
              </w:rPr>
            </w:pPr>
            <w:r>
              <w:rPr>
                <w:color w:val="auto"/>
                <w:sz w:val="24"/>
              </w:rPr>
              <w:t>0.133</w:t>
            </w:r>
          </w:p>
        </w:tc>
        <w:tc>
          <w:tcPr>
            <w:tcW w:w="738" w:type="dxa"/>
            <w:vAlign w:val="top"/>
          </w:tcPr>
          <w:p>
            <w:pPr>
              <w:pStyle w:val="14"/>
              <w:spacing w:before="45"/>
              <w:ind w:right="59" w:rightChars="0"/>
              <w:jc w:val="right"/>
              <w:rPr>
                <w:color w:val="auto"/>
                <w:sz w:val="24"/>
              </w:rPr>
            </w:pPr>
            <w:r>
              <w:rPr>
                <w:color w:val="auto"/>
                <w:sz w:val="24"/>
              </w:rPr>
              <w:t>0.195</w:t>
            </w:r>
          </w:p>
        </w:tc>
        <w:tc>
          <w:tcPr>
            <w:tcW w:w="958" w:type="dxa"/>
            <w:vAlign w:val="top"/>
          </w:tcPr>
          <w:p>
            <w:pPr>
              <w:pStyle w:val="14"/>
              <w:spacing w:before="45"/>
              <w:ind w:left="156" w:leftChars="0" w:right="151" w:rightChars="0"/>
              <w:rPr>
                <w:color w:val="auto"/>
                <w:sz w:val="24"/>
              </w:rPr>
            </w:pPr>
            <w:r>
              <w:rPr>
                <w:color w:val="auto"/>
                <w:sz w:val="24"/>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盖北镇</w:t>
            </w:r>
          </w:p>
        </w:tc>
        <w:tc>
          <w:tcPr>
            <w:tcW w:w="696" w:type="dxa"/>
            <w:vAlign w:val="top"/>
          </w:tcPr>
          <w:p>
            <w:pPr>
              <w:pStyle w:val="14"/>
              <w:ind w:left="27" w:leftChars="0" w:right="19" w:rightChars="0"/>
              <w:rPr>
                <w:color w:val="auto"/>
                <w:sz w:val="24"/>
              </w:rPr>
            </w:pPr>
            <w:r>
              <w:rPr>
                <w:color w:val="auto"/>
                <w:sz w:val="24"/>
              </w:rPr>
              <w:t>0.80</w:t>
            </w:r>
          </w:p>
        </w:tc>
        <w:tc>
          <w:tcPr>
            <w:tcW w:w="638" w:type="dxa"/>
            <w:vAlign w:val="top"/>
          </w:tcPr>
          <w:p>
            <w:pPr>
              <w:pStyle w:val="14"/>
              <w:ind w:right="8" w:rightChars="0"/>
              <w:jc w:val="right"/>
              <w:rPr>
                <w:color w:val="auto"/>
                <w:sz w:val="24"/>
              </w:rPr>
            </w:pPr>
            <w:r>
              <w:rPr>
                <w:color w:val="auto"/>
                <w:sz w:val="24"/>
              </w:rPr>
              <w:t>0.224</w:t>
            </w:r>
          </w:p>
        </w:tc>
        <w:tc>
          <w:tcPr>
            <w:tcW w:w="659" w:type="dxa"/>
            <w:vAlign w:val="top"/>
          </w:tcPr>
          <w:p>
            <w:pPr>
              <w:pStyle w:val="14"/>
              <w:ind w:left="89" w:leftChars="0"/>
              <w:jc w:val="left"/>
              <w:rPr>
                <w:color w:val="auto"/>
                <w:sz w:val="24"/>
              </w:rPr>
            </w:pPr>
            <w:r>
              <w:rPr>
                <w:color w:val="auto"/>
                <w:sz w:val="24"/>
              </w:rPr>
              <w:t>0.01</w:t>
            </w:r>
          </w:p>
        </w:tc>
        <w:tc>
          <w:tcPr>
            <w:tcW w:w="691" w:type="dxa"/>
            <w:vAlign w:val="top"/>
          </w:tcPr>
          <w:p>
            <w:pPr>
              <w:pStyle w:val="14"/>
              <w:ind w:right="36" w:rightChars="0"/>
              <w:jc w:val="right"/>
              <w:rPr>
                <w:color w:val="auto"/>
                <w:sz w:val="24"/>
              </w:rPr>
            </w:pPr>
            <w:r>
              <w:rPr>
                <w:color w:val="auto"/>
                <w:sz w:val="24"/>
              </w:rPr>
              <w:t>0.005</w:t>
            </w:r>
          </w:p>
        </w:tc>
        <w:tc>
          <w:tcPr>
            <w:tcW w:w="630" w:type="dxa"/>
            <w:vAlign w:val="top"/>
          </w:tcPr>
          <w:p>
            <w:pPr>
              <w:pStyle w:val="14"/>
              <w:ind w:left="5" w:leftChars="0"/>
              <w:rPr>
                <w:color w:val="auto"/>
                <w:sz w:val="24"/>
              </w:rPr>
            </w:pPr>
            <w:r>
              <w:rPr>
                <w:color w:val="auto"/>
                <w:sz w:val="24"/>
              </w:rPr>
              <w:t>0.02</w:t>
            </w:r>
          </w:p>
        </w:tc>
        <w:tc>
          <w:tcPr>
            <w:tcW w:w="653" w:type="dxa"/>
            <w:vAlign w:val="top"/>
          </w:tcPr>
          <w:p>
            <w:pPr>
              <w:pStyle w:val="14"/>
              <w:ind w:left="4" w:leftChars="0"/>
              <w:rPr>
                <w:color w:val="auto"/>
                <w:sz w:val="24"/>
              </w:rPr>
            </w:pPr>
            <w:r>
              <w:rPr>
                <w:color w:val="auto"/>
                <w:sz w:val="24"/>
              </w:rPr>
              <w:t>0.01</w:t>
            </w:r>
          </w:p>
        </w:tc>
        <w:tc>
          <w:tcPr>
            <w:tcW w:w="642" w:type="dxa"/>
            <w:vAlign w:val="top"/>
          </w:tcPr>
          <w:p>
            <w:pPr>
              <w:pStyle w:val="14"/>
              <w:ind w:left="58" w:leftChars="0" w:right="51" w:rightChars="0"/>
              <w:rPr>
                <w:color w:val="auto"/>
                <w:sz w:val="24"/>
              </w:rPr>
            </w:pPr>
            <w:r>
              <w:rPr>
                <w:color w:val="auto"/>
                <w:sz w:val="24"/>
              </w:rPr>
              <w:t>0.01</w:t>
            </w:r>
          </w:p>
        </w:tc>
        <w:tc>
          <w:tcPr>
            <w:tcW w:w="668" w:type="dxa"/>
            <w:vAlign w:val="top"/>
          </w:tcPr>
          <w:p>
            <w:pPr>
              <w:pStyle w:val="14"/>
              <w:ind w:right="25" w:rightChars="0"/>
              <w:jc w:val="right"/>
              <w:rPr>
                <w:color w:val="auto"/>
                <w:sz w:val="24"/>
              </w:rPr>
            </w:pPr>
            <w:r>
              <w:rPr>
                <w:color w:val="auto"/>
                <w:sz w:val="24"/>
              </w:rPr>
              <w:t>0.003</w:t>
            </w:r>
          </w:p>
        </w:tc>
        <w:tc>
          <w:tcPr>
            <w:tcW w:w="630" w:type="dxa"/>
            <w:vAlign w:val="top"/>
          </w:tcPr>
          <w:p>
            <w:pPr>
              <w:pStyle w:val="14"/>
              <w:ind w:left="8" w:leftChars="0"/>
              <w:rPr>
                <w:color w:val="auto"/>
                <w:sz w:val="24"/>
              </w:rPr>
            </w:pPr>
            <w:r>
              <w:rPr>
                <w:color w:val="auto"/>
                <w:sz w:val="24"/>
              </w:rPr>
              <w:t>0.76</w:t>
            </w:r>
          </w:p>
        </w:tc>
        <w:tc>
          <w:tcPr>
            <w:tcW w:w="704" w:type="dxa"/>
            <w:vAlign w:val="top"/>
          </w:tcPr>
          <w:p>
            <w:pPr>
              <w:pStyle w:val="14"/>
              <w:ind w:right="41" w:rightChars="0"/>
              <w:jc w:val="right"/>
              <w:rPr>
                <w:color w:val="auto"/>
                <w:sz w:val="24"/>
              </w:rPr>
            </w:pPr>
            <w:r>
              <w:rPr>
                <w:color w:val="auto"/>
                <w:sz w:val="24"/>
              </w:rPr>
              <w:t>0.206</w:t>
            </w:r>
          </w:p>
        </w:tc>
        <w:tc>
          <w:tcPr>
            <w:tcW w:w="738" w:type="dxa"/>
            <w:vAlign w:val="top"/>
          </w:tcPr>
          <w:p>
            <w:pPr>
              <w:pStyle w:val="14"/>
              <w:ind w:right="59" w:rightChars="0"/>
              <w:jc w:val="right"/>
              <w:rPr>
                <w:color w:val="auto"/>
                <w:sz w:val="24"/>
              </w:rPr>
            </w:pPr>
            <w:r>
              <w:rPr>
                <w:color w:val="auto"/>
                <w:sz w:val="24"/>
              </w:rPr>
              <w:t>0.402</w:t>
            </w:r>
          </w:p>
        </w:tc>
        <w:tc>
          <w:tcPr>
            <w:tcW w:w="958" w:type="dxa"/>
            <w:vAlign w:val="top"/>
          </w:tcPr>
          <w:p>
            <w:pPr>
              <w:pStyle w:val="14"/>
              <w:ind w:left="156" w:leftChars="0" w:right="151" w:rightChars="0"/>
              <w:rPr>
                <w:color w:val="auto"/>
                <w:sz w:val="24"/>
              </w:rPr>
            </w:pPr>
            <w:r>
              <w:rPr>
                <w:color w:val="auto"/>
                <w:sz w:val="24"/>
              </w:rPr>
              <w:t>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长塘镇</w:t>
            </w:r>
          </w:p>
        </w:tc>
        <w:tc>
          <w:tcPr>
            <w:tcW w:w="696" w:type="dxa"/>
            <w:vAlign w:val="top"/>
          </w:tcPr>
          <w:p>
            <w:pPr>
              <w:pStyle w:val="14"/>
              <w:spacing w:before="45"/>
              <w:ind w:left="27" w:leftChars="0" w:right="19" w:rightChars="0"/>
              <w:rPr>
                <w:color w:val="auto"/>
                <w:sz w:val="24"/>
              </w:rPr>
            </w:pPr>
            <w:r>
              <w:rPr>
                <w:color w:val="auto"/>
                <w:sz w:val="24"/>
              </w:rPr>
              <w:t>1.10</w:t>
            </w:r>
          </w:p>
        </w:tc>
        <w:tc>
          <w:tcPr>
            <w:tcW w:w="638" w:type="dxa"/>
            <w:vAlign w:val="top"/>
          </w:tcPr>
          <w:p>
            <w:pPr>
              <w:pStyle w:val="14"/>
              <w:spacing w:before="45"/>
              <w:ind w:right="8" w:rightChars="0"/>
              <w:jc w:val="right"/>
              <w:rPr>
                <w:color w:val="auto"/>
                <w:sz w:val="24"/>
              </w:rPr>
            </w:pPr>
            <w:r>
              <w:rPr>
                <w:color w:val="auto"/>
                <w:sz w:val="24"/>
              </w:rPr>
              <w:t>0.452</w:t>
            </w:r>
          </w:p>
        </w:tc>
        <w:tc>
          <w:tcPr>
            <w:tcW w:w="659" w:type="dxa"/>
            <w:vAlign w:val="top"/>
          </w:tcPr>
          <w:p>
            <w:pPr>
              <w:pStyle w:val="14"/>
              <w:spacing w:before="45"/>
              <w:ind w:left="89" w:leftChars="0"/>
              <w:jc w:val="left"/>
              <w:rPr>
                <w:color w:val="auto"/>
                <w:sz w:val="24"/>
              </w:rPr>
            </w:pPr>
            <w:r>
              <w:rPr>
                <w:color w:val="auto"/>
                <w:sz w:val="24"/>
              </w:rPr>
              <w:t>0.26</w:t>
            </w:r>
          </w:p>
        </w:tc>
        <w:tc>
          <w:tcPr>
            <w:tcW w:w="691" w:type="dxa"/>
            <w:vAlign w:val="top"/>
          </w:tcPr>
          <w:p>
            <w:pPr>
              <w:pStyle w:val="14"/>
              <w:spacing w:before="45"/>
              <w:ind w:right="36" w:rightChars="0"/>
              <w:jc w:val="right"/>
              <w:rPr>
                <w:color w:val="auto"/>
                <w:sz w:val="24"/>
              </w:rPr>
            </w:pPr>
            <w:r>
              <w:rPr>
                <w:color w:val="auto"/>
                <w:sz w:val="24"/>
              </w:rPr>
              <w:t>0.116</w:t>
            </w:r>
          </w:p>
        </w:tc>
        <w:tc>
          <w:tcPr>
            <w:tcW w:w="630" w:type="dxa"/>
            <w:vAlign w:val="top"/>
          </w:tcPr>
          <w:p>
            <w:pPr>
              <w:pStyle w:val="14"/>
              <w:spacing w:before="45"/>
              <w:ind w:left="5" w:leftChars="0"/>
              <w:rPr>
                <w:color w:val="auto"/>
                <w:sz w:val="24"/>
              </w:rPr>
            </w:pPr>
            <w:r>
              <w:rPr>
                <w:color w:val="auto"/>
                <w:sz w:val="24"/>
              </w:rPr>
              <w:t>0.45</w:t>
            </w:r>
          </w:p>
        </w:tc>
        <w:tc>
          <w:tcPr>
            <w:tcW w:w="653" w:type="dxa"/>
            <w:vAlign w:val="top"/>
          </w:tcPr>
          <w:p>
            <w:pPr>
              <w:pStyle w:val="14"/>
              <w:spacing w:before="45"/>
              <w:ind w:left="4" w:leftChars="0"/>
              <w:rPr>
                <w:color w:val="auto"/>
                <w:sz w:val="24"/>
              </w:rPr>
            </w:pPr>
            <w:r>
              <w:rPr>
                <w:color w:val="auto"/>
                <w:sz w:val="24"/>
              </w:rPr>
              <w:t>0.23</w:t>
            </w:r>
          </w:p>
        </w:tc>
        <w:tc>
          <w:tcPr>
            <w:tcW w:w="642" w:type="dxa"/>
            <w:vAlign w:val="top"/>
          </w:tcPr>
          <w:p>
            <w:pPr>
              <w:pStyle w:val="14"/>
              <w:spacing w:before="45"/>
              <w:ind w:left="57" w:leftChars="0" w:right="52" w:rightChars="0"/>
              <w:rPr>
                <w:color w:val="auto"/>
                <w:sz w:val="24"/>
              </w:rPr>
            </w:pPr>
            <w:r>
              <w:rPr>
                <w:color w:val="auto"/>
                <w:sz w:val="24"/>
              </w:rPr>
              <w:t>0.16</w:t>
            </w:r>
          </w:p>
        </w:tc>
        <w:tc>
          <w:tcPr>
            <w:tcW w:w="668" w:type="dxa"/>
            <w:vAlign w:val="top"/>
          </w:tcPr>
          <w:p>
            <w:pPr>
              <w:pStyle w:val="14"/>
              <w:spacing w:before="45"/>
              <w:ind w:right="25" w:rightChars="0"/>
              <w:jc w:val="right"/>
              <w:rPr>
                <w:color w:val="auto"/>
                <w:sz w:val="24"/>
              </w:rPr>
            </w:pPr>
            <w:r>
              <w:rPr>
                <w:color w:val="auto"/>
                <w:sz w:val="24"/>
              </w:rPr>
              <w:t>0.044</w:t>
            </w:r>
          </w:p>
        </w:tc>
        <w:tc>
          <w:tcPr>
            <w:tcW w:w="630" w:type="dxa"/>
            <w:vAlign w:val="top"/>
          </w:tcPr>
          <w:p>
            <w:pPr>
              <w:pStyle w:val="14"/>
              <w:spacing w:before="45"/>
              <w:ind w:left="8" w:leftChars="0"/>
              <w:rPr>
                <w:color w:val="auto"/>
                <w:sz w:val="24"/>
              </w:rPr>
            </w:pPr>
            <w:r>
              <w:rPr>
                <w:color w:val="auto"/>
                <w:sz w:val="24"/>
              </w:rPr>
              <w:t>0.23</w:t>
            </w:r>
          </w:p>
        </w:tc>
        <w:tc>
          <w:tcPr>
            <w:tcW w:w="704" w:type="dxa"/>
            <w:vAlign w:val="top"/>
          </w:tcPr>
          <w:p>
            <w:pPr>
              <w:pStyle w:val="14"/>
              <w:spacing w:before="45"/>
              <w:ind w:right="41" w:rightChars="0"/>
              <w:jc w:val="right"/>
              <w:rPr>
                <w:color w:val="auto"/>
                <w:sz w:val="24"/>
              </w:rPr>
            </w:pPr>
            <w:r>
              <w:rPr>
                <w:color w:val="auto"/>
                <w:sz w:val="24"/>
              </w:rPr>
              <w:t>0.062</w:t>
            </w:r>
          </w:p>
        </w:tc>
        <w:tc>
          <w:tcPr>
            <w:tcW w:w="738" w:type="dxa"/>
            <w:vAlign w:val="top"/>
          </w:tcPr>
          <w:p>
            <w:pPr>
              <w:pStyle w:val="14"/>
              <w:spacing w:before="45"/>
              <w:ind w:right="59" w:rightChars="0"/>
              <w:jc w:val="right"/>
              <w:rPr>
                <w:color w:val="auto"/>
                <w:sz w:val="24"/>
              </w:rPr>
            </w:pPr>
            <w:r>
              <w:rPr>
                <w:color w:val="auto"/>
                <w:sz w:val="24"/>
              </w:rPr>
              <w:t>0.037</w:t>
            </w:r>
          </w:p>
        </w:tc>
        <w:tc>
          <w:tcPr>
            <w:tcW w:w="958" w:type="dxa"/>
            <w:vAlign w:val="top"/>
          </w:tcPr>
          <w:p>
            <w:pPr>
              <w:pStyle w:val="14"/>
              <w:spacing w:before="45"/>
              <w:ind w:left="156" w:leftChars="0" w:right="151" w:rightChars="0"/>
              <w:rPr>
                <w:color w:val="auto"/>
                <w:sz w:val="24"/>
              </w:rPr>
            </w:pPr>
            <w:r>
              <w:rPr>
                <w:color w:val="auto"/>
                <w:sz w:val="24"/>
              </w:rPr>
              <w:t>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spacing w:before="47"/>
              <w:ind w:left="35" w:right="29"/>
              <w:rPr>
                <w:rFonts w:hint="eastAsia" w:ascii="仿宋_GB2312" w:eastAsia="仿宋_GB2312"/>
                <w:color w:val="auto"/>
                <w:sz w:val="24"/>
              </w:rPr>
            </w:pPr>
            <w:r>
              <w:rPr>
                <w:rFonts w:hint="eastAsia" w:ascii="仿宋_GB2312" w:eastAsia="仿宋_GB2312"/>
                <w:color w:val="auto"/>
                <w:sz w:val="24"/>
              </w:rPr>
              <w:t>岭南乡</w:t>
            </w:r>
          </w:p>
        </w:tc>
        <w:tc>
          <w:tcPr>
            <w:tcW w:w="696" w:type="dxa"/>
            <w:vAlign w:val="top"/>
          </w:tcPr>
          <w:p>
            <w:pPr>
              <w:pStyle w:val="14"/>
              <w:spacing w:before="47"/>
              <w:ind w:left="27" w:leftChars="0" w:right="16" w:rightChars="0"/>
              <w:rPr>
                <w:color w:val="auto"/>
                <w:sz w:val="24"/>
              </w:rPr>
            </w:pPr>
            <w:r>
              <w:rPr>
                <w:color w:val="auto"/>
                <w:sz w:val="24"/>
              </w:rPr>
              <w:t>0.93</w:t>
            </w:r>
          </w:p>
        </w:tc>
        <w:tc>
          <w:tcPr>
            <w:tcW w:w="638" w:type="dxa"/>
            <w:vAlign w:val="top"/>
          </w:tcPr>
          <w:p>
            <w:pPr>
              <w:pStyle w:val="14"/>
              <w:spacing w:before="47"/>
              <w:ind w:right="8" w:rightChars="0"/>
              <w:jc w:val="right"/>
              <w:rPr>
                <w:color w:val="auto"/>
                <w:sz w:val="24"/>
              </w:rPr>
            </w:pPr>
            <w:r>
              <w:rPr>
                <w:color w:val="auto"/>
                <w:sz w:val="24"/>
              </w:rPr>
              <w:t>0.3</w:t>
            </w:r>
            <w:r>
              <w:rPr>
                <w:rFonts w:hint="eastAsia"/>
                <w:color w:val="auto"/>
                <w:sz w:val="24"/>
                <w:lang w:val="en-US" w:eastAsia="zh-CN"/>
              </w:rPr>
              <w:t>1</w:t>
            </w:r>
            <w:r>
              <w:rPr>
                <w:color w:val="auto"/>
                <w:sz w:val="24"/>
              </w:rPr>
              <w:t>8</w:t>
            </w:r>
          </w:p>
        </w:tc>
        <w:tc>
          <w:tcPr>
            <w:tcW w:w="659" w:type="dxa"/>
            <w:vAlign w:val="top"/>
          </w:tcPr>
          <w:p>
            <w:pPr>
              <w:pStyle w:val="14"/>
              <w:spacing w:before="47"/>
              <w:ind w:left="89" w:leftChars="0"/>
              <w:jc w:val="left"/>
              <w:rPr>
                <w:color w:val="auto"/>
                <w:sz w:val="24"/>
              </w:rPr>
            </w:pPr>
            <w:r>
              <w:rPr>
                <w:color w:val="auto"/>
                <w:sz w:val="24"/>
              </w:rPr>
              <w:t>0.10</w:t>
            </w:r>
          </w:p>
        </w:tc>
        <w:tc>
          <w:tcPr>
            <w:tcW w:w="691" w:type="dxa"/>
            <w:vAlign w:val="top"/>
          </w:tcPr>
          <w:p>
            <w:pPr>
              <w:pStyle w:val="14"/>
              <w:spacing w:before="47"/>
              <w:ind w:right="36" w:rightChars="0"/>
              <w:jc w:val="right"/>
              <w:rPr>
                <w:color w:val="auto"/>
                <w:sz w:val="24"/>
              </w:rPr>
            </w:pPr>
            <w:r>
              <w:rPr>
                <w:color w:val="auto"/>
                <w:sz w:val="24"/>
              </w:rPr>
              <w:t>0.045</w:t>
            </w:r>
          </w:p>
        </w:tc>
        <w:tc>
          <w:tcPr>
            <w:tcW w:w="630" w:type="dxa"/>
            <w:vAlign w:val="top"/>
          </w:tcPr>
          <w:p>
            <w:pPr>
              <w:pStyle w:val="14"/>
              <w:spacing w:before="47"/>
              <w:ind w:left="5" w:leftChars="0"/>
              <w:rPr>
                <w:color w:val="auto"/>
                <w:sz w:val="24"/>
              </w:rPr>
            </w:pPr>
            <w:r>
              <w:rPr>
                <w:color w:val="auto"/>
                <w:sz w:val="24"/>
              </w:rPr>
              <w:t>0.23</w:t>
            </w:r>
          </w:p>
        </w:tc>
        <w:tc>
          <w:tcPr>
            <w:tcW w:w="653" w:type="dxa"/>
            <w:vAlign w:val="top"/>
          </w:tcPr>
          <w:p>
            <w:pPr>
              <w:pStyle w:val="14"/>
              <w:spacing w:before="47"/>
              <w:ind w:left="4" w:leftChars="0"/>
              <w:rPr>
                <w:color w:val="auto"/>
                <w:sz w:val="24"/>
              </w:rPr>
            </w:pPr>
            <w:r>
              <w:rPr>
                <w:color w:val="auto"/>
                <w:sz w:val="24"/>
              </w:rPr>
              <w:t>0.1</w:t>
            </w:r>
            <w:r>
              <w:rPr>
                <w:rFonts w:hint="eastAsia"/>
                <w:color w:val="auto"/>
                <w:sz w:val="24"/>
                <w:lang w:val="en-US" w:eastAsia="zh-CN"/>
              </w:rPr>
              <w:t>1</w:t>
            </w:r>
          </w:p>
        </w:tc>
        <w:tc>
          <w:tcPr>
            <w:tcW w:w="642" w:type="dxa"/>
            <w:vAlign w:val="top"/>
          </w:tcPr>
          <w:p>
            <w:pPr>
              <w:pStyle w:val="14"/>
              <w:spacing w:before="47"/>
              <w:ind w:left="7" w:leftChars="0"/>
              <w:rPr>
                <w:color w:val="auto"/>
                <w:sz w:val="24"/>
              </w:rPr>
            </w:pPr>
            <w:r>
              <w:rPr>
                <w:color w:val="auto"/>
                <w:sz w:val="24"/>
              </w:rPr>
              <w:t>0</w:t>
            </w:r>
          </w:p>
        </w:tc>
        <w:tc>
          <w:tcPr>
            <w:tcW w:w="668" w:type="dxa"/>
            <w:vAlign w:val="top"/>
          </w:tcPr>
          <w:p>
            <w:pPr>
              <w:pStyle w:val="14"/>
              <w:spacing w:before="47"/>
              <w:ind w:left="8" w:leftChars="0"/>
              <w:rPr>
                <w:color w:val="auto"/>
                <w:sz w:val="24"/>
              </w:rPr>
            </w:pPr>
            <w:r>
              <w:rPr>
                <w:color w:val="auto"/>
                <w:sz w:val="24"/>
              </w:rPr>
              <w:t>0</w:t>
            </w:r>
          </w:p>
        </w:tc>
        <w:tc>
          <w:tcPr>
            <w:tcW w:w="630" w:type="dxa"/>
            <w:vAlign w:val="top"/>
          </w:tcPr>
          <w:p>
            <w:pPr>
              <w:pStyle w:val="14"/>
              <w:spacing w:before="47"/>
              <w:ind w:left="8" w:leftChars="0"/>
              <w:rPr>
                <w:color w:val="auto"/>
                <w:sz w:val="24"/>
              </w:rPr>
            </w:pPr>
            <w:r>
              <w:rPr>
                <w:color w:val="auto"/>
                <w:sz w:val="24"/>
              </w:rPr>
              <w:t>0.60</w:t>
            </w:r>
          </w:p>
        </w:tc>
        <w:tc>
          <w:tcPr>
            <w:tcW w:w="704" w:type="dxa"/>
            <w:vAlign w:val="top"/>
          </w:tcPr>
          <w:p>
            <w:pPr>
              <w:pStyle w:val="14"/>
              <w:spacing w:before="47"/>
              <w:ind w:right="41" w:rightChars="0"/>
              <w:jc w:val="right"/>
              <w:rPr>
                <w:color w:val="auto"/>
                <w:sz w:val="24"/>
              </w:rPr>
            </w:pPr>
            <w:r>
              <w:rPr>
                <w:color w:val="auto"/>
                <w:sz w:val="24"/>
              </w:rPr>
              <w:t>0.163</w:t>
            </w:r>
          </w:p>
        </w:tc>
        <w:tc>
          <w:tcPr>
            <w:tcW w:w="738" w:type="dxa"/>
            <w:vAlign w:val="top"/>
          </w:tcPr>
          <w:p>
            <w:pPr>
              <w:pStyle w:val="14"/>
              <w:spacing w:before="47"/>
              <w:ind w:right="59" w:rightChars="0"/>
              <w:jc w:val="right"/>
              <w:rPr>
                <w:color w:val="auto"/>
                <w:sz w:val="24"/>
              </w:rPr>
            </w:pPr>
            <w:r>
              <w:rPr>
                <w:color w:val="auto"/>
                <w:sz w:val="24"/>
              </w:rPr>
              <w:t>0.233</w:t>
            </w:r>
          </w:p>
        </w:tc>
        <w:tc>
          <w:tcPr>
            <w:tcW w:w="958" w:type="dxa"/>
            <w:vAlign w:val="top"/>
          </w:tcPr>
          <w:p>
            <w:pPr>
              <w:pStyle w:val="14"/>
              <w:spacing w:before="47"/>
              <w:ind w:left="156" w:leftChars="0" w:right="151" w:rightChars="0"/>
              <w:rPr>
                <w:color w:val="auto"/>
                <w:sz w:val="24"/>
              </w:rPr>
            </w:pPr>
            <w:r>
              <w:rPr>
                <w:color w:val="auto"/>
                <w:sz w:val="24"/>
              </w:rPr>
              <w:t>0.041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陈溪乡</w:t>
            </w:r>
          </w:p>
        </w:tc>
        <w:tc>
          <w:tcPr>
            <w:tcW w:w="696" w:type="dxa"/>
            <w:vAlign w:val="top"/>
          </w:tcPr>
          <w:p>
            <w:pPr>
              <w:pStyle w:val="14"/>
              <w:ind w:left="27" w:leftChars="0" w:right="19" w:rightChars="0"/>
              <w:rPr>
                <w:color w:val="auto"/>
                <w:sz w:val="24"/>
              </w:rPr>
            </w:pPr>
            <w:r>
              <w:rPr>
                <w:color w:val="auto"/>
                <w:sz w:val="24"/>
              </w:rPr>
              <w:t>0.55</w:t>
            </w:r>
          </w:p>
        </w:tc>
        <w:tc>
          <w:tcPr>
            <w:tcW w:w="638" w:type="dxa"/>
            <w:vAlign w:val="top"/>
          </w:tcPr>
          <w:p>
            <w:pPr>
              <w:pStyle w:val="14"/>
              <w:ind w:right="8" w:rightChars="0"/>
              <w:jc w:val="right"/>
              <w:rPr>
                <w:color w:val="auto"/>
                <w:sz w:val="24"/>
              </w:rPr>
            </w:pPr>
            <w:r>
              <w:rPr>
                <w:color w:val="auto"/>
                <w:sz w:val="24"/>
              </w:rPr>
              <w:t>0.</w:t>
            </w:r>
            <w:r>
              <w:rPr>
                <w:rFonts w:hint="eastAsia"/>
                <w:color w:val="auto"/>
                <w:sz w:val="24"/>
                <w:lang w:val="en-US" w:eastAsia="zh-CN"/>
              </w:rPr>
              <w:t>19</w:t>
            </w:r>
            <w:r>
              <w:rPr>
                <w:color w:val="auto"/>
                <w:sz w:val="24"/>
              </w:rPr>
              <w:t>8</w:t>
            </w:r>
          </w:p>
        </w:tc>
        <w:tc>
          <w:tcPr>
            <w:tcW w:w="659" w:type="dxa"/>
            <w:vAlign w:val="top"/>
          </w:tcPr>
          <w:p>
            <w:pPr>
              <w:pStyle w:val="14"/>
              <w:ind w:left="89" w:leftChars="0"/>
              <w:jc w:val="left"/>
              <w:rPr>
                <w:color w:val="auto"/>
                <w:sz w:val="24"/>
              </w:rPr>
            </w:pPr>
            <w:r>
              <w:rPr>
                <w:color w:val="auto"/>
                <w:sz w:val="24"/>
              </w:rPr>
              <w:t>0.10</w:t>
            </w:r>
          </w:p>
        </w:tc>
        <w:tc>
          <w:tcPr>
            <w:tcW w:w="691" w:type="dxa"/>
            <w:vAlign w:val="top"/>
          </w:tcPr>
          <w:p>
            <w:pPr>
              <w:pStyle w:val="14"/>
              <w:ind w:right="36" w:rightChars="0"/>
              <w:jc w:val="right"/>
              <w:rPr>
                <w:color w:val="auto"/>
                <w:sz w:val="24"/>
              </w:rPr>
            </w:pPr>
            <w:r>
              <w:rPr>
                <w:color w:val="auto"/>
                <w:sz w:val="24"/>
              </w:rPr>
              <w:t>0.045</w:t>
            </w:r>
          </w:p>
        </w:tc>
        <w:tc>
          <w:tcPr>
            <w:tcW w:w="630" w:type="dxa"/>
            <w:vAlign w:val="top"/>
          </w:tcPr>
          <w:p>
            <w:pPr>
              <w:pStyle w:val="14"/>
              <w:ind w:left="5" w:leftChars="0"/>
              <w:rPr>
                <w:color w:val="auto"/>
                <w:sz w:val="24"/>
              </w:rPr>
            </w:pPr>
            <w:r>
              <w:rPr>
                <w:color w:val="auto"/>
                <w:sz w:val="24"/>
              </w:rPr>
              <w:t>0.18</w:t>
            </w:r>
          </w:p>
        </w:tc>
        <w:tc>
          <w:tcPr>
            <w:tcW w:w="653" w:type="dxa"/>
            <w:vAlign w:val="top"/>
          </w:tcPr>
          <w:p>
            <w:pPr>
              <w:pStyle w:val="14"/>
              <w:ind w:left="4" w:leftChars="0"/>
              <w:rPr>
                <w:color w:val="auto"/>
                <w:sz w:val="24"/>
              </w:rPr>
            </w:pPr>
            <w:r>
              <w:rPr>
                <w:color w:val="auto"/>
                <w:sz w:val="24"/>
              </w:rPr>
              <w:t>0.0</w:t>
            </w:r>
            <w:r>
              <w:rPr>
                <w:rFonts w:hint="eastAsia"/>
                <w:color w:val="auto"/>
                <w:sz w:val="24"/>
                <w:lang w:val="en-US" w:eastAsia="zh-CN"/>
              </w:rPr>
              <w:t>8</w:t>
            </w:r>
          </w:p>
        </w:tc>
        <w:tc>
          <w:tcPr>
            <w:tcW w:w="642" w:type="dxa"/>
            <w:vAlign w:val="top"/>
          </w:tcPr>
          <w:p>
            <w:pPr>
              <w:pStyle w:val="14"/>
              <w:ind w:left="7" w:leftChars="0"/>
              <w:rPr>
                <w:color w:val="auto"/>
                <w:sz w:val="24"/>
              </w:rPr>
            </w:pPr>
            <w:r>
              <w:rPr>
                <w:color w:val="auto"/>
                <w:sz w:val="24"/>
              </w:rPr>
              <w:t>0</w:t>
            </w:r>
          </w:p>
        </w:tc>
        <w:tc>
          <w:tcPr>
            <w:tcW w:w="668" w:type="dxa"/>
            <w:vAlign w:val="top"/>
          </w:tcPr>
          <w:p>
            <w:pPr>
              <w:pStyle w:val="14"/>
              <w:ind w:left="8" w:leftChars="0"/>
              <w:rPr>
                <w:color w:val="auto"/>
                <w:sz w:val="24"/>
              </w:rPr>
            </w:pPr>
            <w:r>
              <w:rPr>
                <w:color w:val="auto"/>
                <w:sz w:val="24"/>
              </w:rPr>
              <w:t>0</w:t>
            </w:r>
          </w:p>
        </w:tc>
        <w:tc>
          <w:tcPr>
            <w:tcW w:w="630" w:type="dxa"/>
            <w:vAlign w:val="top"/>
          </w:tcPr>
          <w:p>
            <w:pPr>
              <w:pStyle w:val="14"/>
              <w:ind w:left="8" w:leftChars="0"/>
              <w:rPr>
                <w:color w:val="auto"/>
                <w:sz w:val="24"/>
              </w:rPr>
            </w:pPr>
            <w:r>
              <w:rPr>
                <w:color w:val="auto"/>
                <w:sz w:val="24"/>
              </w:rPr>
              <w:t>0.27</w:t>
            </w:r>
          </w:p>
        </w:tc>
        <w:tc>
          <w:tcPr>
            <w:tcW w:w="704" w:type="dxa"/>
            <w:vAlign w:val="top"/>
          </w:tcPr>
          <w:p>
            <w:pPr>
              <w:pStyle w:val="14"/>
              <w:ind w:right="41" w:rightChars="0"/>
              <w:jc w:val="right"/>
              <w:rPr>
                <w:color w:val="auto"/>
                <w:sz w:val="24"/>
              </w:rPr>
            </w:pPr>
            <w:r>
              <w:rPr>
                <w:color w:val="auto"/>
                <w:sz w:val="24"/>
              </w:rPr>
              <w:t>0.073</w:t>
            </w:r>
          </w:p>
        </w:tc>
        <w:tc>
          <w:tcPr>
            <w:tcW w:w="738" w:type="dxa"/>
            <w:vAlign w:val="top"/>
          </w:tcPr>
          <w:p>
            <w:pPr>
              <w:pStyle w:val="14"/>
              <w:ind w:right="59" w:rightChars="0"/>
              <w:jc w:val="right"/>
              <w:rPr>
                <w:color w:val="auto"/>
                <w:sz w:val="24"/>
              </w:rPr>
            </w:pPr>
            <w:r>
              <w:rPr>
                <w:color w:val="auto"/>
                <w:sz w:val="24"/>
              </w:rPr>
              <w:t>0.133</w:t>
            </w:r>
          </w:p>
        </w:tc>
        <w:tc>
          <w:tcPr>
            <w:tcW w:w="958" w:type="dxa"/>
            <w:vAlign w:val="top"/>
          </w:tcPr>
          <w:p>
            <w:pPr>
              <w:pStyle w:val="14"/>
              <w:ind w:left="156" w:leftChars="0" w:right="151" w:rightChars="0"/>
              <w:rPr>
                <w:color w:val="auto"/>
                <w:sz w:val="24"/>
              </w:rPr>
            </w:pPr>
            <w:r>
              <w:rPr>
                <w:color w:val="auto"/>
                <w:sz w:val="24"/>
              </w:rPr>
              <w:t>0.024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075" w:type="dxa"/>
            <w:vAlign w:val="top"/>
          </w:tcPr>
          <w:p>
            <w:pPr>
              <w:pStyle w:val="14"/>
              <w:spacing w:before="45"/>
              <w:ind w:left="35" w:right="29"/>
              <w:rPr>
                <w:rFonts w:hint="eastAsia" w:ascii="仿宋_GB2312" w:eastAsia="仿宋_GB2312"/>
                <w:color w:val="auto"/>
                <w:sz w:val="24"/>
              </w:rPr>
            </w:pPr>
            <w:r>
              <w:rPr>
                <w:rFonts w:hint="eastAsia" w:ascii="仿宋_GB2312" w:eastAsia="仿宋_GB2312"/>
                <w:color w:val="auto"/>
                <w:sz w:val="24"/>
              </w:rPr>
              <w:t>下管镇</w:t>
            </w:r>
          </w:p>
        </w:tc>
        <w:tc>
          <w:tcPr>
            <w:tcW w:w="696" w:type="dxa"/>
            <w:vAlign w:val="top"/>
          </w:tcPr>
          <w:p>
            <w:pPr>
              <w:pStyle w:val="14"/>
              <w:spacing w:before="45"/>
              <w:ind w:left="27" w:leftChars="0" w:right="19" w:rightChars="0"/>
              <w:rPr>
                <w:color w:val="auto"/>
                <w:sz w:val="24"/>
              </w:rPr>
            </w:pPr>
            <w:r>
              <w:rPr>
                <w:color w:val="auto"/>
                <w:sz w:val="24"/>
              </w:rPr>
              <w:t>0.75</w:t>
            </w:r>
          </w:p>
        </w:tc>
        <w:tc>
          <w:tcPr>
            <w:tcW w:w="638" w:type="dxa"/>
            <w:vAlign w:val="top"/>
          </w:tcPr>
          <w:p>
            <w:pPr>
              <w:pStyle w:val="14"/>
              <w:spacing w:before="45"/>
              <w:ind w:right="8" w:rightChars="0"/>
              <w:jc w:val="right"/>
              <w:rPr>
                <w:color w:val="auto"/>
                <w:sz w:val="24"/>
              </w:rPr>
            </w:pPr>
            <w:r>
              <w:rPr>
                <w:color w:val="auto"/>
                <w:sz w:val="24"/>
              </w:rPr>
              <w:t>0.2</w:t>
            </w:r>
            <w:r>
              <w:rPr>
                <w:rFonts w:hint="eastAsia"/>
                <w:color w:val="auto"/>
                <w:sz w:val="24"/>
                <w:lang w:val="en-US" w:eastAsia="zh-CN"/>
              </w:rPr>
              <w:t>7</w:t>
            </w:r>
            <w:r>
              <w:rPr>
                <w:color w:val="auto"/>
                <w:sz w:val="24"/>
              </w:rPr>
              <w:t>3</w:t>
            </w:r>
          </w:p>
        </w:tc>
        <w:tc>
          <w:tcPr>
            <w:tcW w:w="659" w:type="dxa"/>
            <w:vAlign w:val="top"/>
          </w:tcPr>
          <w:p>
            <w:pPr>
              <w:pStyle w:val="14"/>
              <w:spacing w:before="45"/>
              <w:ind w:left="89" w:leftChars="0"/>
              <w:jc w:val="left"/>
              <w:rPr>
                <w:color w:val="auto"/>
                <w:sz w:val="24"/>
              </w:rPr>
            </w:pPr>
            <w:r>
              <w:rPr>
                <w:color w:val="auto"/>
                <w:sz w:val="24"/>
              </w:rPr>
              <w:t>0.10</w:t>
            </w:r>
          </w:p>
        </w:tc>
        <w:tc>
          <w:tcPr>
            <w:tcW w:w="691" w:type="dxa"/>
            <w:vAlign w:val="top"/>
          </w:tcPr>
          <w:p>
            <w:pPr>
              <w:pStyle w:val="14"/>
              <w:spacing w:before="45"/>
              <w:ind w:right="36" w:rightChars="0"/>
              <w:jc w:val="right"/>
              <w:rPr>
                <w:color w:val="auto"/>
                <w:sz w:val="24"/>
              </w:rPr>
            </w:pPr>
            <w:r>
              <w:rPr>
                <w:color w:val="auto"/>
                <w:sz w:val="24"/>
              </w:rPr>
              <w:t>0.045</w:t>
            </w:r>
          </w:p>
        </w:tc>
        <w:tc>
          <w:tcPr>
            <w:tcW w:w="630" w:type="dxa"/>
            <w:vAlign w:val="top"/>
          </w:tcPr>
          <w:p>
            <w:pPr>
              <w:pStyle w:val="14"/>
              <w:spacing w:before="45"/>
              <w:ind w:left="5" w:leftChars="0"/>
              <w:rPr>
                <w:color w:val="auto"/>
                <w:sz w:val="24"/>
              </w:rPr>
            </w:pPr>
            <w:r>
              <w:rPr>
                <w:color w:val="auto"/>
                <w:sz w:val="24"/>
              </w:rPr>
              <w:t>0.25</w:t>
            </w:r>
          </w:p>
        </w:tc>
        <w:tc>
          <w:tcPr>
            <w:tcW w:w="653" w:type="dxa"/>
            <w:vAlign w:val="top"/>
          </w:tcPr>
          <w:p>
            <w:pPr>
              <w:pStyle w:val="14"/>
              <w:spacing w:before="45"/>
              <w:ind w:left="4" w:leftChars="0"/>
              <w:rPr>
                <w:color w:val="auto"/>
                <w:sz w:val="24"/>
              </w:rPr>
            </w:pPr>
            <w:r>
              <w:rPr>
                <w:color w:val="auto"/>
                <w:sz w:val="24"/>
              </w:rPr>
              <w:t>0.1</w:t>
            </w:r>
            <w:r>
              <w:rPr>
                <w:rFonts w:hint="eastAsia"/>
                <w:color w:val="auto"/>
                <w:sz w:val="24"/>
                <w:lang w:val="en-US" w:eastAsia="zh-CN"/>
              </w:rPr>
              <w:t>2</w:t>
            </w:r>
          </w:p>
        </w:tc>
        <w:tc>
          <w:tcPr>
            <w:tcW w:w="642" w:type="dxa"/>
            <w:vAlign w:val="top"/>
          </w:tcPr>
          <w:p>
            <w:pPr>
              <w:pStyle w:val="14"/>
              <w:spacing w:before="45"/>
              <w:ind w:left="7" w:leftChars="0"/>
              <w:rPr>
                <w:color w:val="auto"/>
                <w:sz w:val="24"/>
              </w:rPr>
            </w:pPr>
            <w:r>
              <w:rPr>
                <w:color w:val="auto"/>
                <w:sz w:val="24"/>
              </w:rPr>
              <w:t>0</w:t>
            </w:r>
          </w:p>
        </w:tc>
        <w:tc>
          <w:tcPr>
            <w:tcW w:w="668" w:type="dxa"/>
            <w:vAlign w:val="top"/>
          </w:tcPr>
          <w:p>
            <w:pPr>
              <w:pStyle w:val="14"/>
              <w:spacing w:before="45"/>
              <w:ind w:left="8" w:leftChars="0"/>
              <w:rPr>
                <w:color w:val="auto"/>
                <w:sz w:val="24"/>
              </w:rPr>
            </w:pPr>
            <w:r>
              <w:rPr>
                <w:color w:val="auto"/>
                <w:sz w:val="24"/>
              </w:rPr>
              <w:t>0</w:t>
            </w:r>
          </w:p>
        </w:tc>
        <w:tc>
          <w:tcPr>
            <w:tcW w:w="630" w:type="dxa"/>
            <w:vAlign w:val="top"/>
          </w:tcPr>
          <w:p>
            <w:pPr>
              <w:pStyle w:val="14"/>
              <w:spacing w:before="45"/>
              <w:ind w:left="8" w:leftChars="0"/>
              <w:rPr>
                <w:color w:val="auto"/>
                <w:sz w:val="24"/>
              </w:rPr>
            </w:pPr>
            <w:r>
              <w:rPr>
                <w:color w:val="auto"/>
                <w:sz w:val="24"/>
              </w:rPr>
              <w:t>0.40</w:t>
            </w:r>
          </w:p>
        </w:tc>
        <w:tc>
          <w:tcPr>
            <w:tcW w:w="704" w:type="dxa"/>
            <w:vAlign w:val="top"/>
          </w:tcPr>
          <w:p>
            <w:pPr>
              <w:pStyle w:val="14"/>
              <w:spacing w:before="45"/>
              <w:ind w:right="41" w:rightChars="0"/>
              <w:jc w:val="right"/>
              <w:rPr>
                <w:color w:val="auto"/>
                <w:sz w:val="24"/>
              </w:rPr>
            </w:pPr>
            <w:r>
              <w:rPr>
                <w:color w:val="auto"/>
                <w:sz w:val="24"/>
              </w:rPr>
              <w:t>0.108</w:t>
            </w:r>
          </w:p>
        </w:tc>
        <w:tc>
          <w:tcPr>
            <w:tcW w:w="738" w:type="dxa"/>
            <w:vAlign w:val="top"/>
          </w:tcPr>
          <w:p>
            <w:pPr>
              <w:pStyle w:val="14"/>
              <w:spacing w:before="45"/>
              <w:ind w:right="59" w:rightChars="0"/>
              <w:jc w:val="right"/>
              <w:rPr>
                <w:color w:val="auto"/>
                <w:sz w:val="24"/>
              </w:rPr>
            </w:pPr>
            <w:r>
              <w:rPr>
                <w:color w:val="auto"/>
                <w:sz w:val="24"/>
              </w:rPr>
              <w:t>0.176</w:t>
            </w:r>
          </w:p>
        </w:tc>
        <w:tc>
          <w:tcPr>
            <w:tcW w:w="958" w:type="dxa"/>
            <w:vAlign w:val="top"/>
          </w:tcPr>
          <w:p>
            <w:pPr>
              <w:pStyle w:val="14"/>
              <w:spacing w:before="45"/>
              <w:ind w:left="156" w:leftChars="0" w:right="151" w:rightChars="0"/>
              <w:rPr>
                <w:color w:val="auto"/>
                <w:sz w:val="24"/>
              </w:rPr>
            </w:pPr>
            <w:r>
              <w:rPr>
                <w:color w:val="auto"/>
                <w:sz w:val="24"/>
              </w:rPr>
              <w:t>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075" w:type="dxa"/>
            <w:vAlign w:val="top"/>
          </w:tcPr>
          <w:p>
            <w:pPr>
              <w:pStyle w:val="14"/>
              <w:ind w:left="35" w:right="29"/>
              <w:rPr>
                <w:rFonts w:hint="eastAsia" w:ascii="仿宋_GB2312" w:eastAsia="仿宋_GB2312"/>
                <w:color w:val="auto"/>
                <w:sz w:val="24"/>
              </w:rPr>
            </w:pPr>
            <w:r>
              <w:rPr>
                <w:rFonts w:hint="eastAsia" w:ascii="仿宋_GB2312" w:eastAsia="仿宋_GB2312"/>
                <w:color w:val="auto"/>
                <w:sz w:val="24"/>
              </w:rPr>
              <w:t>丁宅乡</w:t>
            </w:r>
          </w:p>
        </w:tc>
        <w:tc>
          <w:tcPr>
            <w:tcW w:w="696" w:type="dxa"/>
            <w:vAlign w:val="top"/>
          </w:tcPr>
          <w:p>
            <w:pPr>
              <w:pStyle w:val="14"/>
              <w:ind w:left="27" w:leftChars="0" w:right="19" w:rightChars="0"/>
              <w:rPr>
                <w:color w:val="auto"/>
                <w:sz w:val="24"/>
              </w:rPr>
            </w:pPr>
            <w:r>
              <w:rPr>
                <w:color w:val="auto"/>
                <w:sz w:val="24"/>
              </w:rPr>
              <w:t>0.92</w:t>
            </w:r>
          </w:p>
        </w:tc>
        <w:tc>
          <w:tcPr>
            <w:tcW w:w="638" w:type="dxa"/>
            <w:vAlign w:val="top"/>
          </w:tcPr>
          <w:p>
            <w:pPr>
              <w:pStyle w:val="14"/>
              <w:ind w:right="8" w:rightChars="0"/>
              <w:jc w:val="right"/>
              <w:rPr>
                <w:color w:val="auto"/>
                <w:sz w:val="24"/>
              </w:rPr>
            </w:pPr>
            <w:r>
              <w:rPr>
                <w:color w:val="auto"/>
                <w:sz w:val="24"/>
              </w:rPr>
              <w:t>0.403</w:t>
            </w:r>
          </w:p>
        </w:tc>
        <w:tc>
          <w:tcPr>
            <w:tcW w:w="659" w:type="dxa"/>
            <w:vAlign w:val="top"/>
          </w:tcPr>
          <w:p>
            <w:pPr>
              <w:pStyle w:val="14"/>
              <w:ind w:left="89" w:leftChars="0"/>
              <w:jc w:val="left"/>
              <w:rPr>
                <w:color w:val="auto"/>
                <w:sz w:val="24"/>
              </w:rPr>
            </w:pPr>
            <w:r>
              <w:rPr>
                <w:color w:val="auto"/>
                <w:sz w:val="24"/>
              </w:rPr>
              <w:t>0.15</w:t>
            </w:r>
          </w:p>
        </w:tc>
        <w:tc>
          <w:tcPr>
            <w:tcW w:w="691" w:type="dxa"/>
            <w:vAlign w:val="top"/>
          </w:tcPr>
          <w:p>
            <w:pPr>
              <w:pStyle w:val="14"/>
              <w:ind w:right="36" w:rightChars="0"/>
              <w:jc w:val="right"/>
              <w:rPr>
                <w:color w:val="auto"/>
                <w:sz w:val="24"/>
              </w:rPr>
            </w:pPr>
            <w:r>
              <w:rPr>
                <w:color w:val="auto"/>
                <w:sz w:val="24"/>
              </w:rPr>
              <w:t>0.067</w:t>
            </w:r>
          </w:p>
        </w:tc>
        <w:tc>
          <w:tcPr>
            <w:tcW w:w="630" w:type="dxa"/>
            <w:vAlign w:val="top"/>
          </w:tcPr>
          <w:p>
            <w:pPr>
              <w:pStyle w:val="14"/>
              <w:ind w:left="5" w:leftChars="0"/>
              <w:rPr>
                <w:color w:val="auto"/>
                <w:sz w:val="24"/>
              </w:rPr>
            </w:pPr>
            <w:r>
              <w:rPr>
                <w:color w:val="auto"/>
                <w:sz w:val="24"/>
              </w:rPr>
              <w:t>0.49</w:t>
            </w:r>
          </w:p>
        </w:tc>
        <w:tc>
          <w:tcPr>
            <w:tcW w:w="653" w:type="dxa"/>
            <w:vAlign w:val="top"/>
          </w:tcPr>
          <w:p>
            <w:pPr>
              <w:pStyle w:val="14"/>
              <w:ind w:left="4" w:leftChars="0"/>
              <w:rPr>
                <w:color w:val="auto"/>
                <w:sz w:val="24"/>
              </w:rPr>
            </w:pPr>
            <w:r>
              <w:rPr>
                <w:color w:val="auto"/>
                <w:sz w:val="24"/>
              </w:rPr>
              <w:t>0.26</w:t>
            </w:r>
          </w:p>
        </w:tc>
        <w:tc>
          <w:tcPr>
            <w:tcW w:w="642" w:type="dxa"/>
            <w:vAlign w:val="top"/>
          </w:tcPr>
          <w:p>
            <w:pPr>
              <w:pStyle w:val="14"/>
              <w:ind w:left="57" w:leftChars="0" w:right="52" w:rightChars="0"/>
              <w:rPr>
                <w:color w:val="auto"/>
                <w:sz w:val="24"/>
              </w:rPr>
            </w:pPr>
            <w:r>
              <w:rPr>
                <w:color w:val="auto"/>
                <w:sz w:val="24"/>
              </w:rPr>
              <w:t>0.01</w:t>
            </w:r>
          </w:p>
        </w:tc>
        <w:tc>
          <w:tcPr>
            <w:tcW w:w="668" w:type="dxa"/>
            <w:vAlign w:val="top"/>
          </w:tcPr>
          <w:p>
            <w:pPr>
              <w:pStyle w:val="14"/>
              <w:ind w:right="25" w:rightChars="0"/>
              <w:jc w:val="right"/>
              <w:rPr>
                <w:color w:val="auto"/>
                <w:sz w:val="24"/>
              </w:rPr>
            </w:pPr>
            <w:r>
              <w:rPr>
                <w:color w:val="auto"/>
                <w:sz w:val="24"/>
              </w:rPr>
              <w:t>0.003</w:t>
            </w:r>
          </w:p>
        </w:tc>
        <w:tc>
          <w:tcPr>
            <w:tcW w:w="630" w:type="dxa"/>
            <w:vAlign w:val="top"/>
          </w:tcPr>
          <w:p>
            <w:pPr>
              <w:pStyle w:val="14"/>
              <w:ind w:left="8" w:leftChars="0"/>
              <w:rPr>
                <w:color w:val="auto"/>
                <w:sz w:val="24"/>
              </w:rPr>
            </w:pPr>
            <w:r>
              <w:rPr>
                <w:color w:val="auto"/>
                <w:sz w:val="24"/>
              </w:rPr>
              <w:t>0.27</w:t>
            </w:r>
          </w:p>
        </w:tc>
        <w:tc>
          <w:tcPr>
            <w:tcW w:w="704" w:type="dxa"/>
            <w:vAlign w:val="top"/>
          </w:tcPr>
          <w:p>
            <w:pPr>
              <w:pStyle w:val="14"/>
              <w:ind w:right="41" w:rightChars="0"/>
              <w:jc w:val="right"/>
              <w:rPr>
                <w:color w:val="auto"/>
                <w:sz w:val="24"/>
              </w:rPr>
            </w:pPr>
            <w:r>
              <w:rPr>
                <w:color w:val="auto"/>
                <w:sz w:val="24"/>
              </w:rPr>
              <w:t>0.073</w:t>
            </w:r>
          </w:p>
        </w:tc>
        <w:tc>
          <w:tcPr>
            <w:tcW w:w="738" w:type="dxa"/>
            <w:vAlign w:val="top"/>
          </w:tcPr>
          <w:p>
            <w:pPr>
              <w:pStyle w:val="14"/>
              <w:ind w:right="59" w:rightChars="0"/>
              <w:jc w:val="right"/>
              <w:rPr>
                <w:color w:val="auto"/>
                <w:sz w:val="24"/>
              </w:rPr>
            </w:pPr>
            <w:r>
              <w:rPr>
                <w:color w:val="auto"/>
                <w:sz w:val="24"/>
              </w:rPr>
              <w:t>0.094</w:t>
            </w:r>
          </w:p>
        </w:tc>
        <w:tc>
          <w:tcPr>
            <w:tcW w:w="958" w:type="dxa"/>
            <w:vAlign w:val="top"/>
          </w:tcPr>
          <w:p>
            <w:pPr>
              <w:pStyle w:val="14"/>
              <w:ind w:left="156" w:leftChars="0" w:right="151" w:rightChars="0"/>
              <w:rPr>
                <w:color w:val="auto"/>
                <w:sz w:val="24"/>
              </w:rPr>
            </w:pPr>
            <w:r>
              <w:rPr>
                <w:color w:val="auto"/>
                <w:sz w:val="24"/>
              </w:rPr>
              <w:t>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75" w:type="dxa"/>
            <w:vAlign w:val="top"/>
          </w:tcPr>
          <w:p>
            <w:pPr>
              <w:pStyle w:val="14"/>
              <w:spacing w:before="6" w:line="320" w:lineRule="atLeast"/>
              <w:ind w:left="55" w:right="47"/>
              <w:jc w:val="left"/>
              <w:rPr>
                <w:rFonts w:hint="eastAsia" w:ascii="仿宋_GB2312" w:eastAsia="仿宋_GB2312"/>
                <w:color w:val="auto"/>
                <w:sz w:val="24"/>
              </w:rPr>
            </w:pPr>
            <w:r>
              <w:rPr>
                <w:rFonts w:hint="eastAsia" w:ascii="仿宋_GB2312" w:eastAsia="仿宋_GB2312"/>
                <w:color w:val="auto"/>
                <w:sz w:val="24"/>
              </w:rPr>
              <w:t>杭州湾综合管理办</w:t>
            </w:r>
          </w:p>
        </w:tc>
        <w:tc>
          <w:tcPr>
            <w:tcW w:w="696" w:type="dxa"/>
            <w:vAlign w:val="top"/>
          </w:tcPr>
          <w:p>
            <w:pPr>
              <w:pStyle w:val="14"/>
              <w:spacing w:before="177"/>
              <w:ind w:left="27" w:leftChars="0" w:right="19" w:rightChars="0"/>
              <w:rPr>
                <w:color w:val="auto"/>
                <w:sz w:val="24"/>
              </w:rPr>
            </w:pPr>
            <w:r>
              <w:rPr>
                <w:color w:val="auto"/>
                <w:sz w:val="24"/>
              </w:rPr>
              <w:t>2.78</w:t>
            </w:r>
          </w:p>
        </w:tc>
        <w:tc>
          <w:tcPr>
            <w:tcW w:w="638" w:type="dxa"/>
            <w:vAlign w:val="top"/>
          </w:tcPr>
          <w:p>
            <w:pPr>
              <w:pStyle w:val="14"/>
              <w:spacing w:before="177"/>
              <w:ind w:right="8" w:rightChars="0"/>
              <w:jc w:val="right"/>
              <w:rPr>
                <w:color w:val="auto"/>
                <w:sz w:val="24"/>
              </w:rPr>
            </w:pPr>
            <w:r>
              <w:rPr>
                <w:color w:val="auto"/>
                <w:sz w:val="24"/>
              </w:rPr>
              <w:t>1.080</w:t>
            </w:r>
          </w:p>
        </w:tc>
        <w:tc>
          <w:tcPr>
            <w:tcW w:w="659" w:type="dxa"/>
            <w:vAlign w:val="top"/>
          </w:tcPr>
          <w:p>
            <w:pPr>
              <w:pStyle w:val="14"/>
              <w:spacing w:before="177"/>
              <w:ind w:left="89" w:leftChars="0"/>
              <w:jc w:val="left"/>
              <w:rPr>
                <w:color w:val="auto"/>
                <w:sz w:val="24"/>
              </w:rPr>
            </w:pPr>
            <w:r>
              <w:rPr>
                <w:color w:val="auto"/>
                <w:sz w:val="24"/>
              </w:rPr>
              <w:t>0.15</w:t>
            </w:r>
          </w:p>
        </w:tc>
        <w:tc>
          <w:tcPr>
            <w:tcW w:w="691" w:type="dxa"/>
            <w:vAlign w:val="top"/>
          </w:tcPr>
          <w:p>
            <w:pPr>
              <w:pStyle w:val="14"/>
              <w:spacing w:before="177"/>
              <w:ind w:right="36" w:rightChars="0"/>
              <w:jc w:val="right"/>
              <w:rPr>
                <w:color w:val="auto"/>
                <w:sz w:val="24"/>
              </w:rPr>
            </w:pPr>
            <w:r>
              <w:rPr>
                <w:color w:val="auto"/>
                <w:sz w:val="24"/>
              </w:rPr>
              <w:t>0.067</w:t>
            </w:r>
          </w:p>
        </w:tc>
        <w:tc>
          <w:tcPr>
            <w:tcW w:w="630" w:type="dxa"/>
            <w:vAlign w:val="top"/>
          </w:tcPr>
          <w:p>
            <w:pPr>
              <w:pStyle w:val="14"/>
              <w:spacing w:before="177"/>
              <w:ind w:left="5" w:leftChars="0"/>
              <w:rPr>
                <w:color w:val="auto"/>
                <w:sz w:val="24"/>
              </w:rPr>
            </w:pPr>
            <w:r>
              <w:rPr>
                <w:color w:val="auto"/>
                <w:sz w:val="24"/>
              </w:rPr>
              <w:t>1.05</w:t>
            </w:r>
          </w:p>
        </w:tc>
        <w:tc>
          <w:tcPr>
            <w:tcW w:w="653" w:type="dxa"/>
            <w:vAlign w:val="top"/>
          </w:tcPr>
          <w:p>
            <w:pPr>
              <w:pStyle w:val="14"/>
              <w:spacing w:before="177"/>
              <w:ind w:left="4" w:leftChars="0"/>
              <w:rPr>
                <w:color w:val="auto"/>
                <w:sz w:val="24"/>
              </w:rPr>
            </w:pPr>
            <w:r>
              <w:rPr>
                <w:color w:val="auto"/>
                <w:sz w:val="24"/>
              </w:rPr>
              <w:t>0.58</w:t>
            </w:r>
          </w:p>
        </w:tc>
        <w:tc>
          <w:tcPr>
            <w:tcW w:w="642" w:type="dxa"/>
            <w:vAlign w:val="top"/>
          </w:tcPr>
          <w:p>
            <w:pPr>
              <w:pStyle w:val="14"/>
              <w:spacing w:before="177"/>
              <w:ind w:left="57" w:leftChars="0" w:right="52" w:rightChars="0"/>
              <w:rPr>
                <w:color w:val="auto"/>
                <w:sz w:val="24"/>
              </w:rPr>
            </w:pPr>
            <w:r>
              <w:rPr>
                <w:color w:val="auto"/>
                <w:sz w:val="24"/>
              </w:rPr>
              <w:t>0.62</w:t>
            </w:r>
          </w:p>
        </w:tc>
        <w:tc>
          <w:tcPr>
            <w:tcW w:w="668" w:type="dxa"/>
            <w:vAlign w:val="top"/>
          </w:tcPr>
          <w:p>
            <w:pPr>
              <w:pStyle w:val="14"/>
              <w:spacing w:before="177"/>
              <w:ind w:right="25" w:rightChars="0"/>
              <w:jc w:val="right"/>
              <w:rPr>
                <w:color w:val="auto"/>
                <w:sz w:val="24"/>
              </w:rPr>
            </w:pPr>
            <w:r>
              <w:rPr>
                <w:color w:val="auto"/>
                <w:sz w:val="24"/>
              </w:rPr>
              <w:t>0.173</w:t>
            </w:r>
          </w:p>
        </w:tc>
        <w:tc>
          <w:tcPr>
            <w:tcW w:w="630" w:type="dxa"/>
            <w:vAlign w:val="top"/>
          </w:tcPr>
          <w:p>
            <w:pPr>
              <w:pStyle w:val="14"/>
              <w:spacing w:before="177"/>
              <w:ind w:left="8" w:leftChars="0"/>
              <w:rPr>
                <w:color w:val="auto"/>
                <w:sz w:val="24"/>
              </w:rPr>
            </w:pPr>
            <w:r>
              <w:rPr>
                <w:color w:val="auto"/>
                <w:sz w:val="24"/>
              </w:rPr>
              <w:t>0.96</w:t>
            </w:r>
          </w:p>
        </w:tc>
        <w:tc>
          <w:tcPr>
            <w:tcW w:w="704" w:type="dxa"/>
            <w:vAlign w:val="top"/>
          </w:tcPr>
          <w:p>
            <w:pPr>
              <w:pStyle w:val="14"/>
              <w:spacing w:before="177"/>
              <w:ind w:right="41" w:rightChars="0"/>
              <w:jc w:val="right"/>
              <w:rPr>
                <w:color w:val="auto"/>
                <w:sz w:val="24"/>
              </w:rPr>
            </w:pPr>
            <w:r>
              <w:rPr>
                <w:color w:val="auto"/>
                <w:sz w:val="24"/>
              </w:rPr>
              <w:t>0.260</w:t>
            </w:r>
          </w:p>
        </w:tc>
        <w:tc>
          <w:tcPr>
            <w:tcW w:w="738" w:type="dxa"/>
            <w:vAlign w:val="top"/>
          </w:tcPr>
          <w:p>
            <w:pPr>
              <w:pStyle w:val="14"/>
              <w:spacing w:before="177"/>
              <w:ind w:right="59" w:rightChars="0"/>
              <w:jc w:val="right"/>
              <w:rPr>
                <w:color w:val="auto"/>
                <w:sz w:val="24"/>
              </w:rPr>
            </w:pPr>
            <w:r>
              <w:rPr>
                <w:color w:val="auto"/>
                <w:sz w:val="24"/>
              </w:rPr>
              <w:t>0.375</w:t>
            </w:r>
          </w:p>
        </w:tc>
        <w:tc>
          <w:tcPr>
            <w:tcW w:w="958" w:type="dxa"/>
            <w:vAlign w:val="top"/>
          </w:tcPr>
          <w:p>
            <w:pPr>
              <w:pStyle w:val="14"/>
              <w:spacing w:before="177"/>
              <w:ind w:left="156" w:leftChars="0" w:right="151" w:rightChars="0"/>
              <w:rPr>
                <w:color w:val="auto"/>
                <w:sz w:val="24"/>
              </w:rPr>
            </w:pPr>
            <w:r>
              <w:rPr>
                <w:color w:val="auto"/>
                <w:sz w:val="24"/>
              </w:rPr>
              <w:t>0.066</w:t>
            </w:r>
          </w:p>
        </w:tc>
      </w:tr>
    </w:tbl>
    <w:p>
      <w:pPr>
        <w:pStyle w:val="8"/>
        <w:rPr>
          <w:color w:val="auto"/>
        </w:rPr>
      </w:pPr>
    </w:p>
    <w:p>
      <w:pPr>
        <w:rPr>
          <w:color w:val="auto"/>
        </w:rPr>
      </w:pPr>
    </w:p>
    <w:p>
      <w:pPr>
        <w:pStyle w:val="8"/>
        <w:rPr>
          <w:color w:val="auto"/>
        </w:rPr>
      </w:pPr>
    </w:p>
    <w:p>
      <w:pPr>
        <w:rPr>
          <w:color w:val="auto"/>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2</w:t>
      </w:r>
    </w:p>
    <w:p>
      <w:pPr>
        <w:pStyle w:val="8"/>
        <w:jc w:val="center"/>
        <w:rPr>
          <w:rFonts w:hint="eastAsia" w:ascii="仿宋" w:hAnsi="仿宋" w:eastAsia="仿宋" w:cs="仿宋"/>
          <w:color w:val="auto"/>
          <w:spacing w:val="-12"/>
          <w:sz w:val="36"/>
          <w:szCs w:val="36"/>
        </w:rPr>
      </w:pPr>
      <w:r>
        <w:rPr>
          <w:rFonts w:hint="eastAsia" w:ascii="仿宋" w:hAnsi="仿宋" w:eastAsia="仿宋" w:cs="仿宋"/>
          <w:color w:val="auto"/>
          <w:sz w:val="36"/>
          <w:szCs w:val="36"/>
        </w:rPr>
        <w:t>202</w:t>
      </w:r>
      <w:r>
        <w:rPr>
          <w:rFonts w:hint="eastAsia" w:ascii="仿宋" w:hAnsi="仿宋" w:eastAsia="仿宋" w:cs="仿宋"/>
          <w:color w:val="auto"/>
          <w:sz w:val="36"/>
          <w:szCs w:val="36"/>
          <w:lang w:val="en-US" w:eastAsia="zh-CN"/>
        </w:rPr>
        <w:t>4</w:t>
      </w:r>
      <w:r>
        <w:rPr>
          <w:rFonts w:hint="eastAsia" w:ascii="仿宋" w:hAnsi="仿宋" w:eastAsia="仿宋" w:cs="仿宋"/>
          <w:color w:val="auto"/>
          <w:spacing w:val="-12"/>
          <w:sz w:val="36"/>
          <w:szCs w:val="36"/>
        </w:rPr>
        <w:t>年油料面积和产量任务</w:t>
      </w:r>
    </w:p>
    <w:p>
      <w:pPr>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单位：亩、吨</w:t>
      </w:r>
    </w:p>
    <w:tbl>
      <w:tblPr>
        <w:tblStyle w:val="11"/>
        <w:tblW w:w="8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8"/>
        <w:gridCol w:w="1154"/>
        <w:gridCol w:w="1335"/>
        <w:gridCol w:w="1470"/>
        <w:gridCol w:w="1335"/>
        <w:gridCol w:w="131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Merge w:val="restart"/>
            <w:vAlign w:val="center"/>
          </w:tcPr>
          <w:p>
            <w:pPr>
              <w:pStyle w:val="14"/>
              <w:spacing w:before="1"/>
              <w:ind w:left="367"/>
              <w:jc w:val="both"/>
              <w:rPr>
                <w:rFonts w:hint="eastAsia" w:ascii="仿宋" w:hAnsi="仿宋" w:eastAsia="仿宋" w:cs="仿宋"/>
                <w:color w:val="auto"/>
                <w:sz w:val="24"/>
              </w:rPr>
            </w:pPr>
            <w:r>
              <w:rPr>
                <w:rFonts w:hint="eastAsia" w:ascii="仿宋" w:hAnsi="仿宋" w:eastAsia="仿宋" w:cs="仿宋"/>
                <w:color w:val="auto"/>
                <w:sz w:val="24"/>
              </w:rPr>
              <w:t>单位</w:t>
            </w:r>
          </w:p>
        </w:tc>
        <w:tc>
          <w:tcPr>
            <w:tcW w:w="2489" w:type="dxa"/>
            <w:gridSpan w:val="2"/>
            <w:vAlign w:val="center"/>
          </w:tcPr>
          <w:p>
            <w:pPr>
              <w:pStyle w:val="14"/>
              <w:spacing w:before="78"/>
              <w:ind w:left="982" w:right="976"/>
              <w:jc w:val="center"/>
              <w:rPr>
                <w:rFonts w:hint="eastAsia" w:ascii="仿宋" w:hAnsi="仿宋" w:eastAsia="仿宋" w:cs="仿宋"/>
                <w:color w:val="auto"/>
                <w:sz w:val="24"/>
              </w:rPr>
            </w:pPr>
            <w:r>
              <w:rPr>
                <w:rFonts w:hint="eastAsia" w:ascii="仿宋" w:hAnsi="仿宋" w:eastAsia="仿宋" w:cs="仿宋"/>
                <w:color w:val="auto"/>
                <w:sz w:val="24"/>
              </w:rPr>
              <w:t>油料</w:t>
            </w:r>
          </w:p>
        </w:tc>
        <w:tc>
          <w:tcPr>
            <w:tcW w:w="2805" w:type="dxa"/>
            <w:gridSpan w:val="2"/>
            <w:vAlign w:val="center"/>
          </w:tcPr>
          <w:p>
            <w:pPr>
              <w:pStyle w:val="14"/>
              <w:spacing w:before="78"/>
              <w:ind w:left="320"/>
              <w:jc w:val="center"/>
              <w:rPr>
                <w:rFonts w:hint="eastAsia" w:ascii="仿宋" w:hAnsi="仿宋" w:eastAsia="仿宋" w:cs="仿宋"/>
                <w:color w:val="auto"/>
                <w:sz w:val="24"/>
              </w:rPr>
            </w:pPr>
            <w:r>
              <w:rPr>
                <w:rFonts w:hint="eastAsia" w:ascii="仿宋" w:hAnsi="仿宋" w:eastAsia="仿宋" w:cs="仿宋"/>
                <w:color w:val="auto"/>
                <w:sz w:val="24"/>
              </w:rPr>
              <w:t>其中：花生、芝麻等</w:t>
            </w:r>
          </w:p>
        </w:tc>
        <w:tc>
          <w:tcPr>
            <w:tcW w:w="2365" w:type="dxa"/>
            <w:gridSpan w:val="2"/>
            <w:vAlign w:val="center"/>
          </w:tcPr>
          <w:p>
            <w:pPr>
              <w:pStyle w:val="14"/>
              <w:spacing w:before="78"/>
              <w:ind w:left="580"/>
              <w:jc w:val="center"/>
              <w:rPr>
                <w:rFonts w:hint="eastAsia" w:ascii="仿宋" w:hAnsi="仿宋" w:eastAsia="仿宋" w:cs="仿宋"/>
                <w:color w:val="auto"/>
                <w:sz w:val="24"/>
              </w:rPr>
            </w:pPr>
            <w:r>
              <w:rPr>
                <w:rFonts w:hint="eastAsia" w:ascii="仿宋" w:hAnsi="仿宋" w:eastAsia="仿宋" w:cs="仿宋"/>
                <w:color w:val="auto"/>
                <w:sz w:val="24"/>
              </w:rPr>
              <w:t>其中：油菜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Merge w:val="continue"/>
            <w:tcBorders>
              <w:top w:val="nil"/>
            </w:tcBorders>
            <w:vAlign w:val="center"/>
          </w:tcPr>
          <w:p>
            <w:pPr>
              <w:jc w:val="center"/>
              <w:rPr>
                <w:rFonts w:hint="eastAsia" w:ascii="仿宋" w:hAnsi="仿宋" w:eastAsia="仿宋" w:cs="仿宋"/>
                <w:color w:val="auto"/>
                <w:sz w:val="2"/>
                <w:szCs w:val="2"/>
              </w:rPr>
            </w:pPr>
          </w:p>
        </w:tc>
        <w:tc>
          <w:tcPr>
            <w:tcW w:w="1154" w:type="dxa"/>
            <w:vAlign w:val="center"/>
          </w:tcPr>
          <w:p>
            <w:pPr>
              <w:pStyle w:val="14"/>
              <w:spacing w:before="106"/>
              <w:ind w:left="205" w:right="198"/>
              <w:jc w:val="center"/>
              <w:rPr>
                <w:rFonts w:hint="eastAsia" w:ascii="仿宋" w:hAnsi="仿宋" w:eastAsia="仿宋" w:cs="仿宋"/>
                <w:color w:val="auto"/>
                <w:sz w:val="24"/>
              </w:rPr>
            </w:pPr>
            <w:r>
              <w:rPr>
                <w:rFonts w:hint="eastAsia" w:ascii="仿宋" w:hAnsi="仿宋" w:eastAsia="仿宋" w:cs="仿宋"/>
                <w:color w:val="auto"/>
                <w:sz w:val="24"/>
              </w:rPr>
              <w:t>面积</w:t>
            </w:r>
          </w:p>
        </w:tc>
        <w:tc>
          <w:tcPr>
            <w:tcW w:w="1335" w:type="dxa"/>
            <w:vAlign w:val="center"/>
          </w:tcPr>
          <w:p>
            <w:pPr>
              <w:pStyle w:val="14"/>
              <w:spacing w:before="106"/>
              <w:ind w:left="365" w:right="356"/>
              <w:jc w:val="center"/>
              <w:rPr>
                <w:rFonts w:hint="eastAsia" w:ascii="仿宋" w:hAnsi="仿宋" w:eastAsia="仿宋" w:cs="仿宋"/>
                <w:color w:val="auto"/>
                <w:sz w:val="24"/>
              </w:rPr>
            </w:pPr>
            <w:r>
              <w:rPr>
                <w:rFonts w:hint="eastAsia" w:ascii="仿宋" w:hAnsi="仿宋" w:eastAsia="仿宋" w:cs="仿宋"/>
                <w:color w:val="auto"/>
                <w:sz w:val="24"/>
              </w:rPr>
              <w:t>产量</w:t>
            </w:r>
          </w:p>
        </w:tc>
        <w:tc>
          <w:tcPr>
            <w:tcW w:w="1470" w:type="dxa"/>
            <w:vAlign w:val="center"/>
          </w:tcPr>
          <w:p>
            <w:pPr>
              <w:pStyle w:val="14"/>
              <w:spacing w:before="106"/>
              <w:ind w:left="433" w:right="426"/>
              <w:jc w:val="center"/>
              <w:rPr>
                <w:rFonts w:hint="eastAsia" w:ascii="仿宋" w:hAnsi="仿宋" w:eastAsia="仿宋" w:cs="仿宋"/>
                <w:color w:val="auto"/>
                <w:sz w:val="24"/>
              </w:rPr>
            </w:pPr>
            <w:r>
              <w:rPr>
                <w:rFonts w:hint="eastAsia" w:ascii="仿宋" w:hAnsi="仿宋" w:eastAsia="仿宋" w:cs="仿宋"/>
                <w:color w:val="auto"/>
                <w:sz w:val="24"/>
              </w:rPr>
              <w:t>面积</w:t>
            </w:r>
          </w:p>
        </w:tc>
        <w:tc>
          <w:tcPr>
            <w:tcW w:w="1335" w:type="dxa"/>
            <w:vAlign w:val="center"/>
          </w:tcPr>
          <w:p>
            <w:pPr>
              <w:pStyle w:val="14"/>
              <w:spacing w:before="106"/>
              <w:ind w:left="365" w:right="355"/>
              <w:jc w:val="center"/>
              <w:rPr>
                <w:rFonts w:hint="eastAsia" w:ascii="仿宋" w:hAnsi="仿宋" w:eastAsia="仿宋" w:cs="仿宋"/>
                <w:color w:val="auto"/>
                <w:sz w:val="24"/>
              </w:rPr>
            </w:pPr>
            <w:r>
              <w:rPr>
                <w:rFonts w:hint="eastAsia" w:ascii="仿宋" w:hAnsi="仿宋" w:eastAsia="仿宋" w:cs="仿宋"/>
                <w:color w:val="auto"/>
                <w:sz w:val="24"/>
              </w:rPr>
              <w:t>产量</w:t>
            </w:r>
          </w:p>
        </w:tc>
        <w:tc>
          <w:tcPr>
            <w:tcW w:w="1315" w:type="dxa"/>
            <w:vAlign w:val="center"/>
          </w:tcPr>
          <w:p>
            <w:pPr>
              <w:pStyle w:val="14"/>
              <w:spacing w:before="106"/>
              <w:ind w:left="287" w:right="277"/>
              <w:jc w:val="center"/>
              <w:rPr>
                <w:rFonts w:hint="eastAsia" w:ascii="仿宋" w:hAnsi="仿宋" w:eastAsia="仿宋" w:cs="仿宋"/>
                <w:color w:val="auto"/>
                <w:sz w:val="24"/>
              </w:rPr>
            </w:pPr>
            <w:r>
              <w:rPr>
                <w:rFonts w:hint="eastAsia" w:ascii="仿宋" w:hAnsi="仿宋" w:eastAsia="仿宋" w:cs="仿宋"/>
                <w:color w:val="auto"/>
                <w:sz w:val="24"/>
              </w:rPr>
              <w:t>面积</w:t>
            </w:r>
          </w:p>
        </w:tc>
        <w:tc>
          <w:tcPr>
            <w:tcW w:w="1050" w:type="dxa"/>
            <w:vAlign w:val="center"/>
          </w:tcPr>
          <w:p>
            <w:pPr>
              <w:pStyle w:val="14"/>
              <w:spacing w:before="106"/>
              <w:ind w:left="224" w:right="213"/>
              <w:jc w:val="center"/>
              <w:rPr>
                <w:rFonts w:hint="eastAsia" w:ascii="仿宋" w:hAnsi="仿宋" w:eastAsia="仿宋" w:cs="仿宋"/>
                <w:color w:val="auto"/>
                <w:sz w:val="24"/>
              </w:rPr>
            </w:pPr>
            <w:r>
              <w:rPr>
                <w:rFonts w:hint="eastAsia" w:ascii="仿宋" w:hAnsi="仿宋" w:eastAsia="仿宋" w:cs="仿宋"/>
                <w:color w:val="auto"/>
                <w:sz w:val="24"/>
              </w:rPr>
              <w:t>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tabs>
                <w:tab w:val="left" w:pos="487"/>
              </w:tabs>
              <w:spacing w:before="115"/>
              <w:ind w:left="7"/>
              <w:jc w:val="center"/>
              <w:rPr>
                <w:rFonts w:hint="eastAsia" w:ascii="仿宋" w:hAnsi="仿宋" w:eastAsia="仿宋" w:cs="仿宋"/>
                <w:color w:val="auto"/>
                <w:sz w:val="24"/>
              </w:rPr>
            </w:pPr>
            <w:r>
              <w:rPr>
                <w:rFonts w:hint="eastAsia" w:ascii="仿宋" w:hAnsi="仿宋" w:eastAsia="仿宋" w:cs="仿宋"/>
                <w:color w:val="auto"/>
                <w:sz w:val="24"/>
              </w:rPr>
              <w:t>全</w:t>
            </w:r>
            <w:r>
              <w:rPr>
                <w:rFonts w:hint="eastAsia" w:ascii="仿宋" w:hAnsi="仿宋" w:eastAsia="仿宋" w:cs="仿宋"/>
                <w:color w:val="auto"/>
                <w:sz w:val="24"/>
              </w:rPr>
              <w:tab/>
            </w:r>
            <w:r>
              <w:rPr>
                <w:rFonts w:hint="eastAsia" w:ascii="仿宋" w:hAnsi="仿宋" w:eastAsia="仿宋" w:cs="仿宋"/>
                <w:color w:val="auto"/>
                <w:sz w:val="24"/>
              </w:rPr>
              <w:t>区</w:t>
            </w:r>
          </w:p>
        </w:tc>
        <w:tc>
          <w:tcPr>
            <w:tcW w:w="1154" w:type="dxa"/>
            <w:vAlign w:val="center"/>
          </w:tcPr>
          <w:p>
            <w:pPr>
              <w:pStyle w:val="14"/>
              <w:spacing w:before="8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r>
              <w:rPr>
                <w:rFonts w:hint="eastAsia" w:cs="仿宋"/>
                <w:color w:val="auto"/>
                <w:sz w:val="24"/>
                <w:szCs w:val="24"/>
                <w:lang w:val="en-US" w:eastAsia="zh-CN"/>
              </w:rPr>
              <w:t>9</w:t>
            </w:r>
            <w:r>
              <w:rPr>
                <w:rFonts w:hint="eastAsia" w:ascii="仿宋" w:hAnsi="仿宋" w:eastAsia="仿宋" w:cs="仿宋"/>
                <w:color w:val="auto"/>
                <w:sz w:val="24"/>
                <w:szCs w:val="24"/>
              </w:rPr>
              <w:t>40</w:t>
            </w:r>
          </w:p>
        </w:tc>
        <w:tc>
          <w:tcPr>
            <w:tcW w:w="1335" w:type="dxa"/>
            <w:vAlign w:val="center"/>
          </w:tcPr>
          <w:p>
            <w:pPr>
              <w:pStyle w:val="14"/>
              <w:spacing w:before="8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8800</w:t>
            </w:r>
          </w:p>
        </w:tc>
        <w:tc>
          <w:tcPr>
            <w:tcW w:w="1470" w:type="dxa"/>
            <w:vAlign w:val="center"/>
          </w:tcPr>
          <w:p>
            <w:pPr>
              <w:pStyle w:val="14"/>
              <w:spacing w:before="8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4940</w:t>
            </w:r>
          </w:p>
        </w:tc>
        <w:tc>
          <w:tcPr>
            <w:tcW w:w="1335" w:type="dxa"/>
            <w:vAlign w:val="center"/>
          </w:tcPr>
          <w:p>
            <w:pPr>
              <w:pStyle w:val="14"/>
              <w:spacing w:before="83"/>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900</w:t>
            </w:r>
          </w:p>
        </w:tc>
        <w:tc>
          <w:tcPr>
            <w:tcW w:w="1315" w:type="dxa"/>
            <w:vAlign w:val="center"/>
          </w:tcPr>
          <w:p>
            <w:pPr>
              <w:pStyle w:val="14"/>
              <w:spacing w:before="83"/>
              <w:ind w:left="287" w:right="278"/>
              <w:jc w:val="center"/>
              <w:rPr>
                <w:rFonts w:hint="default" w:ascii="仿宋" w:hAnsi="仿宋" w:eastAsia="仿宋" w:cs="仿宋"/>
                <w:color w:val="auto"/>
                <w:sz w:val="24"/>
                <w:szCs w:val="24"/>
                <w:lang w:val="en-US" w:eastAsia="zh-CN"/>
              </w:rPr>
            </w:pPr>
            <w:r>
              <w:rPr>
                <w:rFonts w:hint="eastAsia" w:cs="仿宋"/>
                <w:color w:val="auto"/>
                <w:sz w:val="24"/>
                <w:szCs w:val="24"/>
                <w:lang w:val="en-US" w:eastAsia="zh-CN"/>
              </w:rPr>
              <w:t>50000</w:t>
            </w:r>
          </w:p>
        </w:tc>
        <w:tc>
          <w:tcPr>
            <w:tcW w:w="1050" w:type="dxa"/>
            <w:vAlign w:val="center"/>
          </w:tcPr>
          <w:p>
            <w:pPr>
              <w:pStyle w:val="14"/>
              <w:spacing w:before="8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百官街道</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cs="仿宋"/>
                <w:color w:val="auto"/>
                <w:sz w:val="24"/>
                <w:szCs w:val="24"/>
                <w:lang w:val="en-US" w:eastAsia="zh-CN"/>
              </w:rPr>
              <w:t>7</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425</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1335" w:type="dxa"/>
            <w:vAlign w:val="center"/>
          </w:tcPr>
          <w:p>
            <w:pPr>
              <w:pStyle w:val="14"/>
              <w:spacing w:before="13"/>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曹娥街道</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cs="仿宋"/>
                <w:color w:val="auto"/>
                <w:sz w:val="24"/>
                <w:szCs w:val="24"/>
                <w:lang w:val="en-US" w:eastAsia="zh-CN"/>
              </w:rPr>
              <w:t>10</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338</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35" w:type="dxa"/>
            <w:vAlign w:val="center"/>
          </w:tcPr>
          <w:p>
            <w:pPr>
              <w:pStyle w:val="14"/>
              <w:spacing w:before="13"/>
              <w:ind w:left="7"/>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6</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cs="仿宋"/>
                <w:color w:val="auto"/>
                <w:sz w:val="24"/>
                <w:szCs w:val="24"/>
                <w:lang w:val="en-US" w:eastAsia="zh-CN"/>
              </w:rPr>
              <w:t>7</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东关街道</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257</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150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cs="仿宋"/>
                <w:color w:val="auto"/>
                <w:sz w:val="24"/>
                <w:szCs w:val="24"/>
                <w:lang w:val="en-US" w:eastAsia="zh-CN"/>
              </w:rPr>
              <w:t>7</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道墟街道</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669</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200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小越街道</w:t>
            </w:r>
          </w:p>
        </w:tc>
        <w:tc>
          <w:tcPr>
            <w:tcW w:w="115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28</w:t>
            </w:r>
            <w:r>
              <w:rPr>
                <w:rFonts w:hint="eastAsia"/>
                <w:color w:val="auto"/>
                <w:sz w:val="24"/>
                <w:lang w:val="en-US" w:eastAsia="zh-CN"/>
              </w:rPr>
              <w:t>2</w:t>
            </w:r>
            <w:r>
              <w:rPr>
                <w:rFonts w:hint="eastAsia"/>
                <w:color w:val="auto"/>
                <w:sz w:val="24"/>
                <w:lang w:eastAsia="zh-CN"/>
              </w:rPr>
              <w:t>0</w:t>
            </w:r>
          </w:p>
        </w:tc>
        <w:tc>
          <w:tcPr>
            <w:tcW w:w="1335"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468</w:t>
            </w:r>
          </w:p>
        </w:tc>
        <w:tc>
          <w:tcPr>
            <w:tcW w:w="14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0</w:t>
            </w:r>
          </w:p>
        </w:tc>
        <w:tc>
          <w:tcPr>
            <w:tcW w:w="1335"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0</w:t>
            </w:r>
          </w:p>
        </w:tc>
        <w:tc>
          <w:tcPr>
            <w:tcW w:w="1315"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28</w:t>
            </w:r>
            <w:r>
              <w:rPr>
                <w:rFonts w:hint="eastAsia"/>
                <w:color w:val="auto"/>
                <w:sz w:val="24"/>
                <w:lang w:val="en-US" w:eastAsia="zh-CN"/>
              </w:rPr>
              <w:t>2</w:t>
            </w:r>
            <w:r>
              <w:rPr>
                <w:rFonts w:hint="eastAsia"/>
                <w:color w:val="auto"/>
                <w:sz w:val="24"/>
                <w:lang w:eastAsia="zh-CN"/>
              </w:rPr>
              <w:t>0</w:t>
            </w:r>
          </w:p>
        </w:tc>
        <w:tc>
          <w:tcPr>
            <w:tcW w:w="105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梁湖街道</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533</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335" w:type="dxa"/>
            <w:vAlign w:val="center"/>
          </w:tcPr>
          <w:p>
            <w:pPr>
              <w:pStyle w:val="14"/>
              <w:spacing w:before="12"/>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cs="仿宋"/>
                <w:color w:val="auto"/>
                <w:sz w:val="24"/>
                <w:szCs w:val="24"/>
                <w:lang w:val="en-US" w:eastAsia="zh-CN"/>
              </w:rPr>
              <w:t>3</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崧厦街道</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r>
              <w:rPr>
                <w:rFonts w:hint="eastAsia" w:cs="仿宋"/>
                <w:color w:val="auto"/>
                <w:sz w:val="24"/>
                <w:szCs w:val="24"/>
                <w:lang w:val="en-US" w:eastAsia="zh-CN"/>
              </w:rPr>
              <w:t>7</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1009</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335" w:type="dxa"/>
            <w:vAlign w:val="center"/>
          </w:tcPr>
          <w:p>
            <w:pPr>
              <w:pStyle w:val="14"/>
              <w:spacing w:before="12"/>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cs="仿宋"/>
                <w:color w:val="auto"/>
                <w:sz w:val="24"/>
                <w:szCs w:val="24"/>
                <w:lang w:val="en-US" w:eastAsia="zh-CN"/>
              </w:rPr>
              <w:t>21</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章镇镇</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58</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991</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1600</w:t>
            </w:r>
          </w:p>
        </w:tc>
        <w:tc>
          <w:tcPr>
            <w:tcW w:w="1335" w:type="dxa"/>
            <w:vAlign w:val="center"/>
          </w:tcPr>
          <w:p>
            <w:pPr>
              <w:pStyle w:val="14"/>
              <w:spacing w:before="13"/>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296</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丰惠镇</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r>
              <w:rPr>
                <w:rFonts w:hint="eastAsia" w:cs="仿宋"/>
                <w:color w:val="auto"/>
                <w:sz w:val="24"/>
                <w:szCs w:val="24"/>
                <w:lang w:val="en-US" w:eastAsia="zh-CN"/>
              </w:rPr>
              <w:t>6</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374</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340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上浦镇</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cs="仿宋"/>
                <w:color w:val="auto"/>
                <w:sz w:val="24"/>
                <w:szCs w:val="24"/>
                <w:lang w:val="en-US" w:eastAsia="zh-CN"/>
              </w:rPr>
              <w:t>21</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7"/>
              <w:ind w:left="7"/>
              <w:jc w:val="center"/>
              <w:rPr>
                <w:rFonts w:hint="eastAsia" w:ascii="仿宋" w:hAnsi="仿宋" w:eastAsia="仿宋" w:cs="仿宋"/>
                <w:color w:val="auto"/>
                <w:sz w:val="24"/>
              </w:rPr>
            </w:pPr>
            <w:r>
              <w:rPr>
                <w:rFonts w:hint="eastAsia" w:ascii="仿宋" w:hAnsi="仿宋" w:eastAsia="仿宋" w:cs="仿宋"/>
                <w:color w:val="auto"/>
                <w:sz w:val="24"/>
              </w:rPr>
              <w:t>汤浦镇</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cs="仿宋"/>
                <w:color w:val="auto"/>
                <w:sz w:val="24"/>
                <w:szCs w:val="24"/>
                <w:lang w:val="en-US" w:eastAsia="zh-CN"/>
              </w:rPr>
              <w:t>4</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156</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335" w:type="dxa"/>
            <w:vAlign w:val="center"/>
          </w:tcPr>
          <w:p>
            <w:pPr>
              <w:pStyle w:val="14"/>
              <w:spacing w:before="12"/>
              <w:ind w:left="8"/>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５</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永和镇</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cs="仿宋"/>
                <w:color w:val="auto"/>
                <w:sz w:val="24"/>
                <w:szCs w:val="24"/>
                <w:lang w:val="en-US" w:eastAsia="zh-CN"/>
              </w:rPr>
              <w:t>6</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83</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1335" w:type="dxa"/>
            <w:vAlign w:val="center"/>
          </w:tcPr>
          <w:p>
            <w:pPr>
              <w:pStyle w:val="14"/>
              <w:spacing w:before="12"/>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驿亭镇</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cs="仿宋"/>
                <w:color w:val="auto"/>
                <w:sz w:val="24"/>
                <w:szCs w:val="24"/>
                <w:lang w:val="en-US" w:eastAsia="zh-CN"/>
              </w:rPr>
              <w:t>8</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472</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335" w:type="dxa"/>
            <w:vAlign w:val="center"/>
          </w:tcPr>
          <w:p>
            <w:pPr>
              <w:pStyle w:val="14"/>
              <w:spacing w:before="12"/>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谢塘镇</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cs="仿宋"/>
                <w:color w:val="auto"/>
                <w:sz w:val="24"/>
                <w:szCs w:val="24"/>
                <w:lang w:val="en-US" w:eastAsia="zh-CN"/>
              </w:rPr>
              <w:t>9</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715</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1335" w:type="dxa"/>
            <w:vAlign w:val="center"/>
          </w:tcPr>
          <w:p>
            <w:pPr>
              <w:pStyle w:val="14"/>
              <w:spacing w:before="13"/>
              <w:ind w:left="7"/>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5</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盖北镇</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cs="仿宋"/>
                <w:color w:val="auto"/>
                <w:sz w:val="24"/>
                <w:szCs w:val="24"/>
                <w:lang w:val="en-US" w:eastAsia="zh-CN"/>
              </w:rPr>
              <w:t>4</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174</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220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长塘镇</w:t>
            </w:r>
          </w:p>
        </w:tc>
        <w:tc>
          <w:tcPr>
            <w:tcW w:w="1154" w:type="dxa"/>
            <w:vAlign w:val="center"/>
          </w:tcPr>
          <w:p>
            <w:pPr>
              <w:pStyle w:val="14"/>
              <w:spacing w:before="11"/>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cs="仿宋"/>
                <w:color w:val="auto"/>
                <w:sz w:val="24"/>
                <w:szCs w:val="24"/>
                <w:lang w:val="en-US" w:eastAsia="zh-CN"/>
              </w:rPr>
              <w:t>41</w:t>
            </w:r>
            <w:r>
              <w:rPr>
                <w:rFonts w:hint="eastAsia" w:ascii="仿宋" w:hAnsi="仿宋" w:eastAsia="仿宋" w:cs="仿宋"/>
                <w:color w:val="auto"/>
                <w:sz w:val="24"/>
                <w:szCs w:val="24"/>
              </w:rPr>
              <w:t>0</w:t>
            </w:r>
          </w:p>
        </w:tc>
        <w:tc>
          <w:tcPr>
            <w:tcW w:w="1335" w:type="dxa"/>
            <w:vAlign w:val="center"/>
          </w:tcPr>
          <w:p>
            <w:pPr>
              <w:pStyle w:val="14"/>
              <w:spacing w:before="11"/>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240</w:t>
            </w:r>
          </w:p>
        </w:tc>
        <w:tc>
          <w:tcPr>
            <w:tcW w:w="1470" w:type="dxa"/>
            <w:vAlign w:val="center"/>
          </w:tcPr>
          <w:p>
            <w:pPr>
              <w:pStyle w:val="14"/>
              <w:spacing w:before="11"/>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190</w:t>
            </w:r>
          </w:p>
        </w:tc>
        <w:tc>
          <w:tcPr>
            <w:tcW w:w="1335" w:type="dxa"/>
            <w:vAlign w:val="center"/>
          </w:tcPr>
          <w:p>
            <w:pPr>
              <w:pStyle w:val="14"/>
              <w:spacing w:before="11"/>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1315" w:type="dxa"/>
            <w:vAlign w:val="center"/>
          </w:tcPr>
          <w:p>
            <w:pPr>
              <w:pStyle w:val="14"/>
              <w:spacing w:before="11"/>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1"/>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7"/>
              <w:ind w:left="7"/>
              <w:jc w:val="center"/>
              <w:rPr>
                <w:rFonts w:hint="eastAsia" w:ascii="仿宋" w:hAnsi="仿宋" w:eastAsia="仿宋" w:cs="仿宋"/>
                <w:color w:val="auto"/>
                <w:sz w:val="24"/>
              </w:rPr>
            </w:pPr>
            <w:r>
              <w:rPr>
                <w:rFonts w:hint="eastAsia" w:ascii="仿宋" w:hAnsi="仿宋" w:eastAsia="仿宋" w:cs="仿宋"/>
                <w:color w:val="auto"/>
                <w:sz w:val="24"/>
              </w:rPr>
              <w:t>岭南乡</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39</w:t>
            </w:r>
            <w:r>
              <w:rPr>
                <w:rFonts w:hint="eastAsia" w:cs="仿宋"/>
                <w:color w:val="auto"/>
                <w:sz w:val="24"/>
                <w:szCs w:val="24"/>
                <w:lang w:val="en-US" w:eastAsia="zh-CN"/>
              </w:rPr>
              <w:t>9</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545</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970</w:t>
            </w:r>
          </w:p>
        </w:tc>
        <w:tc>
          <w:tcPr>
            <w:tcW w:w="1335" w:type="dxa"/>
            <w:vAlign w:val="center"/>
          </w:tcPr>
          <w:p>
            <w:pPr>
              <w:pStyle w:val="14"/>
              <w:spacing w:before="12"/>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116</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陈溪乡</w:t>
            </w:r>
          </w:p>
        </w:tc>
        <w:tc>
          <w:tcPr>
            <w:tcW w:w="1154" w:type="dxa"/>
            <w:vAlign w:val="center"/>
          </w:tcPr>
          <w:p>
            <w:pPr>
              <w:pStyle w:val="14"/>
              <w:spacing w:before="12"/>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r>
              <w:rPr>
                <w:rFonts w:hint="eastAsia" w:cs="仿宋"/>
                <w:color w:val="auto"/>
                <w:sz w:val="24"/>
                <w:szCs w:val="24"/>
                <w:lang w:val="en-US" w:eastAsia="zh-CN"/>
              </w:rPr>
              <w:t>7</w:t>
            </w:r>
            <w:r>
              <w:rPr>
                <w:rFonts w:hint="eastAsia" w:ascii="仿宋" w:hAnsi="仿宋" w:eastAsia="仿宋" w:cs="仿宋"/>
                <w:color w:val="auto"/>
                <w:sz w:val="24"/>
                <w:szCs w:val="24"/>
              </w:rPr>
              <w:t>0</w:t>
            </w:r>
          </w:p>
        </w:tc>
        <w:tc>
          <w:tcPr>
            <w:tcW w:w="1335" w:type="dxa"/>
            <w:vAlign w:val="center"/>
          </w:tcPr>
          <w:p>
            <w:pPr>
              <w:pStyle w:val="14"/>
              <w:spacing w:before="12"/>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345</w:t>
            </w:r>
          </w:p>
        </w:tc>
        <w:tc>
          <w:tcPr>
            <w:tcW w:w="1470" w:type="dxa"/>
            <w:vAlign w:val="center"/>
          </w:tcPr>
          <w:p>
            <w:pPr>
              <w:pStyle w:val="14"/>
              <w:spacing w:before="12"/>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1335" w:type="dxa"/>
            <w:vAlign w:val="center"/>
          </w:tcPr>
          <w:p>
            <w:pPr>
              <w:pStyle w:val="14"/>
              <w:spacing w:before="12"/>
              <w:ind w:left="7"/>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7</w:t>
            </w:r>
          </w:p>
        </w:tc>
        <w:tc>
          <w:tcPr>
            <w:tcW w:w="1315" w:type="dxa"/>
            <w:vAlign w:val="center"/>
          </w:tcPr>
          <w:p>
            <w:pPr>
              <w:pStyle w:val="14"/>
              <w:spacing w:before="12"/>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2"/>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spacing w:before="45"/>
              <w:ind w:left="7"/>
              <w:jc w:val="center"/>
              <w:rPr>
                <w:rFonts w:hint="eastAsia" w:ascii="仿宋" w:hAnsi="仿宋" w:eastAsia="仿宋" w:cs="仿宋"/>
                <w:color w:val="auto"/>
                <w:sz w:val="24"/>
              </w:rPr>
            </w:pPr>
            <w:r>
              <w:rPr>
                <w:rFonts w:hint="eastAsia" w:ascii="仿宋" w:hAnsi="仿宋" w:eastAsia="仿宋" w:cs="仿宋"/>
                <w:color w:val="auto"/>
                <w:sz w:val="24"/>
              </w:rPr>
              <w:t>下管镇</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365</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500</w:t>
            </w:r>
          </w:p>
        </w:tc>
        <w:tc>
          <w:tcPr>
            <w:tcW w:w="1335" w:type="dxa"/>
            <w:vAlign w:val="center"/>
          </w:tcPr>
          <w:p>
            <w:pPr>
              <w:pStyle w:val="14"/>
              <w:spacing w:before="13"/>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18" w:type="dxa"/>
            <w:vAlign w:val="center"/>
          </w:tcPr>
          <w:p>
            <w:pPr>
              <w:pStyle w:val="14"/>
              <w:ind w:left="7"/>
              <w:jc w:val="center"/>
              <w:rPr>
                <w:rFonts w:hint="eastAsia" w:ascii="仿宋" w:hAnsi="仿宋" w:eastAsia="仿宋" w:cs="仿宋"/>
                <w:color w:val="auto"/>
                <w:sz w:val="24"/>
              </w:rPr>
            </w:pPr>
            <w:r>
              <w:rPr>
                <w:rFonts w:hint="eastAsia" w:ascii="仿宋" w:hAnsi="仿宋" w:eastAsia="仿宋" w:cs="仿宋"/>
                <w:color w:val="auto"/>
                <w:sz w:val="24"/>
              </w:rPr>
              <w:t>丁宅乡</w:t>
            </w:r>
          </w:p>
        </w:tc>
        <w:tc>
          <w:tcPr>
            <w:tcW w:w="1154" w:type="dxa"/>
            <w:vAlign w:val="center"/>
          </w:tcPr>
          <w:p>
            <w:pPr>
              <w:pStyle w:val="14"/>
              <w:spacing w:before="13"/>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cs="仿宋"/>
                <w:color w:val="auto"/>
                <w:sz w:val="24"/>
                <w:szCs w:val="24"/>
                <w:lang w:val="en-US" w:eastAsia="zh-CN"/>
              </w:rPr>
              <w:t>3</w:t>
            </w:r>
            <w:r>
              <w:rPr>
                <w:rFonts w:hint="eastAsia" w:ascii="仿宋" w:hAnsi="仿宋" w:eastAsia="仿宋" w:cs="仿宋"/>
                <w:color w:val="auto"/>
                <w:sz w:val="24"/>
                <w:szCs w:val="24"/>
              </w:rPr>
              <w:t>0</w:t>
            </w:r>
          </w:p>
        </w:tc>
        <w:tc>
          <w:tcPr>
            <w:tcW w:w="1335" w:type="dxa"/>
            <w:vAlign w:val="center"/>
          </w:tcPr>
          <w:p>
            <w:pPr>
              <w:pStyle w:val="14"/>
              <w:spacing w:before="13"/>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146</w:t>
            </w:r>
          </w:p>
        </w:tc>
        <w:tc>
          <w:tcPr>
            <w:tcW w:w="1470" w:type="dxa"/>
            <w:vAlign w:val="center"/>
          </w:tcPr>
          <w:p>
            <w:pPr>
              <w:pStyle w:val="14"/>
              <w:spacing w:before="13"/>
              <w:ind w:left="434" w:right="426"/>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1335" w:type="dxa"/>
            <w:vAlign w:val="center"/>
          </w:tcPr>
          <w:p>
            <w:pPr>
              <w:pStyle w:val="14"/>
              <w:spacing w:before="13"/>
              <w:ind w:left="365" w:right="358"/>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315" w:type="dxa"/>
            <w:vAlign w:val="center"/>
          </w:tcPr>
          <w:p>
            <w:pPr>
              <w:pStyle w:val="14"/>
              <w:spacing w:before="13"/>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cs="仿宋"/>
                <w:color w:val="auto"/>
                <w:sz w:val="24"/>
                <w:szCs w:val="24"/>
                <w:lang w:val="en-US" w:eastAsia="zh-CN"/>
              </w:rPr>
              <w:t>2</w:t>
            </w:r>
            <w:r>
              <w:rPr>
                <w:rFonts w:hint="eastAsia" w:ascii="仿宋" w:hAnsi="仿宋" w:eastAsia="仿宋" w:cs="仿宋"/>
                <w:color w:val="auto"/>
                <w:sz w:val="24"/>
                <w:szCs w:val="24"/>
              </w:rPr>
              <w:t>0</w:t>
            </w:r>
          </w:p>
        </w:tc>
        <w:tc>
          <w:tcPr>
            <w:tcW w:w="1050" w:type="dxa"/>
            <w:vAlign w:val="center"/>
          </w:tcPr>
          <w:p>
            <w:pPr>
              <w:pStyle w:val="14"/>
              <w:spacing w:before="13"/>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exact"/>
          <w:jc w:val="center"/>
        </w:trPr>
        <w:tc>
          <w:tcPr>
            <w:tcW w:w="1218" w:type="dxa"/>
            <w:vAlign w:val="center"/>
          </w:tcPr>
          <w:p>
            <w:pPr>
              <w:pStyle w:val="14"/>
              <w:spacing w:before="5"/>
              <w:ind w:left="127"/>
              <w:jc w:val="center"/>
              <w:rPr>
                <w:rFonts w:hint="eastAsia" w:ascii="仿宋" w:hAnsi="仿宋" w:eastAsia="仿宋" w:cs="仿宋"/>
                <w:color w:val="auto"/>
                <w:sz w:val="24"/>
              </w:rPr>
            </w:pPr>
            <w:r>
              <w:rPr>
                <w:rFonts w:hint="eastAsia" w:ascii="仿宋" w:hAnsi="仿宋" w:eastAsia="仿宋" w:cs="仿宋"/>
                <w:color w:val="auto"/>
                <w:sz w:val="24"/>
              </w:rPr>
              <w:t>杭州湾综</w:t>
            </w:r>
          </w:p>
          <w:p>
            <w:pPr>
              <w:pStyle w:val="14"/>
              <w:spacing w:before="10" w:line="292" w:lineRule="exact"/>
              <w:ind w:left="127"/>
              <w:jc w:val="center"/>
              <w:rPr>
                <w:rFonts w:hint="eastAsia" w:ascii="仿宋" w:hAnsi="仿宋" w:eastAsia="仿宋" w:cs="仿宋"/>
                <w:color w:val="auto"/>
                <w:sz w:val="24"/>
              </w:rPr>
            </w:pPr>
            <w:r>
              <w:rPr>
                <w:rFonts w:hint="eastAsia" w:ascii="仿宋" w:hAnsi="仿宋" w:eastAsia="仿宋" w:cs="仿宋"/>
                <w:color w:val="auto"/>
                <w:sz w:val="24"/>
              </w:rPr>
              <w:t>合管理办</w:t>
            </w:r>
          </w:p>
        </w:tc>
        <w:tc>
          <w:tcPr>
            <w:tcW w:w="1154" w:type="dxa"/>
            <w:vAlign w:val="center"/>
          </w:tcPr>
          <w:p>
            <w:pPr>
              <w:pStyle w:val="14"/>
              <w:spacing w:before="129"/>
              <w:ind w:left="206" w:right="198"/>
              <w:jc w:val="center"/>
              <w:rPr>
                <w:rFonts w:hint="eastAsia" w:ascii="仿宋" w:hAnsi="仿宋" w:eastAsia="仿宋" w:cs="仿宋"/>
                <w:color w:val="auto"/>
                <w:sz w:val="24"/>
                <w:szCs w:val="24"/>
              </w:rPr>
            </w:pPr>
            <w:r>
              <w:rPr>
                <w:rFonts w:hint="eastAsia" w:ascii="仿宋" w:hAnsi="仿宋" w:eastAsia="仿宋" w:cs="仿宋"/>
                <w:color w:val="auto"/>
                <w:sz w:val="24"/>
                <w:szCs w:val="24"/>
              </w:rPr>
              <w:t>900</w:t>
            </w:r>
          </w:p>
        </w:tc>
        <w:tc>
          <w:tcPr>
            <w:tcW w:w="1335" w:type="dxa"/>
            <w:vAlign w:val="center"/>
          </w:tcPr>
          <w:p>
            <w:pPr>
              <w:pStyle w:val="14"/>
              <w:spacing w:before="129"/>
              <w:ind w:left="365" w:right="360"/>
              <w:jc w:val="center"/>
              <w:rPr>
                <w:rFonts w:hint="eastAsia" w:ascii="仿宋" w:hAnsi="仿宋" w:eastAsia="仿宋" w:cs="仿宋"/>
                <w:color w:val="auto"/>
                <w:sz w:val="24"/>
                <w:szCs w:val="24"/>
              </w:rPr>
            </w:pPr>
            <w:r>
              <w:rPr>
                <w:rFonts w:hint="eastAsia" w:ascii="仿宋" w:hAnsi="仿宋" w:eastAsia="仿宋" w:cs="仿宋"/>
                <w:color w:val="auto"/>
                <w:sz w:val="24"/>
                <w:szCs w:val="24"/>
              </w:rPr>
              <w:t>184</w:t>
            </w:r>
          </w:p>
        </w:tc>
        <w:tc>
          <w:tcPr>
            <w:tcW w:w="1470" w:type="dxa"/>
            <w:vAlign w:val="center"/>
          </w:tcPr>
          <w:p>
            <w:pPr>
              <w:pStyle w:val="14"/>
              <w:spacing w:before="129"/>
              <w:ind w:left="8"/>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0</w:t>
            </w:r>
          </w:p>
        </w:tc>
        <w:tc>
          <w:tcPr>
            <w:tcW w:w="1335" w:type="dxa"/>
            <w:vAlign w:val="center"/>
          </w:tcPr>
          <w:p>
            <w:pPr>
              <w:pStyle w:val="14"/>
              <w:spacing w:before="129"/>
              <w:ind w:left="7"/>
              <w:jc w:val="center"/>
              <w:rPr>
                <w:rFonts w:hint="eastAsia" w:ascii="仿宋" w:hAnsi="仿宋" w:eastAsia="仿宋" w:cs="仿宋"/>
                <w:color w:val="auto"/>
                <w:sz w:val="24"/>
                <w:szCs w:val="24"/>
              </w:rPr>
            </w:pPr>
            <w:r>
              <w:rPr>
                <w:rFonts w:hint="eastAsia" w:ascii="仿宋" w:hAnsi="仿宋" w:eastAsia="仿宋" w:cs="仿宋"/>
                <w:color w:val="auto"/>
                <w:w w:val="100"/>
                <w:sz w:val="24"/>
                <w:szCs w:val="24"/>
              </w:rPr>
              <w:t>0</w:t>
            </w:r>
          </w:p>
        </w:tc>
        <w:tc>
          <w:tcPr>
            <w:tcW w:w="1315" w:type="dxa"/>
            <w:vAlign w:val="center"/>
          </w:tcPr>
          <w:p>
            <w:pPr>
              <w:pStyle w:val="14"/>
              <w:spacing w:before="129"/>
              <w:ind w:left="284" w:right="278"/>
              <w:jc w:val="center"/>
              <w:rPr>
                <w:rFonts w:hint="eastAsia" w:ascii="仿宋" w:hAnsi="仿宋" w:eastAsia="仿宋" w:cs="仿宋"/>
                <w:color w:val="auto"/>
                <w:sz w:val="24"/>
                <w:szCs w:val="24"/>
              </w:rPr>
            </w:pPr>
            <w:r>
              <w:rPr>
                <w:rFonts w:hint="eastAsia" w:ascii="仿宋" w:hAnsi="仿宋" w:eastAsia="仿宋" w:cs="仿宋"/>
                <w:color w:val="auto"/>
                <w:sz w:val="24"/>
                <w:szCs w:val="24"/>
              </w:rPr>
              <w:t>900</w:t>
            </w:r>
          </w:p>
        </w:tc>
        <w:tc>
          <w:tcPr>
            <w:tcW w:w="1050" w:type="dxa"/>
            <w:vAlign w:val="center"/>
          </w:tcPr>
          <w:p>
            <w:pPr>
              <w:pStyle w:val="14"/>
              <w:spacing w:before="129"/>
              <w:ind w:left="224" w:right="216"/>
              <w:jc w:val="center"/>
              <w:rPr>
                <w:rFonts w:hint="eastAsia" w:ascii="仿宋" w:hAnsi="仿宋" w:eastAsia="仿宋" w:cs="仿宋"/>
                <w:color w:val="auto"/>
                <w:sz w:val="24"/>
                <w:szCs w:val="24"/>
              </w:rPr>
            </w:pPr>
            <w:r>
              <w:rPr>
                <w:rFonts w:hint="eastAsia" w:ascii="仿宋" w:hAnsi="仿宋" w:eastAsia="仿宋" w:cs="仿宋"/>
                <w:color w:val="auto"/>
                <w:sz w:val="24"/>
                <w:szCs w:val="24"/>
              </w:rPr>
              <w:t>184</w:t>
            </w:r>
          </w:p>
        </w:tc>
      </w:tr>
    </w:tbl>
    <w:p>
      <w:pPr>
        <w:pStyle w:val="8"/>
        <w:rPr>
          <w:rFonts w:hint="eastAsia"/>
          <w:color w:val="auto"/>
        </w:rPr>
      </w:pPr>
    </w:p>
    <w:p>
      <w:pPr>
        <w:rPr>
          <w:rFonts w:hint="eastAsia"/>
          <w:color w:val="auto"/>
        </w:rPr>
      </w:pPr>
    </w:p>
    <w:p>
      <w:pPr>
        <w:pStyle w:val="8"/>
        <w:rPr>
          <w:rFonts w:hint="eastAsia"/>
          <w:color w:val="auto"/>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3</w:t>
      </w:r>
    </w:p>
    <w:p>
      <w:pPr>
        <w:jc w:val="center"/>
        <w:rPr>
          <w:rFonts w:hint="eastAsia" w:ascii="仿宋" w:hAnsi="仿宋" w:eastAsia="仿宋" w:cs="仿宋"/>
          <w:color w:val="auto"/>
          <w:sz w:val="24"/>
          <w:szCs w:val="24"/>
          <w:lang w:eastAsia="zh-CN"/>
        </w:rPr>
      </w:pPr>
      <w:r>
        <w:rPr>
          <w:rFonts w:hint="eastAsia" w:ascii="仿宋" w:hAnsi="仿宋" w:eastAsia="仿宋" w:cs="仿宋"/>
          <w:color w:val="auto"/>
          <w:sz w:val="36"/>
          <w:szCs w:val="36"/>
        </w:rPr>
        <w:t>202</w:t>
      </w:r>
      <w:r>
        <w:rPr>
          <w:rFonts w:hint="eastAsia" w:ascii="仿宋" w:hAnsi="仿宋" w:eastAsia="仿宋" w:cs="仿宋"/>
          <w:color w:val="auto"/>
          <w:sz w:val="36"/>
          <w:szCs w:val="36"/>
          <w:lang w:val="en-US" w:eastAsia="zh-CN"/>
        </w:rPr>
        <w:t>4</w:t>
      </w:r>
      <w:r>
        <w:rPr>
          <w:rFonts w:hint="eastAsia" w:ascii="仿宋" w:hAnsi="仿宋" w:eastAsia="仿宋" w:cs="仿宋"/>
          <w:color w:val="auto"/>
          <w:spacing w:val="-12"/>
          <w:sz w:val="36"/>
          <w:szCs w:val="36"/>
        </w:rPr>
        <w:t>年</w:t>
      </w:r>
      <w:r>
        <w:rPr>
          <w:rFonts w:hint="eastAsia" w:ascii="仿宋" w:hAnsi="仿宋" w:eastAsia="仿宋" w:cs="仿宋"/>
          <w:color w:val="auto"/>
          <w:spacing w:val="-12"/>
          <w:sz w:val="36"/>
          <w:szCs w:val="36"/>
          <w:lang w:eastAsia="zh-CN"/>
        </w:rPr>
        <w:t>油茶</w:t>
      </w:r>
      <w:r>
        <w:rPr>
          <w:rFonts w:hint="eastAsia" w:ascii="仿宋" w:hAnsi="仿宋" w:eastAsia="仿宋" w:cs="仿宋"/>
          <w:color w:val="auto"/>
          <w:spacing w:val="-12"/>
          <w:sz w:val="36"/>
          <w:szCs w:val="36"/>
        </w:rPr>
        <w:t>面积和产量任务</w:t>
      </w:r>
    </w:p>
    <w:p>
      <w:pPr>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单位：亩、吨</w:t>
      </w:r>
    </w:p>
    <w:tbl>
      <w:tblPr>
        <w:tblStyle w:val="11"/>
        <w:tblW w:w="8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2340"/>
        <w:gridCol w:w="2844"/>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单位</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新种林面积</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低产林改造面积</w:t>
            </w: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全</w:t>
            </w:r>
            <w:r>
              <w:rPr>
                <w:rFonts w:hint="eastAsia"/>
                <w:color w:val="auto"/>
                <w:sz w:val="24"/>
                <w:lang w:eastAsia="zh-CN"/>
              </w:rPr>
              <w:tab/>
            </w:r>
            <w:r>
              <w:rPr>
                <w:rFonts w:hint="eastAsia"/>
                <w:color w:val="auto"/>
                <w:sz w:val="24"/>
                <w:lang w:eastAsia="zh-CN"/>
              </w:rPr>
              <w:t>区</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290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487</w:t>
            </w: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百官街道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曹娥街道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东关街道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道墟街道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小越街道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梁湖街道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30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2</w:t>
            </w:r>
            <w:r>
              <w:rPr>
                <w:rFonts w:hint="default"/>
                <w:color w:val="auto"/>
                <w:sz w:val="24"/>
                <w:lang w:eastAsia="zh-CN"/>
              </w:rPr>
              <w:t>30</w:t>
            </w: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崧厦街道</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章镇镇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30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丰惠镇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30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上浦镇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汤浦镇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永和镇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驿亭镇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谢塘镇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盖北镇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长塘镇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岭南乡</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257</w:t>
            </w: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default"/>
                <w:color w:val="auto"/>
                <w:sz w:val="24"/>
                <w:lang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陈溪乡</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下管镇</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丁宅乡</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15</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7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杭州湾综合管</w:t>
            </w:r>
          </w:p>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color w:val="auto"/>
                <w:sz w:val="24"/>
                <w:lang w:eastAsia="zh-CN"/>
              </w:rPr>
            </w:pPr>
            <w:r>
              <w:rPr>
                <w:rFonts w:hint="eastAsia"/>
                <w:color w:val="auto"/>
                <w:sz w:val="24"/>
                <w:lang w:eastAsia="zh-CN"/>
              </w:rPr>
              <w:t>理办</w:t>
            </w:r>
          </w:p>
        </w:tc>
        <w:tc>
          <w:tcPr>
            <w:tcW w:w="234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r>
              <w:rPr>
                <w:rFonts w:hint="eastAsia"/>
                <w:color w:val="auto"/>
                <w:sz w:val="24"/>
                <w:lang w:eastAsia="zh-CN"/>
              </w:rPr>
              <w:t>0</w:t>
            </w:r>
          </w:p>
        </w:tc>
        <w:tc>
          <w:tcPr>
            <w:tcW w:w="2844"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c>
          <w:tcPr>
            <w:tcW w:w="1587"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rightChars="0"/>
              <w:jc w:val="center"/>
              <w:textAlignment w:val="auto"/>
              <w:rPr>
                <w:rFonts w:hint="eastAsia"/>
                <w:color w:val="auto"/>
                <w:sz w:val="24"/>
                <w:lang w:eastAsia="zh-CN"/>
              </w:rPr>
            </w:pPr>
          </w:p>
        </w:tc>
      </w:tr>
    </w:tbl>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pStyle w:val="4"/>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4</w:t>
      </w:r>
    </w:p>
    <w:p>
      <w:pPr>
        <w:pStyle w:val="8"/>
        <w:rPr>
          <w:rFonts w:hint="eastAsia"/>
          <w:color w:val="auto"/>
        </w:rPr>
      </w:pPr>
    </w:p>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eastAsia="宋体"/>
          <w:color w:val="auto"/>
          <w:sz w:val="36"/>
          <w:lang w:eastAsia="zh-CN"/>
        </w:rPr>
      </w:pPr>
      <w:r>
        <w:rPr>
          <w:rFonts w:hint="eastAsia" w:ascii="宋体" w:eastAsia="宋体"/>
          <w:color w:val="auto"/>
          <w:sz w:val="36"/>
        </w:rPr>
        <w:t>202</w:t>
      </w:r>
      <w:r>
        <w:rPr>
          <w:rFonts w:hint="eastAsia" w:ascii="宋体" w:eastAsia="宋体"/>
          <w:color w:val="auto"/>
          <w:sz w:val="36"/>
          <w:lang w:val="en-US" w:eastAsia="zh-CN"/>
        </w:rPr>
        <w:t>4</w:t>
      </w:r>
      <w:r>
        <w:rPr>
          <w:rFonts w:hint="eastAsia" w:ascii="宋体" w:eastAsia="宋体"/>
          <w:color w:val="auto"/>
          <w:sz w:val="36"/>
        </w:rPr>
        <w:t>年农资应急储备指标</w:t>
      </w:r>
      <w:r>
        <w:rPr>
          <w:rFonts w:hint="eastAsia" w:ascii="宋体"/>
          <w:color w:val="auto"/>
          <w:sz w:val="36"/>
          <w:lang w:eastAsia="zh-CN"/>
        </w:rPr>
        <w:t>任务</w:t>
      </w:r>
    </w:p>
    <w:p>
      <w:pPr>
        <w:pStyle w:val="3"/>
        <w:rPr>
          <w:rFonts w:ascii="宋体"/>
          <w:color w:val="auto"/>
          <w:sz w:val="20"/>
        </w:rPr>
      </w:pPr>
    </w:p>
    <w:tbl>
      <w:tblPr>
        <w:tblStyle w:val="11"/>
        <w:tblW w:w="8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20"/>
        <w:gridCol w:w="1560"/>
        <w:gridCol w:w="1545"/>
        <w:gridCol w:w="1290"/>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jc w:val="center"/>
        </w:trPr>
        <w:tc>
          <w:tcPr>
            <w:tcW w:w="1206"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eastAsia="zh-CN"/>
              </w:rPr>
              <w:t>位</w:t>
            </w:r>
          </w:p>
        </w:tc>
        <w:tc>
          <w:tcPr>
            <w:tcW w:w="152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种子储备数量</w:t>
            </w:r>
          </w:p>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（万斤）</w:t>
            </w:r>
          </w:p>
        </w:tc>
        <w:tc>
          <w:tcPr>
            <w:tcW w:w="1560" w:type="dxa"/>
            <w:vAlign w:val="center"/>
          </w:tcPr>
          <w:p>
            <w:pPr>
              <w:pStyle w:val="14"/>
              <w:keepNext w:val="0"/>
              <w:keepLines w:val="0"/>
              <w:pageBreakBefore w:val="0"/>
              <w:widowControl w:val="0"/>
              <w:kinsoku/>
              <w:wordWrap/>
              <w:overflowPunct/>
              <w:topLinePunct w:val="0"/>
              <w:autoSpaceDE/>
              <w:autoSpaceDN/>
              <w:bidi w:val="0"/>
              <w:adjustRightInd/>
              <w:snapToGrid/>
              <w:spacing w:before="0"/>
              <w:ind w:left="0" w:leftChars="0"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油菜种子（万斤）</w:t>
            </w:r>
          </w:p>
        </w:tc>
        <w:tc>
          <w:tcPr>
            <w:tcW w:w="1545"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农药储备（吨）</w:t>
            </w:r>
          </w:p>
        </w:tc>
        <w:tc>
          <w:tcPr>
            <w:tcW w:w="1290"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化肥储备（吨）</w:t>
            </w:r>
          </w:p>
        </w:tc>
        <w:tc>
          <w:tcPr>
            <w:tcW w:w="1615" w:type="dxa"/>
            <w:vAlign w:val="center"/>
          </w:tcPr>
          <w:p>
            <w:pPr>
              <w:pStyle w:val="14"/>
              <w:keepNext w:val="0"/>
              <w:keepLines w:val="0"/>
              <w:pageBreakBefore w:val="0"/>
              <w:widowControl w:val="0"/>
              <w:kinsoku/>
              <w:wordWrap/>
              <w:overflowPunct/>
              <w:topLinePunct w:val="0"/>
              <w:autoSpaceDE/>
              <w:autoSpaceDN/>
              <w:bidi w:val="0"/>
              <w:adjustRightInd/>
              <w:snapToGrid/>
              <w:spacing w:before="0"/>
              <w:ind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1206" w:type="dxa"/>
            <w:vAlign w:val="center"/>
          </w:tcPr>
          <w:p>
            <w:pPr>
              <w:pStyle w:val="14"/>
              <w:tabs>
                <w:tab w:val="left" w:pos="809"/>
              </w:tabs>
              <w:spacing w:before="192"/>
              <w:ind w:left="247"/>
              <w:jc w:val="center"/>
              <w:rPr>
                <w:rFonts w:hint="eastAsia" w:ascii="仿宋_GB2312" w:eastAsia="仿宋_GB2312"/>
                <w:b/>
                <w:color w:val="auto"/>
                <w:sz w:val="28"/>
              </w:rPr>
            </w:pPr>
            <w:r>
              <w:rPr>
                <w:rFonts w:hint="eastAsia" w:ascii="仿宋_GB2312" w:eastAsia="仿宋_GB2312"/>
                <w:b/>
                <w:color w:val="auto"/>
                <w:sz w:val="28"/>
              </w:rPr>
              <w:t>全</w:t>
            </w:r>
            <w:r>
              <w:rPr>
                <w:rFonts w:hint="eastAsia" w:ascii="仿宋_GB2312" w:eastAsia="仿宋_GB2312"/>
                <w:b/>
                <w:color w:val="auto"/>
                <w:sz w:val="28"/>
              </w:rPr>
              <w:tab/>
            </w:r>
            <w:r>
              <w:rPr>
                <w:rFonts w:hint="eastAsia" w:ascii="仿宋_GB2312" w:eastAsia="仿宋_GB2312"/>
                <w:b/>
                <w:color w:val="auto"/>
                <w:sz w:val="28"/>
              </w:rPr>
              <w:t>区</w:t>
            </w:r>
          </w:p>
        </w:tc>
        <w:tc>
          <w:tcPr>
            <w:tcW w:w="1520" w:type="dxa"/>
            <w:vAlign w:val="center"/>
          </w:tcPr>
          <w:p>
            <w:pPr>
              <w:pStyle w:val="14"/>
              <w:spacing w:before="185"/>
              <w:ind w:left="242" w:right="235"/>
              <w:jc w:val="center"/>
              <w:rPr>
                <w:rFonts w:ascii="仿宋_GB2312"/>
                <w:color w:val="auto"/>
                <w:sz w:val="28"/>
              </w:rPr>
            </w:pPr>
            <w:r>
              <w:rPr>
                <w:rFonts w:ascii="仿宋_GB2312"/>
                <w:color w:val="auto"/>
                <w:sz w:val="28"/>
              </w:rPr>
              <w:t>47</w:t>
            </w:r>
          </w:p>
        </w:tc>
        <w:tc>
          <w:tcPr>
            <w:tcW w:w="1560" w:type="dxa"/>
            <w:vAlign w:val="center"/>
          </w:tcPr>
          <w:p>
            <w:pPr>
              <w:pStyle w:val="14"/>
              <w:spacing w:before="185"/>
              <w:ind w:left="457"/>
              <w:jc w:val="center"/>
              <w:rPr>
                <w:rFonts w:ascii="仿宋_GB2312"/>
                <w:color w:val="auto"/>
                <w:sz w:val="28"/>
              </w:rPr>
            </w:pPr>
            <w:r>
              <w:rPr>
                <w:rFonts w:ascii="仿宋_GB2312"/>
                <w:color w:val="auto"/>
                <w:sz w:val="28"/>
              </w:rPr>
              <w:t>0.206</w:t>
            </w:r>
          </w:p>
        </w:tc>
        <w:tc>
          <w:tcPr>
            <w:tcW w:w="1545" w:type="dxa"/>
            <w:vAlign w:val="center"/>
          </w:tcPr>
          <w:p>
            <w:pPr>
              <w:pStyle w:val="14"/>
              <w:spacing w:before="192"/>
              <w:ind w:left="242" w:right="235"/>
              <w:jc w:val="center"/>
              <w:rPr>
                <w:rFonts w:ascii="仿宋_GB2312"/>
                <w:color w:val="auto"/>
                <w:sz w:val="28"/>
              </w:rPr>
            </w:pPr>
            <w:r>
              <w:rPr>
                <w:rFonts w:ascii="仿宋_GB2312"/>
                <w:color w:val="auto"/>
                <w:sz w:val="28"/>
              </w:rPr>
              <w:t>7.0</w:t>
            </w:r>
          </w:p>
        </w:tc>
        <w:tc>
          <w:tcPr>
            <w:tcW w:w="1290" w:type="dxa"/>
            <w:vAlign w:val="center"/>
          </w:tcPr>
          <w:p>
            <w:pPr>
              <w:pStyle w:val="14"/>
              <w:spacing w:before="192"/>
              <w:ind w:left="388"/>
              <w:jc w:val="center"/>
              <w:rPr>
                <w:rFonts w:ascii="仿宋_GB2312"/>
                <w:color w:val="auto"/>
                <w:sz w:val="28"/>
              </w:rPr>
            </w:pPr>
            <w:bookmarkStart w:id="0" w:name="_GoBack"/>
            <w:bookmarkEnd w:id="0"/>
            <w:r>
              <w:rPr>
                <w:rFonts w:ascii="仿宋_GB2312"/>
                <w:color w:val="auto"/>
                <w:sz w:val="28"/>
              </w:rPr>
              <w:t>1680</w:t>
            </w:r>
          </w:p>
        </w:tc>
        <w:tc>
          <w:tcPr>
            <w:tcW w:w="1615" w:type="dxa"/>
            <w:vAlign w:val="center"/>
          </w:tcPr>
          <w:p>
            <w:pPr>
              <w:pStyle w:val="14"/>
              <w:spacing w:before="192"/>
              <w:ind w:left="89" w:right="77"/>
              <w:jc w:val="center"/>
              <w:rPr>
                <w:rFonts w:hint="eastAsia" w:ascii="仿宋_GB2312" w:eastAsia="仿宋_GB2312"/>
                <w:color w:val="auto"/>
                <w:sz w:val="28"/>
              </w:rPr>
            </w:pPr>
            <w:r>
              <w:rPr>
                <w:rFonts w:hint="eastAsia" w:ascii="仿宋_GB2312" w:eastAsia="仿宋_GB2312"/>
                <w:color w:val="auto"/>
                <w:sz w:val="28"/>
              </w:rPr>
              <w:t>农业农村局</w:t>
            </w:r>
          </w:p>
        </w:tc>
      </w:tr>
    </w:tbl>
    <w:p>
      <w:pPr>
        <w:pStyle w:val="3"/>
        <w:keepNext w:val="0"/>
        <w:keepLines w:val="0"/>
        <w:pageBreakBefore w:val="0"/>
        <w:widowControl w:val="0"/>
        <w:kinsoku/>
        <w:wordWrap/>
        <w:overflowPunct/>
        <w:topLinePunct w:val="0"/>
        <w:autoSpaceDE/>
        <w:autoSpaceDN/>
        <w:bidi w:val="0"/>
        <w:adjustRightInd/>
        <w:snapToGrid/>
        <w:spacing w:line="312" w:lineRule="auto"/>
        <w:ind w:left="0" w:right="0" w:hanging="480"/>
        <w:textAlignment w:val="auto"/>
        <w:rPr>
          <w:color w:val="auto"/>
        </w:rPr>
      </w:pPr>
      <w:r>
        <w:rPr>
          <w:color w:val="auto"/>
          <w:spacing w:val="-4"/>
        </w:rPr>
        <w:t xml:space="preserve">注：小麦、油菜、早稻、晚稻种子分别在 </w:t>
      </w:r>
      <w:r>
        <w:rPr>
          <w:rFonts w:ascii="Times New Roman" w:eastAsia="Times New Roman"/>
          <w:color w:val="auto"/>
        </w:rPr>
        <w:t xml:space="preserve">7 </w:t>
      </w:r>
      <w:r>
        <w:rPr>
          <w:color w:val="auto"/>
        </w:rPr>
        <w:t>月底、</w:t>
      </w:r>
      <w:r>
        <w:rPr>
          <w:rFonts w:ascii="Times New Roman" w:eastAsia="Times New Roman"/>
          <w:color w:val="auto"/>
        </w:rPr>
        <w:t xml:space="preserve">7 </w:t>
      </w:r>
      <w:r>
        <w:rPr>
          <w:color w:val="auto"/>
        </w:rPr>
        <w:t>月底、</w:t>
      </w:r>
      <w:r>
        <w:rPr>
          <w:rFonts w:ascii="Times New Roman" w:eastAsia="Times New Roman"/>
          <w:color w:val="auto"/>
        </w:rPr>
        <w:t xml:space="preserve">9 </w:t>
      </w:r>
      <w:r>
        <w:rPr>
          <w:color w:val="auto"/>
          <w:spacing w:val="-10"/>
        </w:rPr>
        <w:t xml:space="preserve">月底和次年 </w:t>
      </w:r>
      <w:r>
        <w:rPr>
          <w:rFonts w:ascii="Times New Roman" w:eastAsia="Times New Roman"/>
          <w:color w:val="auto"/>
        </w:rPr>
        <w:t xml:space="preserve">1 </w:t>
      </w:r>
      <w:r>
        <w:rPr>
          <w:color w:val="auto"/>
          <w:spacing w:val="-5"/>
        </w:rPr>
        <w:t>月底</w:t>
      </w:r>
      <w:r>
        <w:rPr>
          <w:color w:val="auto"/>
          <w:spacing w:val="-6"/>
        </w:rPr>
        <w:t xml:space="preserve">之前入库； 化肥储备 </w:t>
      </w:r>
      <w:r>
        <w:rPr>
          <w:rFonts w:ascii="Times New Roman" w:eastAsia="Times New Roman"/>
          <w:color w:val="auto"/>
        </w:rPr>
        <w:t xml:space="preserve">1 </w:t>
      </w:r>
      <w:r>
        <w:rPr>
          <w:color w:val="auto"/>
          <w:spacing w:val="-4"/>
        </w:rPr>
        <w:t xml:space="preserve">月底前入库，储备时长不少于 </w:t>
      </w:r>
      <w:r>
        <w:rPr>
          <w:rFonts w:ascii="Times New Roman" w:eastAsia="Times New Roman"/>
          <w:color w:val="auto"/>
        </w:rPr>
        <w:t xml:space="preserve">8 </w:t>
      </w:r>
      <w:r>
        <w:rPr>
          <w:color w:val="auto"/>
          <w:spacing w:val="-2"/>
        </w:rPr>
        <w:t>个月且覆盖农业生</w:t>
      </w:r>
      <w:r>
        <w:rPr>
          <w:color w:val="auto"/>
        </w:rPr>
        <w:t xml:space="preserve">产旺季；农药储备时间不少于 </w:t>
      </w:r>
      <w:r>
        <w:rPr>
          <w:rFonts w:ascii="Times New Roman" w:eastAsia="Times New Roman"/>
          <w:color w:val="auto"/>
        </w:rPr>
        <w:t xml:space="preserve">6 </w:t>
      </w:r>
      <w:r>
        <w:rPr>
          <w:color w:val="auto"/>
        </w:rPr>
        <w:t>个月且覆盖农业生产旺季。</w:t>
      </w:r>
    </w:p>
    <w:p>
      <w:pPr>
        <w:keepNext w:val="0"/>
        <w:keepLines w:val="0"/>
        <w:pageBreakBefore w:val="0"/>
        <w:widowControl w:val="0"/>
        <w:kinsoku/>
        <w:wordWrap/>
        <w:overflowPunct/>
        <w:topLinePunct w:val="0"/>
        <w:autoSpaceDE/>
        <w:autoSpaceDN/>
        <w:bidi w:val="0"/>
        <w:adjustRightInd/>
        <w:snapToGrid/>
        <w:ind w:left="0" w:right="0"/>
        <w:textAlignment w:val="auto"/>
        <w:rPr>
          <w:rFonts w:hint="eastAsia"/>
          <w:color w:val="auto"/>
        </w:rPr>
      </w:pPr>
    </w:p>
    <w:p>
      <w:pPr>
        <w:pStyle w:val="3"/>
        <w:rPr>
          <w:rFonts w:hint="default"/>
          <w:color w:val="auto"/>
          <w:lang w:val="en-US" w:eastAsia="zh-CN"/>
        </w:rPr>
      </w:pPr>
    </w:p>
    <w:p>
      <w:pPr>
        <w:rPr>
          <w:rFonts w:hint="default"/>
          <w:color w:val="auto"/>
          <w:lang w:val="en-US" w:eastAsia="zh-CN"/>
        </w:rPr>
      </w:pPr>
    </w:p>
    <w:p>
      <w:pPr>
        <w:pStyle w:val="8"/>
        <w:rPr>
          <w:rFonts w:hint="default"/>
          <w:color w:val="auto"/>
          <w:lang w:val="en-US" w:eastAsia="zh-CN"/>
        </w:rPr>
      </w:pPr>
    </w:p>
    <w:p>
      <w:pPr>
        <w:rPr>
          <w:rFonts w:hint="default"/>
          <w:color w:val="auto"/>
          <w:lang w:val="en-US" w:eastAsia="zh-CN"/>
        </w:rPr>
      </w:pPr>
    </w:p>
    <w:p>
      <w:pPr>
        <w:pStyle w:val="8"/>
        <w:rPr>
          <w:rFonts w:hint="default"/>
          <w:color w:val="auto"/>
          <w:lang w:val="en-US" w:eastAsia="zh-CN"/>
        </w:rPr>
      </w:pPr>
    </w:p>
    <w:p>
      <w:pPr>
        <w:rPr>
          <w:rFonts w:hint="default"/>
          <w:color w:val="auto"/>
          <w:lang w:val="en-US" w:eastAsia="zh-CN"/>
        </w:rPr>
      </w:pPr>
    </w:p>
    <w:p>
      <w:pPr>
        <w:pStyle w:val="8"/>
        <w:rPr>
          <w:rFonts w:hint="default"/>
          <w:color w:val="auto"/>
          <w:lang w:val="en-US" w:eastAsia="zh-CN"/>
        </w:rPr>
      </w:pPr>
    </w:p>
    <w:p>
      <w:pPr>
        <w:rPr>
          <w:rFonts w:hint="default"/>
          <w:color w:val="auto"/>
          <w:lang w:val="en-US" w:eastAsia="zh-CN"/>
        </w:rPr>
      </w:pPr>
    </w:p>
    <w:p>
      <w:pPr>
        <w:rPr>
          <w:rFonts w:hint="default"/>
          <w:lang w:val="en-US" w:eastAsia="zh-CN"/>
        </w:rPr>
      </w:pPr>
    </w:p>
    <w:sectPr>
      <w:footerReference r:id="rId3" w:type="default"/>
      <w:pgSz w:w="11906" w:h="16838"/>
      <w:pgMar w:top="1553" w:right="1797" w:bottom="1553" w:left="1797" w:header="851" w:footer="62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820"/>
        <w:tab w:val="clear" w:pos="8306"/>
      </w:tabs>
      <w:ind w:left="210" w:leftChars="100" w:right="21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right" w:pos="8820"/>
                              <w:tab w:val="clear" w:pos="8306"/>
                            </w:tabs>
                            <w:ind w:left="210" w:leftChars="100" w:right="210" w:rightChars="100"/>
                            <w:jc w:val="right"/>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 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tabs>
                        <w:tab w:val="right" w:pos="8820"/>
                        <w:tab w:val="clear" w:pos="8306"/>
                      </w:tabs>
                      <w:ind w:left="210" w:leftChars="100" w:right="210" w:rightChars="100"/>
                      <w:jc w:val="right"/>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 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9480C"/>
    <w:rsid w:val="065C69A7"/>
    <w:rsid w:val="08943E70"/>
    <w:rsid w:val="0EBA3CAE"/>
    <w:rsid w:val="1ADE561C"/>
    <w:rsid w:val="201F35FF"/>
    <w:rsid w:val="2890096E"/>
    <w:rsid w:val="313D7285"/>
    <w:rsid w:val="49541DA9"/>
    <w:rsid w:val="4D0032FB"/>
    <w:rsid w:val="53253C72"/>
    <w:rsid w:val="55D45885"/>
    <w:rsid w:val="5AB54081"/>
    <w:rsid w:val="5D457A2A"/>
    <w:rsid w:val="6719480C"/>
    <w:rsid w:val="6DE9785F"/>
    <w:rsid w:val="7C38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1"/>
    <w:pPr>
      <w:spacing w:before="49"/>
      <w:ind w:left="2523"/>
      <w:outlineLvl w:val="1"/>
    </w:pPr>
    <w:rPr>
      <w:rFonts w:ascii="仿宋" w:hAnsi="仿宋" w:eastAsia="仿宋" w:cs="仿宋"/>
      <w:sz w:val="36"/>
      <w:szCs w:val="36"/>
      <w:lang w:val="zh-CN" w:eastAsia="zh-CN" w:bidi="zh-CN"/>
    </w:rPr>
  </w:style>
  <w:style w:type="paragraph" w:styleId="5">
    <w:name w:val="heading 3"/>
    <w:basedOn w:val="1"/>
    <w:next w:val="1"/>
    <w:qFormat/>
    <w:uiPriority w:val="1"/>
    <w:pPr>
      <w:spacing w:line="321" w:lineRule="exact"/>
      <w:ind w:left="20"/>
      <w:outlineLvl w:val="3"/>
    </w:pPr>
    <w:rPr>
      <w:rFonts w:ascii="宋体" w:hAnsi="宋体" w:eastAsia="宋体" w:cs="宋体"/>
      <w:sz w:val="28"/>
      <w:szCs w:val="28"/>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SA"/>
    </w:rPr>
  </w:style>
  <w:style w:type="paragraph" w:styleId="3">
    <w:name w:val="Body Text"/>
    <w:basedOn w:val="1"/>
    <w:next w:val="2"/>
    <w:qFormat/>
    <w:uiPriority w:val="0"/>
    <w:pPr>
      <w:spacing w:after="120"/>
    </w:pPr>
    <w:rPr>
      <w:kern w:val="0"/>
      <w:sz w:val="24"/>
    </w:rPr>
  </w:style>
  <w:style w:type="paragraph" w:styleId="6">
    <w:name w:val="Body Text Indent"/>
    <w:basedOn w:val="1"/>
    <w:qFormat/>
    <w:uiPriority w:val="0"/>
    <w:pPr>
      <w:ind w:firstLine="600" w:firstLineChars="200"/>
    </w:pPr>
    <w:rPr>
      <w:rFonts w:ascii="黑体" w:eastAsia="黑体"/>
      <w:sz w:val="3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able of figures"/>
    <w:basedOn w:val="1"/>
    <w:next w:val="1"/>
    <w:qFormat/>
    <w:uiPriority w:val="0"/>
    <w:pPr>
      <w:ind w:left="200" w:leftChars="200" w:hanging="200" w:hangingChars="200"/>
    </w:pPr>
    <w:rPr>
      <w:szCs w:val="24"/>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basedOn w:val="6"/>
    <w:qFormat/>
    <w:uiPriority w:val="0"/>
    <w:pPr>
      <w:widowControl w:val="0"/>
      <w:spacing w:after="120"/>
      <w:ind w:left="420" w:leftChars="200" w:firstLine="420"/>
      <w:jc w:val="both"/>
    </w:pPr>
    <w:rPr>
      <w:rFonts w:ascii="Calibri" w:hAnsi="Calibri" w:eastAsia="宋体" w:cs="Calibri"/>
      <w:kern w:val="2"/>
      <w:sz w:val="21"/>
      <w:szCs w:val="21"/>
      <w:lang w:val="en-US" w:eastAsia="zh-CN" w:bidi="ar-SA"/>
    </w:rPr>
  </w:style>
  <w:style w:type="character" w:styleId="13">
    <w:name w:val="page number"/>
    <w:basedOn w:val="12"/>
    <w:qFormat/>
    <w:uiPriority w:val="0"/>
  </w:style>
  <w:style w:type="paragraph" w:customStyle="1" w:styleId="14">
    <w:name w:val="Table Paragraph"/>
    <w:basedOn w:val="1"/>
    <w:qFormat/>
    <w:uiPriority w:val="1"/>
    <w:pPr>
      <w:spacing w:before="46"/>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2024-06-14T00:52:00Z</dcterms:created>
  <dc:creator>徐小燕</dc:creator>
  <cp:lastModifiedBy>徐小燕</cp:lastModifiedBy>
  <dcterms:modified xsi:type="dcterms:W3CDTF">2024-06-20T00:53:23Z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