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opLinePunct/>
        <w:adjustRightInd w:val="0"/>
        <w:snapToGrid w:val="0"/>
        <w:spacing w:before="604" w:beforeLines="100" w:line="560" w:lineRule="exact"/>
        <w:jc w:val="center"/>
        <w:rPr>
          <w:rFonts w:hint="eastAsia" w:ascii="黑体" w:hAnsi="黑体" w:eastAsia="黑体" w:cs="黑体"/>
          <w:sz w:val="44"/>
          <w:szCs w:val="44"/>
        </w:rPr>
      </w:pPr>
      <w:r>
        <w:rPr>
          <w:rFonts w:hint="eastAsia" w:ascii="黑体" w:hAnsi="黑体" w:eastAsia="黑体" w:cs="黑体"/>
          <w:sz w:val="44"/>
          <w:szCs w:val="44"/>
        </w:rPr>
        <w:t>莲都区水域岸线空间保护利用管理办法</w:t>
      </w:r>
    </w:p>
    <w:p>
      <w:pPr>
        <w:snapToGrid w:val="0"/>
        <w:spacing w:before="302" w:beforeLines="50" w:line="360" w:lineRule="auto"/>
        <w:ind w:firstLine="632" w:firstLineChars="200"/>
        <w:rPr>
          <w:rFonts w:hint="eastAsia" w:ascii="仿宋" w:hAnsi="仿宋" w:eastAsia="仿宋"/>
          <w:sz w:val="32"/>
          <w:szCs w:val="32"/>
        </w:rPr>
      </w:pPr>
      <w:bookmarkStart w:id="1" w:name="_GoBack"/>
      <w:bookmarkEnd w:id="1"/>
      <w:r>
        <w:rPr>
          <w:rFonts w:hint="eastAsia" w:ascii="仿宋" w:hAnsi="仿宋" w:eastAsia="仿宋"/>
          <w:sz w:val="32"/>
          <w:szCs w:val="32"/>
        </w:rPr>
        <w:t>第一条 为</w:t>
      </w:r>
      <w:r>
        <w:rPr>
          <w:rFonts w:ascii="仿宋" w:hAnsi="仿宋" w:eastAsia="仿宋"/>
          <w:sz w:val="32"/>
          <w:szCs w:val="32"/>
        </w:rPr>
        <w:t>推动</w:t>
      </w:r>
      <w:r>
        <w:rPr>
          <w:rFonts w:hint="eastAsia" w:ascii="仿宋" w:hAnsi="仿宋" w:eastAsia="仿宋"/>
          <w:sz w:val="32"/>
          <w:szCs w:val="32"/>
        </w:rPr>
        <w:t>水域岸线资源科学保护、合理利用、有效管理，丰富水域岸线空间公共服务功能，拓展</w:t>
      </w:r>
      <w:r>
        <w:rPr>
          <w:rFonts w:ascii="仿宋" w:hAnsi="仿宋" w:eastAsia="仿宋"/>
          <w:sz w:val="32"/>
          <w:szCs w:val="32"/>
        </w:rPr>
        <w:t>生态</w:t>
      </w:r>
      <w:r>
        <w:rPr>
          <w:rFonts w:hint="eastAsia" w:ascii="仿宋" w:hAnsi="仿宋" w:eastAsia="仿宋"/>
          <w:sz w:val="32"/>
          <w:szCs w:val="32"/>
        </w:rPr>
        <w:t>产品</w:t>
      </w:r>
      <w:r>
        <w:rPr>
          <w:rFonts w:ascii="仿宋" w:hAnsi="仿宋" w:eastAsia="仿宋"/>
          <w:sz w:val="32"/>
          <w:szCs w:val="32"/>
        </w:rPr>
        <w:t>价值</w:t>
      </w:r>
      <w:r>
        <w:rPr>
          <w:rFonts w:hint="eastAsia" w:ascii="仿宋" w:hAnsi="仿宋" w:eastAsia="仿宋"/>
          <w:sz w:val="32"/>
          <w:szCs w:val="32"/>
        </w:rPr>
        <w:t>实现路径</w:t>
      </w:r>
      <w:r>
        <w:rPr>
          <w:rFonts w:ascii="仿宋" w:hAnsi="仿宋" w:eastAsia="仿宋"/>
          <w:sz w:val="32"/>
          <w:szCs w:val="32"/>
        </w:rPr>
        <w:t>，</w:t>
      </w:r>
      <w:r>
        <w:rPr>
          <w:rFonts w:hint="eastAsia" w:ascii="仿宋" w:hAnsi="仿宋" w:eastAsia="仿宋"/>
          <w:sz w:val="32"/>
          <w:szCs w:val="32"/>
        </w:rPr>
        <w:t>发挥“水利+”综合效益，助力滨水产业富民惠民，根据《浙江省水域保护办法》《浙江省河道管理条例》《浙江省水利工程安全管理条例》等有关法律法规、规章制度，制定本办法。</w:t>
      </w:r>
    </w:p>
    <w:p>
      <w:pPr>
        <w:snapToGrid w:val="0"/>
        <w:spacing w:line="360" w:lineRule="auto"/>
        <w:ind w:firstLine="632" w:firstLineChars="200"/>
        <w:rPr>
          <w:rFonts w:hint="eastAsia" w:ascii="仿宋" w:hAnsi="仿宋" w:eastAsia="仿宋"/>
          <w:sz w:val="32"/>
          <w:szCs w:val="32"/>
        </w:rPr>
      </w:pPr>
      <w:r>
        <w:rPr>
          <w:rFonts w:hint="eastAsia" w:ascii="仿宋" w:hAnsi="仿宋" w:eastAsia="仿宋"/>
          <w:sz w:val="32"/>
          <w:szCs w:val="32"/>
        </w:rPr>
        <w:t>第二条 本办法所称水域岸线空间，是指全区河道、水库、山塘、其他水域、人工水道等水域及其管理范围。</w:t>
      </w:r>
    </w:p>
    <w:p>
      <w:pPr>
        <w:snapToGrid w:val="0"/>
        <w:spacing w:line="360" w:lineRule="auto"/>
        <w:ind w:firstLine="632" w:firstLineChars="200"/>
        <w:rPr>
          <w:rFonts w:hint="eastAsia" w:ascii="仿宋" w:hAnsi="仿宋" w:eastAsia="仿宋"/>
          <w:sz w:val="32"/>
          <w:szCs w:val="32"/>
        </w:rPr>
      </w:pPr>
      <w:r>
        <w:rPr>
          <w:rFonts w:hint="eastAsia" w:ascii="仿宋" w:hAnsi="仿宋" w:eastAsia="仿宋"/>
          <w:sz w:val="32"/>
          <w:szCs w:val="32"/>
        </w:rPr>
        <w:t>第三条 本办法适用于莲都区境内水域岸线空间保护与利用活动的管理。</w:t>
      </w:r>
    </w:p>
    <w:p>
      <w:pPr>
        <w:snapToGrid w:val="0"/>
        <w:spacing w:line="360" w:lineRule="auto"/>
        <w:ind w:firstLine="632" w:firstLineChars="200"/>
        <w:rPr>
          <w:rFonts w:hint="eastAsia" w:ascii="仿宋" w:hAnsi="仿宋" w:eastAsia="仿宋"/>
          <w:sz w:val="32"/>
          <w:szCs w:val="32"/>
        </w:rPr>
      </w:pPr>
      <w:r>
        <w:rPr>
          <w:rFonts w:hint="eastAsia" w:ascii="仿宋" w:hAnsi="仿宋" w:eastAsia="仿宋"/>
          <w:sz w:val="32"/>
          <w:szCs w:val="32"/>
        </w:rPr>
        <w:t>第四条 区水行政主管部门会同相关部门按照《浙江省水域保护办法》《浙江省河道管理条例》《莲都区国土空间规划》等要求，编制水域岸线保护与利用规划，以确保安全为底线，结合水域特点及亲水的便利程度，科学划定可利用水域岸线空间的范围。</w:t>
      </w:r>
    </w:p>
    <w:p>
      <w:pPr>
        <w:snapToGrid w:val="0"/>
        <w:spacing w:line="360" w:lineRule="auto"/>
        <w:ind w:firstLine="632" w:firstLineChars="200"/>
        <w:rPr>
          <w:rFonts w:hint="eastAsia" w:ascii="仿宋" w:hAnsi="仿宋" w:eastAsia="仿宋"/>
          <w:sz w:val="32"/>
          <w:szCs w:val="32"/>
        </w:rPr>
      </w:pPr>
      <w:r>
        <w:rPr>
          <w:rFonts w:hint="eastAsia" w:ascii="仿宋" w:hAnsi="仿宋" w:eastAsia="仿宋"/>
          <w:sz w:val="32"/>
          <w:szCs w:val="32"/>
        </w:rPr>
        <w:t>第五条 在不影响防洪和供水安全、生态安全、水利工程设施安全和功能正常发挥前提下，按照“水满人退、水退利用”的原则，科学有序设置亲水平台、游步道、栈道、挑台、休闲钓场等公共基础设施，适度引入水上运动、亲水休闲、滩地露营、滨水文化等水旅融合新业态。</w:t>
      </w:r>
    </w:p>
    <w:p>
      <w:pPr>
        <w:snapToGrid w:val="0"/>
        <w:spacing w:line="360" w:lineRule="auto"/>
        <w:ind w:firstLine="632" w:firstLineChars="200"/>
        <w:rPr>
          <w:rFonts w:hint="eastAsia" w:ascii="仿宋" w:hAnsi="仿宋" w:eastAsia="仿宋"/>
          <w:sz w:val="32"/>
          <w:szCs w:val="32"/>
        </w:rPr>
      </w:pPr>
      <w:r>
        <w:rPr>
          <w:rFonts w:hint="eastAsia" w:ascii="仿宋" w:hAnsi="仿宋" w:eastAsia="仿宋"/>
          <w:sz w:val="32"/>
          <w:szCs w:val="32"/>
        </w:rPr>
        <w:t>第六条</w:t>
      </w:r>
      <w:r>
        <w:rPr>
          <w:rFonts w:ascii="仿宋" w:hAnsi="仿宋" w:eastAsia="仿宋"/>
          <w:sz w:val="32"/>
          <w:szCs w:val="32"/>
        </w:rPr>
        <w:t xml:space="preserve"> 对国家所有的水域，</w:t>
      </w:r>
      <w:r>
        <w:rPr>
          <w:rFonts w:hint="eastAsia" w:ascii="仿宋" w:hAnsi="仿宋" w:eastAsia="仿宋"/>
          <w:sz w:val="32"/>
          <w:szCs w:val="32"/>
        </w:rPr>
        <w:t>由水行政主管部门对经营权进行统一管理，支持以流域、区域为单元出让经营权，开展集约化经营，鼓励各类社会资本参与，但</w:t>
      </w:r>
      <w:r>
        <w:rPr>
          <w:rFonts w:ascii="仿宋" w:hAnsi="仿宋" w:eastAsia="仿宋"/>
          <w:sz w:val="32"/>
          <w:szCs w:val="32"/>
        </w:rPr>
        <w:t>不得进行圈禁封闭。</w:t>
      </w:r>
    </w:p>
    <w:p>
      <w:pPr>
        <w:snapToGrid w:val="0"/>
        <w:spacing w:line="360" w:lineRule="auto"/>
        <w:ind w:firstLine="632" w:firstLineChars="200"/>
        <w:rPr>
          <w:rFonts w:hint="eastAsia" w:ascii="仿宋" w:hAnsi="仿宋" w:eastAsia="仿宋"/>
          <w:sz w:val="32"/>
          <w:szCs w:val="32"/>
        </w:rPr>
      </w:pPr>
      <w:r>
        <w:rPr>
          <w:rFonts w:ascii="仿宋" w:hAnsi="仿宋" w:eastAsia="仿宋"/>
          <w:sz w:val="32"/>
          <w:szCs w:val="32"/>
        </w:rPr>
        <w:t>对产权属于集体所有的水库、山塘等水域，在不违反相关法律法规的前提下，鼓励由村属集体经济组织，自行或委托具备经营条件的项目经营者开展承包经营，</w:t>
      </w:r>
      <w:r>
        <w:rPr>
          <w:rFonts w:hint="eastAsia" w:ascii="仿宋" w:hAnsi="仿宋" w:eastAsia="仿宋"/>
          <w:sz w:val="32"/>
          <w:szCs w:val="32"/>
        </w:rPr>
        <w:t>但</w:t>
      </w:r>
      <w:r>
        <w:rPr>
          <w:rFonts w:ascii="仿宋" w:hAnsi="仿宋" w:eastAsia="仿宋"/>
          <w:sz w:val="32"/>
          <w:szCs w:val="32"/>
        </w:rPr>
        <w:t>需经村民代表大会同意，向属地镇街和水行政主管部门进行备案</w:t>
      </w:r>
      <w:r>
        <w:rPr>
          <w:rFonts w:hint="eastAsia" w:ascii="仿宋" w:hAnsi="仿宋" w:eastAsia="仿宋"/>
          <w:sz w:val="32"/>
          <w:szCs w:val="32"/>
        </w:rPr>
        <w:t>。</w:t>
      </w:r>
    </w:p>
    <w:p>
      <w:pPr>
        <w:snapToGrid w:val="0"/>
        <w:spacing w:line="360" w:lineRule="auto"/>
        <w:ind w:firstLine="632" w:firstLineChars="200"/>
        <w:rPr>
          <w:rFonts w:hint="eastAsia" w:ascii="仿宋" w:hAnsi="仿宋" w:eastAsia="仿宋"/>
          <w:sz w:val="32"/>
          <w:szCs w:val="32"/>
        </w:rPr>
      </w:pPr>
      <w:r>
        <w:rPr>
          <w:rFonts w:hint="eastAsia" w:ascii="仿宋" w:hAnsi="仿宋" w:eastAsia="仿宋"/>
          <w:sz w:val="32"/>
          <w:szCs w:val="32"/>
        </w:rPr>
        <w:t>第七条 对水域岸线空间利用项目实行包容审慎审批管理（见附件1）。成立由区水利局牵头，发改、自规、建设、交通、农业、文广旅体、生态环境、林业等涉及部门组成的水域岸线空间利用项目联审委员会。具体审批流程如下：</w:t>
      </w:r>
    </w:p>
    <w:p>
      <w:pPr>
        <w:snapToGrid w:val="0"/>
        <w:spacing w:line="360" w:lineRule="auto"/>
        <w:ind w:firstLine="632" w:firstLineChars="200"/>
        <w:rPr>
          <w:rFonts w:hint="eastAsia" w:ascii="仿宋" w:hAnsi="仿宋" w:eastAsia="仿宋"/>
          <w:sz w:val="32"/>
          <w:szCs w:val="32"/>
        </w:rPr>
      </w:pPr>
      <w:r>
        <w:rPr>
          <w:rFonts w:hint="eastAsia" w:ascii="仿宋" w:hAnsi="仿宋" w:eastAsia="仿宋"/>
          <w:sz w:val="32"/>
          <w:szCs w:val="32"/>
        </w:rPr>
        <w:t>（1）项目经营主体应按本办法要求，提交项目申请表报送属地镇（街）初审同意后出具项目初审意见书。</w:t>
      </w:r>
    </w:p>
    <w:p>
      <w:pPr>
        <w:snapToGrid w:val="0"/>
        <w:spacing w:line="360" w:lineRule="auto"/>
        <w:ind w:firstLine="632" w:firstLineChars="200"/>
        <w:rPr>
          <w:rFonts w:hint="eastAsia" w:ascii="仿宋" w:hAnsi="仿宋" w:eastAsia="仿宋"/>
          <w:sz w:val="32"/>
          <w:szCs w:val="32"/>
        </w:rPr>
      </w:pPr>
      <w:r>
        <w:rPr>
          <w:rFonts w:hint="eastAsia" w:ascii="仿宋" w:hAnsi="仿宋" w:eastAsia="仿宋"/>
          <w:sz w:val="32"/>
          <w:szCs w:val="32"/>
        </w:rPr>
        <w:t>（2）在初审通过后，项目经营主体编制项目建设方案上报联审委员会进行审查，联合审查实行负面清单管理制度（见附件2），复核项目建设及运营的可行性。</w:t>
      </w:r>
    </w:p>
    <w:p>
      <w:pPr>
        <w:snapToGrid w:val="0"/>
        <w:spacing w:line="360" w:lineRule="auto"/>
        <w:ind w:firstLine="632" w:firstLineChars="200"/>
        <w:rPr>
          <w:rFonts w:hint="eastAsia" w:ascii="仿宋" w:hAnsi="仿宋" w:eastAsia="仿宋"/>
          <w:sz w:val="32"/>
          <w:szCs w:val="32"/>
        </w:rPr>
      </w:pPr>
      <w:r>
        <w:rPr>
          <w:rFonts w:hint="eastAsia" w:ascii="仿宋" w:hAnsi="仿宋" w:eastAsia="仿宋"/>
          <w:sz w:val="32"/>
          <w:szCs w:val="32"/>
        </w:rPr>
        <w:t>（3）区发改局根据联合审查意见予以立项。</w:t>
      </w:r>
    </w:p>
    <w:p>
      <w:pPr>
        <w:snapToGrid w:val="0"/>
        <w:spacing w:line="360" w:lineRule="auto"/>
        <w:ind w:firstLine="632" w:firstLineChars="200"/>
        <w:rPr>
          <w:rFonts w:hint="eastAsia" w:ascii="仿宋" w:hAnsi="仿宋" w:eastAsia="仿宋"/>
          <w:sz w:val="32"/>
          <w:szCs w:val="32"/>
        </w:rPr>
      </w:pPr>
      <w:r>
        <w:rPr>
          <w:rFonts w:hint="eastAsia" w:ascii="仿宋" w:hAnsi="仿宋" w:eastAsia="仿宋"/>
          <w:sz w:val="32"/>
          <w:szCs w:val="32"/>
        </w:rPr>
        <w:t>（4）项目立项后，办理项目涉河涉堤（水域岸线利用活动）、用地、林地、开工许可等手续，联审委员会根据各自职责推进项目的开工审批工作。</w:t>
      </w:r>
    </w:p>
    <w:p>
      <w:pPr>
        <w:snapToGrid w:val="0"/>
        <w:spacing w:line="360" w:lineRule="auto"/>
        <w:ind w:firstLine="632" w:firstLineChars="200"/>
        <w:rPr>
          <w:rFonts w:hint="eastAsia" w:ascii="仿宋" w:hAnsi="仿宋" w:eastAsia="仿宋"/>
          <w:sz w:val="32"/>
          <w:szCs w:val="32"/>
        </w:rPr>
      </w:pPr>
      <w:r>
        <w:rPr>
          <w:rFonts w:hint="eastAsia" w:ascii="仿宋" w:hAnsi="仿宋" w:eastAsia="仿宋"/>
          <w:sz w:val="32"/>
          <w:szCs w:val="32"/>
        </w:rPr>
        <w:t>（5）项目建设完成后，经营主体向区水利局提出验收申请。区水利局组织相关部门组成验收小组，对项目进行综合验收。</w:t>
      </w:r>
    </w:p>
    <w:p>
      <w:pPr>
        <w:snapToGrid w:val="0"/>
        <w:spacing w:line="360" w:lineRule="auto"/>
        <w:ind w:firstLine="632" w:firstLineChars="200"/>
        <w:rPr>
          <w:rFonts w:hint="eastAsia" w:ascii="仿宋" w:hAnsi="仿宋" w:eastAsia="仿宋"/>
          <w:sz w:val="32"/>
          <w:szCs w:val="32"/>
        </w:rPr>
      </w:pPr>
      <w:r>
        <w:rPr>
          <w:rFonts w:hint="eastAsia" w:ascii="仿宋" w:hAnsi="仿宋" w:eastAsia="仿宋"/>
          <w:sz w:val="32"/>
          <w:szCs w:val="32"/>
        </w:rPr>
        <w:t>（6）经营主体办理相关证照后方可</w:t>
      </w:r>
      <w:r>
        <w:rPr>
          <w:rFonts w:ascii="仿宋" w:hAnsi="仿宋" w:eastAsia="仿宋"/>
          <w:sz w:val="32"/>
          <w:szCs w:val="32"/>
        </w:rPr>
        <w:t>开展经营。经营过程中接受区级部门、属地镇街监管。</w:t>
      </w:r>
    </w:p>
    <w:p>
      <w:pPr>
        <w:snapToGrid w:val="0"/>
        <w:spacing w:line="360" w:lineRule="auto"/>
        <w:ind w:firstLine="632" w:firstLineChars="200"/>
        <w:rPr>
          <w:rFonts w:hint="eastAsia" w:ascii="仿宋" w:hAnsi="仿宋" w:eastAsia="仿宋"/>
          <w:sz w:val="32"/>
          <w:szCs w:val="32"/>
        </w:rPr>
      </w:pPr>
      <w:r>
        <w:rPr>
          <w:rFonts w:hint="eastAsia" w:ascii="仿宋" w:hAnsi="仿宋" w:eastAsia="仿宋"/>
          <w:sz w:val="32"/>
          <w:szCs w:val="32"/>
        </w:rPr>
        <w:t>第八条 应遵循“谁经营，谁负责”原则，</w:t>
      </w:r>
      <w:r>
        <w:rPr>
          <w:rFonts w:ascii="仿宋" w:hAnsi="仿宋" w:eastAsia="仿宋"/>
          <w:sz w:val="32"/>
          <w:szCs w:val="32"/>
        </w:rPr>
        <w:t>经营主体应当对其</w:t>
      </w:r>
      <w:r>
        <w:rPr>
          <w:rFonts w:hint="eastAsia" w:ascii="仿宋" w:hAnsi="仿宋" w:eastAsia="仿宋"/>
          <w:sz w:val="32"/>
          <w:szCs w:val="32"/>
        </w:rPr>
        <w:t>经营活动</w:t>
      </w:r>
      <w:r>
        <w:rPr>
          <w:rFonts w:ascii="仿宋" w:hAnsi="仿宋" w:eastAsia="仿宋"/>
          <w:sz w:val="32"/>
          <w:szCs w:val="32"/>
        </w:rPr>
        <w:t>进行风险监测和安全评估，</w:t>
      </w:r>
      <w:r>
        <w:rPr>
          <w:rFonts w:hint="eastAsia" w:ascii="仿宋" w:hAnsi="仿宋" w:eastAsia="仿宋"/>
          <w:sz w:val="32"/>
          <w:szCs w:val="32"/>
        </w:rPr>
        <w:t>依法履行安全风险提示义务，必要时应当采取暂停服务、调整活动内容等措施。</w:t>
      </w:r>
    </w:p>
    <w:p>
      <w:pPr>
        <w:snapToGrid w:val="0"/>
        <w:spacing w:line="360" w:lineRule="auto"/>
        <w:ind w:firstLine="632" w:firstLineChars="200"/>
        <w:rPr>
          <w:rFonts w:hint="eastAsia" w:ascii="仿宋" w:hAnsi="仿宋" w:eastAsia="仿宋"/>
          <w:sz w:val="32"/>
          <w:szCs w:val="32"/>
        </w:rPr>
      </w:pPr>
      <w:r>
        <w:rPr>
          <w:rFonts w:hint="eastAsia" w:ascii="仿宋" w:hAnsi="仿宋" w:eastAsia="仿宋"/>
          <w:sz w:val="32"/>
          <w:szCs w:val="32"/>
        </w:rPr>
        <w:t>第九条 水域岸线利用项目的行业主管部门和管理单位承担直接管理责任，建设、交通、农业、水利、文广旅体、生态环境、综合执法等部门应根据法律法规规定的相关职责，组织开展日常监督检查及执法活动。</w:t>
      </w:r>
    </w:p>
    <w:p>
      <w:pPr>
        <w:snapToGrid w:val="0"/>
        <w:spacing w:line="360" w:lineRule="auto"/>
        <w:ind w:firstLine="632" w:firstLineChars="200"/>
        <w:rPr>
          <w:rFonts w:hint="eastAsia" w:ascii="仿宋" w:hAnsi="仿宋" w:eastAsia="仿宋"/>
          <w:sz w:val="32"/>
          <w:szCs w:val="32"/>
        </w:rPr>
      </w:pPr>
      <w:r>
        <w:rPr>
          <w:rFonts w:hint="eastAsia" w:ascii="仿宋" w:hAnsi="仿宋" w:eastAsia="仿宋"/>
          <w:sz w:val="32"/>
          <w:szCs w:val="32"/>
        </w:rPr>
        <w:t>第十条 按照“保护者受益、使用者付费”的原则，落实经营主体水域岸线空间的有偿使用，建立生态保护奖补和收益反哺机制，促进水域岸线长效管护及共同富裕。</w:t>
      </w:r>
    </w:p>
    <w:p>
      <w:pPr>
        <w:snapToGrid w:val="0"/>
        <w:spacing w:line="360" w:lineRule="auto"/>
        <w:ind w:firstLine="632" w:firstLineChars="200"/>
        <w:rPr>
          <w:rFonts w:hint="eastAsia" w:ascii="仿宋" w:hAnsi="仿宋" w:eastAsia="仿宋"/>
          <w:sz w:val="32"/>
          <w:szCs w:val="32"/>
        </w:rPr>
      </w:pPr>
      <w:r>
        <w:rPr>
          <w:rFonts w:hint="eastAsia" w:ascii="仿宋" w:hAnsi="仿宋" w:eastAsia="仿宋"/>
          <w:sz w:val="32"/>
          <w:szCs w:val="32"/>
        </w:rPr>
        <w:t>第十一条 对违规占用水域岸线、破坏生态环境的行为，依法责令整改并追究责任；鼓励公众参与岸线保护监督，建立举报奖励制度，营造全社会共同保护的良好氛围。</w:t>
      </w:r>
    </w:p>
    <w:p>
      <w:pPr>
        <w:snapToGrid w:val="0"/>
        <w:spacing w:line="360" w:lineRule="auto"/>
        <w:ind w:firstLine="632" w:firstLineChars="200"/>
        <w:rPr>
          <w:rFonts w:hint="eastAsia" w:ascii="仿宋" w:hAnsi="仿宋" w:eastAsia="仿宋"/>
          <w:sz w:val="32"/>
          <w:szCs w:val="32"/>
        </w:rPr>
      </w:pPr>
      <w:r>
        <w:rPr>
          <w:rFonts w:hint="eastAsia" w:ascii="仿宋" w:hAnsi="仿宋" w:eastAsia="仿宋"/>
          <w:sz w:val="32"/>
          <w:szCs w:val="32"/>
        </w:rPr>
        <w:t>第十二条 本办法由莲都区人民政府负责解释。</w:t>
      </w:r>
    </w:p>
    <w:p>
      <w:pPr>
        <w:snapToGrid w:val="0"/>
        <w:spacing w:line="360" w:lineRule="auto"/>
        <w:ind w:firstLine="632" w:firstLineChars="200"/>
        <w:rPr>
          <w:rFonts w:hint="eastAsia" w:ascii="仿宋" w:hAnsi="仿宋" w:eastAsia="仿宋"/>
          <w:b/>
          <w:bCs/>
          <w:sz w:val="32"/>
          <w:szCs w:val="32"/>
        </w:rPr>
      </w:pPr>
      <w:r>
        <w:rPr>
          <w:rFonts w:hint="eastAsia" w:ascii="仿宋" w:hAnsi="仿宋" w:eastAsia="仿宋"/>
          <w:sz w:val="32"/>
          <w:szCs w:val="32"/>
        </w:rPr>
        <w:t xml:space="preserve">第十三条 </w:t>
      </w:r>
      <w:r>
        <w:rPr>
          <w:rFonts w:ascii="仿宋" w:hAnsi="仿宋" w:eastAsia="仿宋"/>
          <w:sz w:val="32"/>
          <w:szCs w:val="32"/>
        </w:rPr>
        <w:t>本办法自印发之日起施行。</w:t>
      </w:r>
    </w:p>
    <w:p>
      <w:pPr>
        <w:snapToGrid w:val="0"/>
        <w:spacing w:line="360" w:lineRule="auto"/>
        <w:rPr>
          <w:rFonts w:eastAsia="仿宋_GB2312"/>
          <w:sz w:val="32"/>
          <w:szCs w:val="32"/>
        </w:rPr>
        <w:sectPr>
          <w:footerReference r:id="rId3" w:type="default"/>
          <w:pgSz w:w="11906" w:h="16838"/>
          <w:pgMar w:top="2098" w:right="1474" w:bottom="1985" w:left="1588" w:header="851" w:footer="992" w:gutter="0"/>
          <w:pgNumType w:fmt="numberInDash"/>
          <w:cols w:space="720" w:num="1"/>
          <w:docGrid w:type="linesAndChars" w:linePitch="604" w:charSpace="-882"/>
        </w:sectPr>
      </w:pPr>
    </w:p>
    <w:p>
      <w:pPr>
        <w:topLinePunct/>
        <w:adjustRightInd w:val="0"/>
        <w:snapToGrid w:val="0"/>
        <w:spacing w:line="560" w:lineRule="exact"/>
        <w:jc w:val="center"/>
        <w:rPr>
          <w:rFonts w:hint="eastAsia" w:ascii="黑体" w:hAnsi="黑体" w:eastAsia="黑体" w:cs="黑体"/>
          <w:sz w:val="32"/>
          <w:szCs w:val="32"/>
        </w:rPr>
      </w:pPr>
      <w:r>
        <w:rPr>
          <w:rFonts w:hint="eastAsia" w:ascii="黑体" w:hAnsi="黑体" w:eastAsia="黑体" w:cs="黑体"/>
          <w:sz w:val="32"/>
          <w:szCs w:val="32"/>
        </w:rPr>
        <w:t>附件1  莲都区水域岸线空间利用项目准入清单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5587"/>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85" w:type="dxa"/>
            <w:vAlign w:val="center"/>
          </w:tcPr>
          <w:p>
            <w:pPr>
              <w:adjustRightInd w:val="0"/>
              <w:snapToGrid w:val="0"/>
              <w:jc w:val="center"/>
              <w:rPr>
                <w:rFonts w:hint="eastAsia" w:ascii="仿宋" w:hAnsi="仿宋" w:eastAsia="仿宋" w:cs="仿宋"/>
                <w:b/>
                <w:bCs/>
                <w:sz w:val="28"/>
                <w:szCs w:val="28"/>
              </w:rPr>
            </w:pPr>
            <w:r>
              <w:rPr>
                <w:rFonts w:hint="eastAsia" w:ascii="仿宋" w:hAnsi="仿宋" w:eastAsia="仿宋" w:cs="仿宋"/>
                <w:b/>
                <w:bCs/>
                <w:sz w:val="28"/>
                <w:szCs w:val="28"/>
              </w:rPr>
              <w:t>项目分类</w:t>
            </w:r>
          </w:p>
        </w:tc>
        <w:tc>
          <w:tcPr>
            <w:tcW w:w="5587" w:type="dxa"/>
            <w:vAlign w:val="center"/>
          </w:tcPr>
          <w:p>
            <w:pPr>
              <w:adjustRightInd w:val="0"/>
              <w:snapToGrid w:val="0"/>
              <w:jc w:val="center"/>
              <w:rPr>
                <w:rFonts w:hint="eastAsia" w:ascii="仿宋" w:hAnsi="仿宋" w:eastAsia="仿宋" w:cs="仿宋"/>
                <w:b/>
                <w:bCs/>
                <w:sz w:val="28"/>
                <w:szCs w:val="28"/>
              </w:rPr>
            </w:pPr>
            <w:r>
              <w:rPr>
                <w:rFonts w:hint="eastAsia" w:ascii="仿宋" w:hAnsi="仿宋" w:eastAsia="仿宋" w:cs="仿宋"/>
                <w:b/>
                <w:bCs/>
                <w:sz w:val="28"/>
                <w:szCs w:val="28"/>
              </w:rPr>
              <w:t>项目清单</w:t>
            </w:r>
          </w:p>
        </w:tc>
        <w:tc>
          <w:tcPr>
            <w:tcW w:w="2187" w:type="dxa"/>
            <w:vAlign w:val="center"/>
          </w:tcPr>
          <w:p>
            <w:pPr>
              <w:adjustRightInd w:val="0"/>
              <w:snapToGrid w:val="0"/>
              <w:jc w:val="center"/>
              <w:rPr>
                <w:rFonts w:hint="eastAsia" w:ascii="仿宋" w:hAnsi="仿宋" w:eastAsia="仿宋" w:cs="仿宋"/>
                <w:b/>
                <w:bCs/>
                <w:sz w:val="28"/>
                <w:szCs w:val="28"/>
              </w:rPr>
            </w:pPr>
            <w:r>
              <w:rPr>
                <w:rFonts w:hint="eastAsia" w:ascii="仿宋" w:hAnsi="仿宋" w:eastAsia="仿宋" w:cs="仿宋"/>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jc w:val="center"/>
        </w:trPr>
        <w:tc>
          <w:tcPr>
            <w:tcW w:w="785" w:type="dxa"/>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亲水休闲</w:t>
            </w:r>
          </w:p>
        </w:tc>
        <w:tc>
          <w:tcPr>
            <w:tcW w:w="5587" w:type="dxa"/>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rPr>
              <w:t>游憩绿道（健身步道、游步道、慢行道、骑行道路）、亲水平台（观景平台）、滨水广场（健身广场、滨岸小公园）、健身设施（公共体育设施）、休闲垂钓、亲水堰坝、河埠头、临时靠泊点等</w:t>
            </w:r>
          </w:p>
        </w:tc>
        <w:tc>
          <w:tcPr>
            <w:tcW w:w="2187" w:type="dxa"/>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rPr>
              <w:t>含配套的公共卫生、便民商服、监控救生等设施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785" w:type="dxa"/>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水上运动</w:t>
            </w:r>
          </w:p>
        </w:tc>
        <w:tc>
          <w:tcPr>
            <w:tcW w:w="5587" w:type="dxa"/>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rPr>
              <w:t>天然泳场、水上游乐（水上游船、水上乐园、水上漂流等）、水上运动训练中心、赛事中心、培训中心等</w:t>
            </w:r>
          </w:p>
        </w:tc>
        <w:tc>
          <w:tcPr>
            <w:tcW w:w="2187" w:type="dxa"/>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rPr>
              <w:t>含配套的水上运动设施、小型船艇码头、水上运动码头、公共卫生、便民商服、监控救生等设施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785" w:type="dxa"/>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滩地露营</w:t>
            </w:r>
          </w:p>
        </w:tc>
        <w:tc>
          <w:tcPr>
            <w:tcW w:w="5587" w:type="dxa"/>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rPr>
              <w:t>自驾车旅居车露营地、帐篷露营地、青少年露营地、其他创新方式露营地</w:t>
            </w:r>
          </w:p>
        </w:tc>
        <w:tc>
          <w:tcPr>
            <w:tcW w:w="2187" w:type="dxa"/>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rPr>
              <w:t>含配套的公共卫生、便民商服、监控救生等设施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785" w:type="dxa"/>
            <w:shd w:val="clear" w:color="auto" w:fill="auto"/>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滨水文化</w:t>
            </w:r>
          </w:p>
        </w:tc>
        <w:tc>
          <w:tcPr>
            <w:tcW w:w="5587" w:type="dxa"/>
            <w:shd w:val="clear" w:color="auto" w:fill="auto"/>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rPr>
              <w:t>水文化、水利科普展示馆、水情教育中心、水利遗产、滨水文创（演绎剧场、文化街区、水工艺传承、摄影中心等）等</w:t>
            </w:r>
          </w:p>
        </w:tc>
        <w:tc>
          <w:tcPr>
            <w:tcW w:w="2187" w:type="dxa"/>
            <w:shd w:val="clear" w:color="auto" w:fill="auto"/>
            <w:vAlign w:val="center"/>
          </w:tcPr>
          <w:p>
            <w:pPr>
              <w:adjustRightInd w:val="0"/>
              <w:snapToGrid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785" w:type="dxa"/>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rPr>
              <w:t>其他</w:t>
            </w:r>
          </w:p>
        </w:tc>
        <w:tc>
          <w:tcPr>
            <w:tcW w:w="5587" w:type="dxa"/>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rPr>
              <w:t>船艇码头及俱乐部、水产业（涉水产业）综合体、邻水产业园区、康养度假中心等</w:t>
            </w:r>
          </w:p>
        </w:tc>
        <w:tc>
          <w:tcPr>
            <w:tcW w:w="2187" w:type="dxa"/>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rPr>
              <w:t>含配套的栈桥码头、取水设施等</w:t>
            </w:r>
          </w:p>
        </w:tc>
      </w:tr>
    </w:tbl>
    <w:p>
      <w:pPr>
        <w:snapToGrid w:val="0"/>
        <w:spacing w:line="360" w:lineRule="auto"/>
        <w:ind w:firstLine="472" w:firstLineChars="200"/>
        <w:rPr>
          <w:rFonts w:hint="eastAsia" w:ascii="仿宋" w:hAnsi="仿宋" w:eastAsia="仿宋" w:cs="仿宋"/>
          <w:b/>
          <w:bCs/>
          <w:sz w:val="24"/>
        </w:rPr>
        <w:sectPr>
          <w:pgSz w:w="11906" w:h="16838"/>
          <w:pgMar w:top="1757" w:right="1474" w:bottom="1757" w:left="1588" w:header="851" w:footer="992" w:gutter="0"/>
          <w:pgNumType w:fmt="numberInDash"/>
          <w:cols w:space="720" w:num="1"/>
          <w:docGrid w:type="linesAndChars" w:linePitch="604" w:charSpace="-882"/>
        </w:sectPr>
      </w:pPr>
      <w:r>
        <w:rPr>
          <w:rFonts w:ascii="仿宋" w:hAnsi="仿宋" w:eastAsia="仿宋" w:cs="仿宋"/>
          <w:b/>
          <w:bCs/>
          <w:sz w:val="24"/>
        </w:rPr>
        <w:t>备注：项目</w:t>
      </w:r>
      <w:r>
        <w:rPr>
          <w:rFonts w:hint="eastAsia" w:ascii="仿宋" w:hAnsi="仿宋" w:eastAsia="仿宋" w:cs="仿宋"/>
          <w:b/>
          <w:bCs/>
          <w:sz w:val="24"/>
        </w:rPr>
        <w:t>准入</w:t>
      </w:r>
      <w:r>
        <w:rPr>
          <w:rFonts w:ascii="仿宋" w:hAnsi="仿宋" w:eastAsia="仿宋" w:cs="仿宋"/>
          <w:b/>
          <w:bCs/>
          <w:sz w:val="24"/>
        </w:rPr>
        <w:t>清单包括但不限于上述内容，具体以满足</w:t>
      </w:r>
      <w:r>
        <w:rPr>
          <w:rFonts w:hint="eastAsia" w:ascii="仿宋" w:hAnsi="仿宋" w:eastAsia="仿宋" w:cs="仿宋"/>
          <w:b/>
          <w:bCs/>
          <w:sz w:val="24"/>
        </w:rPr>
        <w:t>法律法规及相关政策文件</w:t>
      </w:r>
      <w:r>
        <w:rPr>
          <w:rFonts w:ascii="仿宋" w:hAnsi="仿宋" w:eastAsia="仿宋" w:cs="仿宋"/>
          <w:b/>
          <w:bCs/>
          <w:sz w:val="24"/>
        </w:rPr>
        <w:t>规定为准。</w:t>
      </w:r>
    </w:p>
    <w:p>
      <w:pPr>
        <w:topLinePunct/>
        <w:adjustRightInd w:val="0"/>
        <w:snapToGrid w:val="0"/>
        <w:spacing w:line="560" w:lineRule="exact"/>
        <w:jc w:val="center"/>
        <w:rPr>
          <w:rFonts w:hint="eastAsia" w:ascii="黑体" w:hAnsi="黑体" w:eastAsia="黑体" w:cs="黑体"/>
          <w:sz w:val="32"/>
          <w:szCs w:val="32"/>
        </w:rPr>
      </w:pPr>
      <w:r>
        <w:rPr>
          <w:rFonts w:hint="eastAsia" w:ascii="黑体" w:hAnsi="黑体" w:eastAsia="黑体" w:cs="黑体"/>
          <w:sz w:val="32"/>
          <w:szCs w:val="32"/>
        </w:rPr>
        <w:t>附件2  莲都区水域岸线空间利用负面清单</w:t>
      </w:r>
    </w:p>
    <w:tbl>
      <w:tblPr>
        <w:tblStyle w:val="11"/>
        <w:tblW w:w="0" w:type="auto"/>
        <w:tblInd w:w="0" w:type="dxa"/>
        <w:tblLayout w:type="fixed"/>
        <w:tblCellMar>
          <w:top w:w="0" w:type="dxa"/>
          <w:left w:w="108" w:type="dxa"/>
          <w:bottom w:w="0" w:type="dxa"/>
          <w:right w:w="108" w:type="dxa"/>
        </w:tblCellMar>
      </w:tblPr>
      <w:tblGrid>
        <w:gridCol w:w="1056"/>
        <w:gridCol w:w="8004"/>
      </w:tblGrid>
      <w:tr>
        <w:tblPrEx>
          <w:tblCellMar>
            <w:top w:w="0" w:type="dxa"/>
            <w:left w:w="108" w:type="dxa"/>
            <w:bottom w:w="0" w:type="dxa"/>
            <w:right w:w="108" w:type="dxa"/>
          </w:tblCellMar>
        </w:tblPrEx>
        <w:trPr>
          <w:trHeight w:val="584" w:hRule="atLeast"/>
          <w:tblHead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仿宋" w:hAnsi="仿宋" w:eastAsia="仿宋" w:cs="仿宋"/>
                <w:b/>
                <w:bCs/>
                <w:color w:val="000000"/>
                <w:sz w:val="28"/>
                <w:szCs w:val="28"/>
              </w:rPr>
            </w:pPr>
            <w:r>
              <w:rPr>
                <w:rStyle w:val="15"/>
                <w:rFonts w:hint="eastAsia" w:ascii="仿宋" w:hAnsi="仿宋" w:eastAsia="仿宋" w:cs="仿宋"/>
                <w:b/>
                <w:bCs/>
                <w:lang w:bidi="ar"/>
              </w:rPr>
              <w:t>序号</w:t>
            </w:r>
          </w:p>
        </w:tc>
        <w:tc>
          <w:tcPr>
            <w:tcW w:w="800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仿宋" w:hAnsi="仿宋" w:eastAsia="仿宋" w:cs="仿宋"/>
                <w:b/>
                <w:bCs/>
                <w:color w:val="000000"/>
                <w:sz w:val="28"/>
                <w:szCs w:val="28"/>
              </w:rPr>
            </w:pPr>
            <w:r>
              <w:rPr>
                <w:rStyle w:val="15"/>
                <w:rFonts w:hint="eastAsia" w:ascii="仿宋" w:hAnsi="仿宋" w:eastAsia="仿宋" w:cs="仿宋"/>
                <w:b/>
                <w:bCs/>
                <w:lang w:bidi="ar"/>
              </w:rPr>
              <w:t>负面情形</w:t>
            </w:r>
          </w:p>
        </w:tc>
      </w:tr>
      <w:tr>
        <w:tblPrEx>
          <w:tblCellMar>
            <w:top w:w="0" w:type="dxa"/>
            <w:left w:w="108" w:type="dxa"/>
            <w:bottom w:w="0" w:type="dxa"/>
            <w:right w:w="108" w:type="dxa"/>
          </w:tblCellMar>
        </w:tblPrEx>
        <w:trPr>
          <w:trHeight w:val="577" w:hRule="atLeast"/>
        </w:trPr>
        <w:tc>
          <w:tcPr>
            <w:tcW w:w="9060"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b/>
                <w:bCs/>
                <w:color w:val="000000"/>
                <w:sz w:val="28"/>
                <w:szCs w:val="28"/>
              </w:rPr>
            </w:pPr>
            <w:r>
              <w:rPr>
                <w:rStyle w:val="17"/>
                <w:rFonts w:hint="eastAsia" w:ascii="仿宋" w:hAnsi="仿宋" w:eastAsia="仿宋" w:cs="仿宋"/>
                <w:b/>
                <w:bCs/>
                <w:lang w:bidi="ar"/>
              </w:rPr>
              <w:t>一、影响行洪安全类</w:t>
            </w:r>
          </w:p>
        </w:tc>
      </w:tr>
      <w:tr>
        <w:tblPrEx>
          <w:tblCellMar>
            <w:top w:w="0" w:type="dxa"/>
            <w:left w:w="108" w:type="dxa"/>
            <w:bottom w:w="0" w:type="dxa"/>
            <w:right w:w="108" w:type="dxa"/>
          </w:tblCellMar>
        </w:tblPrEx>
        <w:trPr>
          <w:trHeight w:val="577" w:hRule="atLeast"/>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800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sz w:val="28"/>
                <w:szCs w:val="28"/>
              </w:rPr>
            </w:pPr>
            <w:r>
              <w:rPr>
                <w:rFonts w:hint="eastAsia" w:ascii="仿宋" w:hAnsi="仿宋" w:eastAsia="仿宋" w:cs="仿宋"/>
                <w:sz w:val="28"/>
                <w:szCs w:val="28"/>
              </w:rPr>
              <w:t>禁止在河湖管理范围内建设妨碍河道行洪的建筑物、构筑物。</w:t>
            </w:r>
          </w:p>
        </w:tc>
      </w:tr>
      <w:tr>
        <w:tblPrEx>
          <w:tblCellMar>
            <w:top w:w="0" w:type="dxa"/>
            <w:left w:w="108" w:type="dxa"/>
            <w:bottom w:w="0" w:type="dxa"/>
            <w:right w:w="108" w:type="dxa"/>
          </w:tblCellMar>
        </w:tblPrEx>
        <w:trPr>
          <w:trHeight w:val="577" w:hRule="atLeast"/>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Style w:val="16"/>
                <w:rFonts w:hint="default" w:ascii="仿宋" w:hAnsi="仿宋" w:eastAsia="仿宋" w:cs="仿宋"/>
                <w:sz w:val="28"/>
                <w:szCs w:val="28"/>
                <w:lang w:bidi="ar"/>
              </w:rPr>
            </w:pPr>
            <w:r>
              <w:rPr>
                <w:rStyle w:val="16"/>
                <w:rFonts w:hint="default" w:ascii="仿宋" w:hAnsi="仿宋" w:eastAsia="仿宋" w:cs="仿宋"/>
                <w:sz w:val="28"/>
                <w:szCs w:val="28"/>
                <w:lang w:bidi="ar"/>
              </w:rPr>
              <w:t>（2）</w:t>
            </w:r>
          </w:p>
        </w:tc>
        <w:tc>
          <w:tcPr>
            <w:tcW w:w="800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sz w:val="28"/>
                <w:szCs w:val="28"/>
              </w:rPr>
            </w:pPr>
            <w:r>
              <w:rPr>
                <w:rFonts w:hint="eastAsia" w:ascii="仿宋" w:hAnsi="仿宋" w:eastAsia="仿宋" w:cs="仿宋"/>
                <w:sz w:val="28"/>
                <w:szCs w:val="28"/>
              </w:rPr>
              <w:t>禁止在河道管理范围内种植阻碍行洪的林木和高秆作物。</w:t>
            </w:r>
          </w:p>
        </w:tc>
      </w:tr>
      <w:tr>
        <w:tblPrEx>
          <w:tblCellMar>
            <w:top w:w="0" w:type="dxa"/>
            <w:left w:w="108" w:type="dxa"/>
            <w:bottom w:w="0" w:type="dxa"/>
            <w:right w:w="108" w:type="dxa"/>
          </w:tblCellMar>
        </w:tblPrEx>
        <w:trPr>
          <w:trHeight w:val="577" w:hRule="atLeast"/>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Style w:val="16"/>
                <w:rFonts w:hint="default" w:ascii="仿宋" w:hAnsi="仿宋" w:eastAsia="仿宋" w:cs="仿宋"/>
                <w:sz w:val="28"/>
                <w:szCs w:val="28"/>
                <w:lang w:bidi="ar"/>
              </w:rPr>
            </w:pPr>
            <w:r>
              <w:rPr>
                <w:rStyle w:val="16"/>
                <w:rFonts w:hint="default" w:ascii="仿宋" w:hAnsi="仿宋" w:eastAsia="仿宋" w:cs="仿宋"/>
                <w:sz w:val="28"/>
                <w:szCs w:val="28"/>
                <w:lang w:bidi="ar"/>
              </w:rPr>
              <w:t>（3）</w:t>
            </w:r>
          </w:p>
        </w:tc>
        <w:tc>
          <w:tcPr>
            <w:tcW w:w="800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sz w:val="28"/>
                <w:szCs w:val="28"/>
              </w:rPr>
            </w:pPr>
            <w:r>
              <w:rPr>
                <w:rFonts w:hint="eastAsia" w:ascii="仿宋" w:hAnsi="仿宋" w:eastAsia="仿宋" w:cs="仿宋"/>
                <w:sz w:val="28"/>
                <w:szCs w:val="28"/>
              </w:rPr>
              <w:t>禁止开展影响河道行洪安全、降低河道行洪标准的相关活动。</w:t>
            </w:r>
          </w:p>
        </w:tc>
      </w:tr>
      <w:tr>
        <w:tblPrEx>
          <w:tblCellMar>
            <w:top w:w="0" w:type="dxa"/>
            <w:left w:w="108" w:type="dxa"/>
            <w:bottom w:w="0" w:type="dxa"/>
            <w:right w:w="108" w:type="dxa"/>
          </w:tblCellMar>
        </w:tblPrEx>
        <w:trPr>
          <w:trHeight w:val="577" w:hRule="atLeast"/>
        </w:trPr>
        <w:tc>
          <w:tcPr>
            <w:tcW w:w="9060"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sz w:val="28"/>
                <w:szCs w:val="28"/>
              </w:rPr>
            </w:pPr>
            <w:r>
              <w:rPr>
                <w:rStyle w:val="17"/>
                <w:rFonts w:hint="eastAsia" w:ascii="仿宋" w:hAnsi="仿宋" w:eastAsia="仿宋" w:cs="仿宋"/>
                <w:b/>
                <w:bCs/>
                <w:lang w:bidi="ar"/>
              </w:rPr>
              <w:t>二、影响水资源类</w:t>
            </w:r>
          </w:p>
        </w:tc>
      </w:tr>
      <w:tr>
        <w:tblPrEx>
          <w:tblCellMar>
            <w:top w:w="0" w:type="dxa"/>
            <w:left w:w="108" w:type="dxa"/>
            <w:bottom w:w="0" w:type="dxa"/>
            <w:right w:w="108" w:type="dxa"/>
          </w:tblCellMar>
        </w:tblPrEx>
        <w:trPr>
          <w:trHeight w:val="577" w:hRule="atLeast"/>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color w:val="000000"/>
                <w:sz w:val="28"/>
                <w:szCs w:val="28"/>
              </w:rPr>
            </w:pPr>
            <w:r>
              <w:rPr>
                <w:rStyle w:val="16"/>
                <w:rFonts w:hint="default" w:ascii="仿宋" w:hAnsi="仿宋" w:eastAsia="仿宋" w:cs="仿宋"/>
                <w:sz w:val="28"/>
                <w:szCs w:val="28"/>
                <w:lang w:bidi="ar"/>
              </w:rPr>
              <w:t>（</w:t>
            </w:r>
            <w:r>
              <w:rPr>
                <w:rStyle w:val="18"/>
                <w:rFonts w:hint="eastAsia" w:ascii="仿宋" w:hAnsi="仿宋" w:eastAsia="仿宋" w:cs="仿宋"/>
                <w:sz w:val="28"/>
                <w:szCs w:val="28"/>
                <w:lang w:bidi="ar"/>
              </w:rPr>
              <w:t>4</w:t>
            </w:r>
            <w:r>
              <w:rPr>
                <w:rStyle w:val="16"/>
                <w:rFonts w:hint="default" w:ascii="仿宋" w:hAnsi="仿宋" w:eastAsia="仿宋" w:cs="仿宋"/>
                <w:sz w:val="28"/>
                <w:szCs w:val="28"/>
                <w:lang w:bidi="ar"/>
              </w:rPr>
              <w:t>）</w:t>
            </w:r>
          </w:p>
        </w:tc>
        <w:tc>
          <w:tcPr>
            <w:tcW w:w="800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color w:val="000000"/>
                <w:sz w:val="28"/>
                <w:szCs w:val="28"/>
              </w:rPr>
            </w:pPr>
            <w:r>
              <w:rPr>
                <w:rFonts w:hint="eastAsia" w:ascii="仿宋" w:hAnsi="仿宋" w:eastAsia="仿宋" w:cs="仿宋"/>
                <w:sz w:val="28"/>
                <w:szCs w:val="28"/>
              </w:rPr>
              <w:t>禁止在水资源紧缺河湖出现高耗水造景情况</w:t>
            </w:r>
            <w:r>
              <w:rPr>
                <w:rStyle w:val="16"/>
                <w:rFonts w:hint="default" w:ascii="仿宋" w:hAnsi="仿宋" w:eastAsia="仿宋" w:cs="仿宋"/>
                <w:sz w:val="28"/>
                <w:szCs w:val="28"/>
                <w:lang w:bidi="ar"/>
              </w:rPr>
              <w:t>。</w:t>
            </w:r>
          </w:p>
        </w:tc>
      </w:tr>
      <w:tr>
        <w:tblPrEx>
          <w:tblCellMar>
            <w:top w:w="0" w:type="dxa"/>
            <w:left w:w="108" w:type="dxa"/>
            <w:bottom w:w="0" w:type="dxa"/>
            <w:right w:w="108" w:type="dxa"/>
          </w:tblCellMar>
        </w:tblPrEx>
        <w:trPr>
          <w:trHeight w:val="702" w:hRule="atLeast"/>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color w:val="000000"/>
                <w:sz w:val="28"/>
                <w:szCs w:val="28"/>
              </w:rPr>
            </w:pPr>
            <w:r>
              <w:rPr>
                <w:rStyle w:val="16"/>
                <w:rFonts w:hint="default" w:ascii="仿宋" w:hAnsi="仿宋" w:eastAsia="仿宋" w:cs="仿宋"/>
                <w:sz w:val="28"/>
                <w:szCs w:val="28"/>
                <w:lang w:bidi="ar"/>
              </w:rPr>
              <w:t>（</w:t>
            </w:r>
            <w:r>
              <w:rPr>
                <w:rStyle w:val="18"/>
                <w:rFonts w:hint="eastAsia" w:ascii="仿宋" w:hAnsi="仿宋" w:eastAsia="仿宋" w:cs="仿宋"/>
                <w:sz w:val="28"/>
                <w:szCs w:val="28"/>
                <w:lang w:bidi="ar"/>
              </w:rPr>
              <w:t>5</w:t>
            </w:r>
            <w:r>
              <w:rPr>
                <w:rStyle w:val="16"/>
                <w:rFonts w:hint="default" w:ascii="仿宋" w:hAnsi="仿宋" w:eastAsia="仿宋" w:cs="仿宋"/>
                <w:sz w:val="28"/>
                <w:szCs w:val="28"/>
                <w:lang w:bidi="ar"/>
              </w:rPr>
              <w:t>）</w:t>
            </w:r>
          </w:p>
        </w:tc>
        <w:tc>
          <w:tcPr>
            <w:tcW w:w="800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color w:val="000000"/>
                <w:sz w:val="28"/>
                <w:szCs w:val="28"/>
              </w:rPr>
            </w:pPr>
            <w:r>
              <w:rPr>
                <w:rStyle w:val="16"/>
                <w:rFonts w:hint="default" w:ascii="仿宋" w:hAnsi="仿宋" w:eastAsia="仿宋" w:cs="仿宋"/>
                <w:sz w:val="28"/>
                <w:szCs w:val="28"/>
                <w:lang w:bidi="ar"/>
              </w:rPr>
              <w:t>禁止在取用水总量已达到或超过控制指标的地级以上市申请新增取水的开发利用项目。</w:t>
            </w:r>
          </w:p>
        </w:tc>
      </w:tr>
      <w:tr>
        <w:tblPrEx>
          <w:tblCellMar>
            <w:top w:w="0" w:type="dxa"/>
            <w:left w:w="108" w:type="dxa"/>
            <w:bottom w:w="0" w:type="dxa"/>
            <w:right w:w="108" w:type="dxa"/>
          </w:tblCellMar>
        </w:tblPrEx>
        <w:trPr>
          <w:trHeight w:val="1500" w:hRule="atLeast"/>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color w:val="000000"/>
                <w:sz w:val="28"/>
                <w:szCs w:val="28"/>
              </w:rPr>
            </w:pPr>
            <w:r>
              <w:rPr>
                <w:rStyle w:val="16"/>
                <w:rFonts w:hint="default" w:ascii="仿宋" w:hAnsi="仿宋" w:eastAsia="仿宋" w:cs="仿宋"/>
                <w:sz w:val="28"/>
                <w:szCs w:val="28"/>
                <w:lang w:bidi="ar"/>
              </w:rPr>
              <w:t>（</w:t>
            </w:r>
            <w:r>
              <w:rPr>
                <w:rStyle w:val="18"/>
                <w:rFonts w:hint="eastAsia" w:ascii="仿宋" w:hAnsi="仿宋" w:eastAsia="仿宋" w:cs="仿宋"/>
                <w:sz w:val="28"/>
                <w:szCs w:val="28"/>
                <w:lang w:bidi="ar"/>
              </w:rPr>
              <w:t>6</w:t>
            </w:r>
            <w:r>
              <w:rPr>
                <w:rStyle w:val="16"/>
                <w:rFonts w:hint="default" w:ascii="仿宋" w:hAnsi="仿宋" w:eastAsia="仿宋" w:cs="仿宋"/>
                <w:sz w:val="28"/>
                <w:szCs w:val="28"/>
                <w:lang w:bidi="ar"/>
              </w:rPr>
              <w:t>）</w:t>
            </w:r>
          </w:p>
        </w:tc>
        <w:tc>
          <w:tcPr>
            <w:tcW w:w="800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color w:val="000000"/>
                <w:sz w:val="28"/>
                <w:szCs w:val="28"/>
              </w:rPr>
            </w:pPr>
            <w:r>
              <w:rPr>
                <w:rStyle w:val="16"/>
                <w:rFonts w:hint="default" w:ascii="仿宋" w:hAnsi="仿宋" w:eastAsia="仿宋" w:cs="仿宋"/>
                <w:sz w:val="28"/>
                <w:szCs w:val="28"/>
                <w:lang w:bidi="ar"/>
              </w:rPr>
              <w:t>禁止不符合国家产业政策或列入国家产业结构调整指导目录中淘汰类的，产品不符合行业用水定额标准的，在地表水供水管网能够满足用水需要却通过自备取水设施取用地下水的，以及在地下水禁采、限采地区取用地下水的建设项目申请取用水。</w:t>
            </w:r>
          </w:p>
        </w:tc>
      </w:tr>
      <w:tr>
        <w:tblPrEx>
          <w:tblCellMar>
            <w:top w:w="0" w:type="dxa"/>
            <w:left w:w="108" w:type="dxa"/>
            <w:bottom w:w="0" w:type="dxa"/>
            <w:right w:w="108" w:type="dxa"/>
          </w:tblCellMar>
        </w:tblPrEx>
        <w:trPr>
          <w:trHeight w:val="577" w:hRule="atLeast"/>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color w:val="000000"/>
                <w:sz w:val="28"/>
                <w:szCs w:val="28"/>
              </w:rPr>
            </w:pPr>
            <w:r>
              <w:rPr>
                <w:rStyle w:val="16"/>
                <w:rFonts w:hint="default" w:ascii="仿宋" w:hAnsi="仿宋" w:eastAsia="仿宋" w:cs="仿宋"/>
                <w:sz w:val="28"/>
                <w:szCs w:val="28"/>
                <w:lang w:bidi="ar"/>
              </w:rPr>
              <w:t>（</w:t>
            </w:r>
            <w:r>
              <w:rPr>
                <w:rStyle w:val="18"/>
                <w:rFonts w:hint="eastAsia" w:ascii="仿宋" w:hAnsi="仿宋" w:eastAsia="仿宋" w:cs="仿宋"/>
                <w:sz w:val="28"/>
                <w:szCs w:val="28"/>
                <w:lang w:bidi="ar"/>
              </w:rPr>
              <w:t>7</w:t>
            </w:r>
            <w:r>
              <w:rPr>
                <w:rStyle w:val="16"/>
                <w:rFonts w:hint="default" w:ascii="仿宋" w:hAnsi="仿宋" w:eastAsia="仿宋" w:cs="仿宋"/>
                <w:sz w:val="28"/>
                <w:szCs w:val="28"/>
                <w:lang w:bidi="ar"/>
              </w:rPr>
              <w:t>）</w:t>
            </w:r>
          </w:p>
        </w:tc>
        <w:tc>
          <w:tcPr>
            <w:tcW w:w="800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color w:val="000000"/>
                <w:sz w:val="28"/>
                <w:szCs w:val="28"/>
              </w:rPr>
            </w:pPr>
            <w:r>
              <w:rPr>
                <w:rStyle w:val="16"/>
                <w:rFonts w:hint="default" w:ascii="仿宋" w:hAnsi="仿宋" w:eastAsia="仿宋" w:cs="仿宋"/>
                <w:sz w:val="28"/>
                <w:szCs w:val="28"/>
                <w:lang w:bidi="ar"/>
              </w:rPr>
              <w:t>禁止任何单位和个人未经许可自行取用地表水。</w:t>
            </w:r>
          </w:p>
        </w:tc>
      </w:tr>
      <w:tr>
        <w:tblPrEx>
          <w:tblCellMar>
            <w:top w:w="0" w:type="dxa"/>
            <w:left w:w="108" w:type="dxa"/>
            <w:bottom w:w="0" w:type="dxa"/>
            <w:right w:w="108" w:type="dxa"/>
          </w:tblCellMar>
        </w:tblPrEx>
        <w:trPr>
          <w:trHeight w:val="577" w:hRule="atLeast"/>
        </w:trPr>
        <w:tc>
          <w:tcPr>
            <w:tcW w:w="9060"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b/>
                <w:bCs/>
                <w:color w:val="000000"/>
                <w:sz w:val="28"/>
                <w:szCs w:val="28"/>
              </w:rPr>
            </w:pPr>
            <w:r>
              <w:rPr>
                <w:rStyle w:val="17"/>
                <w:rFonts w:hint="eastAsia" w:ascii="仿宋" w:hAnsi="仿宋" w:eastAsia="仿宋" w:cs="仿宋"/>
                <w:b/>
                <w:bCs/>
                <w:lang w:bidi="ar"/>
              </w:rPr>
              <w:t>三、破坏水生态环境类</w:t>
            </w:r>
          </w:p>
        </w:tc>
      </w:tr>
      <w:tr>
        <w:tblPrEx>
          <w:tblCellMar>
            <w:top w:w="0" w:type="dxa"/>
            <w:left w:w="108" w:type="dxa"/>
            <w:bottom w:w="0" w:type="dxa"/>
            <w:right w:w="108" w:type="dxa"/>
          </w:tblCellMar>
        </w:tblPrEx>
        <w:trPr>
          <w:trHeight w:val="577" w:hRule="atLeast"/>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color w:val="000000"/>
                <w:sz w:val="28"/>
                <w:szCs w:val="28"/>
              </w:rPr>
            </w:pPr>
            <w:r>
              <w:rPr>
                <w:rStyle w:val="16"/>
                <w:rFonts w:hint="default" w:ascii="仿宋" w:hAnsi="仿宋" w:eastAsia="仿宋" w:cs="仿宋"/>
                <w:sz w:val="28"/>
                <w:szCs w:val="28"/>
                <w:lang w:bidi="ar"/>
              </w:rPr>
              <w:t>（</w:t>
            </w:r>
            <w:r>
              <w:rPr>
                <w:rStyle w:val="18"/>
                <w:rFonts w:hint="eastAsia" w:ascii="仿宋" w:hAnsi="仿宋" w:eastAsia="仿宋" w:cs="仿宋"/>
                <w:sz w:val="28"/>
                <w:szCs w:val="28"/>
                <w:lang w:bidi="ar"/>
              </w:rPr>
              <w:t>8</w:t>
            </w:r>
            <w:r>
              <w:rPr>
                <w:rStyle w:val="16"/>
                <w:rFonts w:hint="default" w:ascii="仿宋" w:hAnsi="仿宋" w:eastAsia="仿宋" w:cs="仿宋"/>
                <w:sz w:val="28"/>
                <w:szCs w:val="28"/>
                <w:lang w:bidi="ar"/>
              </w:rPr>
              <w:t>）</w:t>
            </w:r>
          </w:p>
        </w:tc>
        <w:tc>
          <w:tcPr>
            <w:tcW w:w="800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color w:val="000000"/>
                <w:sz w:val="28"/>
                <w:szCs w:val="28"/>
              </w:rPr>
            </w:pPr>
            <w:r>
              <w:rPr>
                <w:rStyle w:val="16"/>
                <w:rFonts w:hint="default" w:ascii="仿宋" w:hAnsi="仿宋" w:eastAsia="仿宋" w:cs="仿宋"/>
                <w:sz w:val="28"/>
                <w:szCs w:val="28"/>
                <w:lang w:bidi="ar"/>
              </w:rPr>
              <w:t>禁止因河湖空间</w:t>
            </w:r>
            <w:r>
              <w:rPr>
                <w:rStyle w:val="16"/>
                <w:rFonts w:ascii="仿宋" w:hAnsi="仿宋" w:eastAsia="仿宋" w:cs="仿宋"/>
                <w:sz w:val="28"/>
                <w:szCs w:val="28"/>
                <w:lang w:bidi="ar"/>
              </w:rPr>
              <w:t>保护利用</w:t>
            </w:r>
            <w:r>
              <w:rPr>
                <w:rStyle w:val="16"/>
                <w:rFonts w:hint="default" w:ascii="仿宋" w:hAnsi="仿宋" w:eastAsia="仿宋" w:cs="仿宋"/>
                <w:sz w:val="28"/>
                <w:szCs w:val="28"/>
                <w:lang w:bidi="ar"/>
              </w:rPr>
              <w:t>建设及活动导致河湖水质下降。</w:t>
            </w:r>
          </w:p>
        </w:tc>
      </w:tr>
      <w:tr>
        <w:tblPrEx>
          <w:tblCellMar>
            <w:top w:w="0" w:type="dxa"/>
            <w:left w:w="108" w:type="dxa"/>
            <w:bottom w:w="0" w:type="dxa"/>
            <w:right w:w="108" w:type="dxa"/>
          </w:tblCellMar>
        </w:tblPrEx>
        <w:trPr>
          <w:trHeight w:val="1502" w:hRule="atLeast"/>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color w:val="000000"/>
                <w:sz w:val="28"/>
                <w:szCs w:val="28"/>
              </w:rPr>
            </w:pPr>
            <w:r>
              <w:rPr>
                <w:rStyle w:val="16"/>
                <w:rFonts w:hint="default" w:ascii="仿宋" w:hAnsi="仿宋" w:eastAsia="仿宋" w:cs="仿宋"/>
                <w:sz w:val="28"/>
                <w:szCs w:val="28"/>
                <w:lang w:bidi="ar"/>
              </w:rPr>
              <w:t>（</w:t>
            </w:r>
            <w:r>
              <w:rPr>
                <w:rStyle w:val="18"/>
                <w:rFonts w:hint="eastAsia" w:ascii="仿宋" w:hAnsi="仿宋" w:eastAsia="仿宋" w:cs="仿宋"/>
                <w:sz w:val="28"/>
                <w:szCs w:val="28"/>
                <w:lang w:bidi="ar"/>
              </w:rPr>
              <w:t>9</w:t>
            </w:r>
            <w:r>
              <w:rPr>
                <w:rStyle w:val="16"/>
                <w:rFonts w:hint="default" w:ascii="仿宋" w:hAnsi="仿宋" w:eastAsia="仿宋" w:cs="仿宋"/>
                <w:sz w:val="28"/>
                <w:szCs w:val="28"/>
                <w:lang w:bidi="ar"/>
              </w:rPr>
              <w:t>）</w:t>
            </w:r>
          </w:p>
        </w:tc>
        <w:tc>
          <w:tcPr>
            <w:tcW w:w="800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color w:val="000000"/>
                <w:sz w:val="28"/>
                <w:szCs w:val="28"/>
              </w:rPr>
            </w:pPr>
            <w:r>
              <w:rPr>
                <w:rStyle w:val="16"/>
                <w:rFonts w:hint="default" w:ascii="仿宋" w:hAnsi="仿宋" w:eastAsia="仿宋" w:cs="仿宋"/>
                <w:sz w:val="28"/>
                <w:szCs w:val="28"/>
                <w:lang w:bidi="ar"/>
              </w:rPr>
              <w:t>禁止在一级饮用水水源地保护区内新建、改建、扩建与供水设施和保护水源无关的建设项目及网箱养殖、投饵式养殖、旅游、游泳、垂钓、及其他可能污染水源的活动；不得在二级饮用水水源地保护区内新建、改建、扩建排放污染物的建设项目，不得在饮用水水源准保护区内新建、扩建对水体污染严重的建设项目。</w:t>
            </w:r>
          </w:p>
        </w:tc>
      </w:tr>
      <w:tr>
        <w:tblPrEx>
          <w:tblCellMar>
            <w:top w:w="0" w:type="dxa"/>
            <w:left w:w="108" w:type="dxa"/>
            <w:bottom w:w="0" w:type="dxa"/>
            <w:right w:w="108" w:type="dxa"/>
          </w:tblCellMar>
        </w:tblPrEx>
        <w:trPr>
          <w:trHeight w:val="750" w:hRule="atLeast"/>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color w:val="000000"/>
                <w:sz w:val="28"/>
                <w:szCs w:val="28"/>
              </w:rPr>
            </w:pPr>
            <w:r>
              <w:rPr>
                <w:rStyle w:val="16"/>
                <w:rFonts w:hint="default" w:ascii="仿宋" w:hAnsi="仿宋" w:eastAsia="仿宋" w:cs="仿宋"/>
                <w:sz w:val="28"/>
                <w:szCs w:val="28"/>
                <w:lang w:bidi="ar"/>
              </w:rPr>
              <w:t>（</w:t>
            </w:r>
            <w:r>
              <w:rPr>
                <w:rStyle w:val="18"/>
                <w:rFonts w:hint="eastAsia" w:ascii="仿宋" w:hAnsi="仿宋" w:eastAsia="仿宋" w:cs="仿宋"/>
                <w:sz w:val="28"/>
                <w:szCs w:val="28"/>
                <w:lang w:bidi="ar"/>
              </w:rPr>
              <w:t>10</w:t>
            </w:r>
            <w:r>
              <w:rPr>
                <w:rStyle w:val="16"/>
                <w:rFonts w:hint="default" w:ascii="仿宋" w:hAnsi="仿宋" w:eastAsia="仿宋" w:cs="仿宋"/>
                <w:sz w:val="28"/>
                <w:szCs w:val="28"/>
                <w:lang w:bidi="ar"/>
              </w:rPr>
              <w:t>）</w:t>
            </w:r>
          </w:p>
        </w:tc>
        <w:tc>
          <w:tcPr>
            <w:tcW w:w="800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color w:val="000000"/>
                <w:sz w:val="28"/>
                <w:szCs w:val="28"/>
              </w:rPr>
            </w:pPr>
            <w:r>
              <w:rPr>
                <w:rStyle w:val="16"/>
                <w:rFonts w:hint="default" w:ascii="仿宋" w:hAnsi="仿宋" w:eastAsia="仿宋" w:cs="仿宋"/>
                <w:sz w:val="28"/>
                <w:szCs w:val="28"/>
                <w:lang w:bidi="ar"/>
              </w:rPr>
              <w:t>禁止实施破坏河流自然形态、侵占生物栖息地、破坏生物多样性等损害水生态的建设及相关活动。</w:t>
            </w:r>
          </w:p>
        </w:tc>
      </w:tr>
      <w:tr>
        <w:tblPrEx>
          <w:tblCellMar>
            <w:top w:w="0" w:type="dxa"/>
            <w:left w:w="108" w:type="dxa"/>
            <w:bottom w:w="0" w:type="dxa"/>
            <w:right w:w="108" w:type="dxa"/>
          </w:tblCellMar>
        </w:tblPrEx>
        <w:trPr>
          <w:trHeight w:val="577" w:hRule="atLeast"/>
        </w:trPr>
        <w:tc>
          <w:tcPr>
            <w:tcW w:w="9060"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b/>
                <w:bCs/>
                <w:color w:val="000000"/>
                <w:sz w:val="28"/>
                <w:szCs w:val="28"/>
              </w:rPr>
            </w:pPr>
            <w:r>
              <w:rPr>
                <w:rStyle w:val="17"/>
                <w:rFonts w:hint="eastAsia" w:ascii="仿宋" w:hAnsi="仿宋" w:eastAsia="仿宋" w:cs="仿宋"/>
                <w:b/>
                <w:bCs/>
                <w:lang w:bidi="ar"/>
              </w:rPr>
              <w:t>四、危及水工程安全类</w:t>
            </w:r>
          </w:p>
        </w:tc>
      </w:tr>
      <w:tr>
        <w:tblPrEx>
          <w:tblCellMar>
            <w:top w:w="0" w:type="dxa"/>
            <w:left w:w="108" w:type="dxa"/>
            <w:bottom w:w="0" w:type="dxa"/>
            <w:right w:w="108" w:type="dxa"/>
          </w:tblCellMar>
        </w:tblPrEx>
        <w:trPr>
          <w:trHeight w:val="577" w:hRule="atLeast"/>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color w:val="000000"/>
                <w:sz w:val="28"/>
                <w:szCs w:val="28"/>
              </w:rPr>
            </w:pPr>
            <w:r>
              <w:rPr>
                <w:rStyle w:val="16"/>
                <w:rFonts w:hint="default" w:ascii="仿宋" w:hAnsi="仿宋" w:eastAsia="仿宋" w:cs="仿宋"/>
                <w:sz w:val="28"/>
                <w:szCs w:val="28"/>
                <w:lang w:bidi="ar"/>
              </w:rPr>
              <w:t>（</w:t>
            </w:r>
            <w:r>
              <w:rPr>
                <w:rStyle w:val="18"/>
                <w:rFonts w:hint="eastAsia" w:ascii="仿宋" w:hAnsi="仿宋" w:eastAsia="仿宋" w:cs="仿宋"/>
                <w:sz w:val="28"/>
                <w:szCs w:val="28"/>
                <w:lang w:bidi="ar"/>
              </w:rPr>
              <w:t>11</w:t>
            </w:r>
            <w:r>
              <w:rPr>
                <w:rStyle w:val="16"/>
                <w:rFonts w:hint="default" w:ascii="仿宋" w:hAnsi="仿宋" w:eastAsia="仿宋" w:cs="仿宋"/>
                <w:sz w:val="28"/>
                <w:szCs w:val="28"/>
                <w:lang w:bidi="ar"/>
              </w:rPr>
              <w:t>）</w:t>
            </w:r>
          </w:p>
        </w:tc>
        <w:tc>
          <w:tcPr>
            <w:tcW w:w="800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color w:val="000000"/>
                <w:sz w:val="28"/>
                <w:szCs w:val="28"/>
              </w:rPr>
            </w:pPr>
            <w:r>
              <w:rPr>
                <w:rStyle w:val="16"/>
                <w:rFonts w:hint="default" w:ascii="仿宋" w:hAnsi="仿宋" w:eastAsia="仿宋" w:cs="仿宋"/>
                <w:sz w:val="28"/>
                <w:szCs w:val="28"/>
                <w:lang w:bidi="ar"/>
              </w:rPr>
              <w:t>禁止违法违规征占水利工程管理范围内的土地和水域。</w:t>
            </w:r>
          </w:p>
        </w:tc>
      </w:tr>
      <w:tr>
        <w:tblPrEx>
          <w:tblCellMar>
            <w:top w:w="0" w:type="dxa"/>
            <w:left w:w="108" w:type="dxa"/>
            <w:bottom w:w="0" w:type="dxa"/>
            <w:right w:w="108" w:type="dxa"/>
          </w:tblCellMar>
        </w:tblPrEx>
        <w:trPr>
          <w:trHeight w:val="750" w:hRule="atLeast"/>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color w:val="000000"/>
                <w:sz w:val="28"/>
                <w:szCs w:val="28"/>
              </w:rPr>
            </w:pPr>
            <w:r>
              <w:rPr>
                <w:rStyle w:val="16"/>
                <w:rFonts w:hint="default" w:ascii="仿宋" w:hAnsi="仿宋" w:eastAsia="仿宋" w:cs="仿宋"/>
                <w:sz w:val="28"/>
                <w:szCs w:val="28"/>
                <w:lang w:bidi="ar"/>
              </w:rPr>
              <w:t>（</w:t>
            </w:r>
            <w:r>
              <w:rPr>
                <w:rStyle w:val="18"/>
                <w:rFonts w:hint="eastAsia" w:ascii="仿宋" w:hAnsi="仿宋" w:eastAsia="仿宋" w:cs="仿宋"/>
                <w:sz w:val="28"/>
                <w:szCs w:val="28"/>
                <w:lang w:bidi="ar"/>
              </w:rPr>
              <w:t>12</w:t>
            </w:r>
            <w:r>
              <w:rPr>
                <w:rStyle w:val="16"/>
                <w:rFonts w:hint="default" w:ascii="仿宋" w:hAnsi="仿宋" w:eastAsia="仿宋" w:cs="仿宋"/>
                <w:sz w:val="28"/>
                <w:szCs w:val="28"/>
                <w:lang w:bidi="ar"/>
              </w:rPr>
              <w:t>）</w:t>
            </w:r>
          </w:p>
        </w:tc>
        <w:tc>
          <w:tcPr>
            <w:tcW w:w="800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Style w:val="16"/>
                <w:rFonts w:hint="default" w:ascii="仿宋" w:hAnsi="仿宋" w:eastAsia="仿宋" w:cs="仿宋"/>
                <w:sz w:val="28"/>
                <w:szCs w:val="28"/>
                <w:lang w:bidi="ar"/>
              </w:rPr>
            </w:pPr>
            <w:r>
              <w:rPr>
                <w:rStyle w:val="16"/>
                <w:rFonts w:hint="default" w:ascii="仿宋" w:hAnsi="仿宋" w:eastAsia="仿宋" w:cs="仿宋"/>
                <w:sz w:val="28"/>
                <w:szCs w:val="28"/>
                <w:lang w:bidi="ar"/>
              </w:rPr>
              <w:t>禁止兴建影响水利工程安全与正常运行的建筑物和其他设施，禁止开展影响水利工程安全与正常运行的相关活动。</w:t>
            </w:r>
          </w:p>
        </w:tc>
      </w:tr>
      <w:tr>
        <w:tblPrEx>
          <w:tblCellMar>
            <w:top w:w="0" w:type="dxa"/>
            <w:left w:w="108" w:type="dxa"/>
            <w:bottom w:w="0" w:type="dxa"/>
            <w:right w:w="108" w:type="dxa"/>
          </w:tblCellMar>
        </w:tblPrEx>
        <w:trPr>
          <w:trHeight w:val="580" w:hRule="atLeast"/>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Style w:val="16"/>
                <w:rFonts w:hint="default" w:ascii="仿宋" w:hAnsi="仿宋" w:eastAsia="仿宋" w:cs="仿宋"/>
                <w:sz w:val="28"/>
                <w:szCs w:val="28"/>
                <w:lang w:bidi="ar"/>
              </w:rPr>
            </w:pPr>
            <w:r>
              <w:rPr>
                <w:rStyle w:val="16"/>
                <w:rFonts w:hint="default" w:ascii="仿宋" w:hAnsi="仿宋" w:eastAsia="仿宋" w:cs="仿宋"/>
                <w:sz w:val="28"/>
                <w:szCs w:val="28"/>
                <w:lang w:bidi="ar"/>
              </w:rPr>
              <w:t>（13）</w:t>
            </w:r>
          </w:p>
        </w:tc>
        <w:tc>
          <w:tcPr>
            <w:tcW w:w="800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Style w:val="16"/>
                <w:rFonts w:hint="default" w:ascii="仿宋" w:hAnsi="仿宋" w:eastAsia="仿宋" w:cs="仿宋"/>
                <w:sz w:val="28"/>
                <w:szCs w:val="28"/>
                <w:lang w:bidi="ar"/>
              </w:rPr>
            </w:pPr>
            <w:r>
              <w:rPr>
                <w:rStyle w:val="16"/>
                <w:rFonts w:hint="default" w:ascii="仿宋" w:hAnsi="仿宋" w:eastAsia="仿宋" w:cs="仿宋"/>
                <w:sz w:val="28"/>
                <w:szCs w:val="28"/>
                <w:lang w:bidi="ar"/>
              </w:rPr>
              <w:t>禁止影响水文、水质自动监测站正常运行的。</w:t>
            </w:r>
          </w:p>
        </w:tc>
      </w:tr>
      <w:tr>
        <w:tblPrEx>
          <w:tblCellMar>
            <w:top w:w="0" w:type="dxa"/>
            <w:left w:w="108" w:type="dxa"/>
            <w:bottom w:w="0" w:type="dxa"/>
            <w:right w:w="108" w:type="dxa"/>
          </w:tblCellMar>
        </w:tblPrEx>
        <w:trPr>
          <w:trHeight w:val="577" w:hRule="atLeast"/>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color w:val="000000"/>
                <w:sz w:val="28"/>
                <w:szCs w:val="28"/>
              </w:rPr>
            </w:pPr>
            <w:r>
              <w:rPr>
                <w:rStyle w:val="16"/>
                <w:rFonts w:hint="default" w:ascii="仿宋" w:hAnsi="仿宋" w:eastAsia="仿宋" w:cs="仿宋"/>
                <w:sz w:val="28"/>
                <w:szCs w:val="28"/>
                <w:lang w:bidi="ar"/>
              </w:rPr>
              <w:t>（</w:t>
            </w:r>
            <w:r>
              <w:rPr>
                <w:rStyle w:val="18"/>
                <w:rFonts w:hint="eastAsia" w:ascii="仿宋" w:hAnsi="仿宋" w:eastAsia="仿宋" w:cs="仿宋"/>
                <w:sz w:val="28"/>
                <w:szCs w:val="28"/>
                <w:lang w:bidi="ar"/>
              </w:rPr>
              <w:t>14</w:t>
            </w:r>
            <w:r>
              <w:rPr>
                <w:rStyle w:val="16"/>
                <w:rFonts w:hint="default" w:ascii="仿宋" w:hAnsi="仿宋" w:eastAsia="仿宋" w:cs="仿宋"/>
                <w:sz w:val="28"/>
                <w:szCs w:val="28"/>
                <w:lang w:bidi="ar"/>
              </w:rPr>
              <w:t>）</w:t>
            </w:r>
          </w:p>
        </w:tc>
        <w:tc>
          <w:tcPr>
            <w:tcW w:w="800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color w:val="000000"/>
                <w:sz w:val="28"/>
                <w:szCs w:val="28"/>
              </w:rPr>
            </w:pPr>
            <w:r>
              <w:rPr>
                <w:rStyle w:val="16"/>
                <w:rFonts w:hint="default" w:ascii="仿宋" w:hAnsi="仿宋" w:eastAsia="仿宋" w:cs="仿宋"/>
                <w:sz w:val="28"/>
                <w:szCs w:val="28"/>
                <w:lang w:bidi="ar"/>
              </w:rPr>
              <w:t>禁止导致水利工程设施出现重大安全隐患的任何建设及活动。</w:t>
            </w:r>
          </w:p>
        </w:tc>
      </w:tr>
      <w:tr>
        <w:tblPrEx>
          <w:tblCellMar>
            <w:top w:w="0" w:type="dxa"/>
            <w:left w:w="108" w:type="dxa"/>
            <w:bottom w:w="0" w:type="dxa"/>
            <w:right w:w="108" w:type="dxa"/>
          </w:tblCellMar>
        </w:tblPrEx>
        <w:trPr>
          <w:trHeight w:val="577" w:hRule="atLeast"/>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Style w:val="16"/>
                <w:rFonts w:hint="default" w:ascii="仿宋" w:hAnsi="仿宋" w:eastAsia="仿宋" w:cs="仿宋"/>
                <w:sz w:val="28"/>
                <w:szCs w:val="28"/>
                <w:lang w:bidi="ar"/>
              </w:rPr>
            </w:pPr>
            <w:r>
              <w:rPr>
                <w:rStyle w:val="16"/>
                <w:rFonts w:hint="default" w:ascii="仿宋" w:hAnsi="仿宋" w:eastAsia="仿宋" w:cs="仿宋"/>
                <w:sz w:val="28"/>
                <w:szCs w:val="28"/>
                <w:lang w:bidi="ar"/>
              </w:rPr>
              <w:t>（</w:t>
            </w:r>
            <w:r>
              <w:rPr>
                <w:rStyle w:val="18"/>
                <w:rFonts w:hint="eastAsia" w:ascii="仿宋" w:hAnsi="仿宋" w:eastAsia="仿宋" w:cs="仿宋"/>
                <w:sz w:val="28"/>
                <w:szCs w:val="28"/>
                <w:lang w:bidi="ar"/>
              </w:rPr>
              <w:t>15</w:t>
            </w:r>
            <w:r>
              <w:rPr>
                <w:rStyle w:val="16"/>
                <w:rFonts w:hint="default" w:ascii="仿宋" w:hAnsi="仿宋" w:eastAsia="仿宋" w:cs="仿宋"/>
                <w:sz w:val="28"/>
                <w:szCs w:val="28"/>
                <w:lang w:bidi="ar"/>
              </w:rPr>
              <w:t>）</w:t>
            </w:r>
          </w:p>
        </w:tc>
        <w:tc>
          <w:tcPr>
            <w:tcW w:w="800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Style w:val="16"/>
                <w:rFonts w:hint="default" w:ascii="仿宋" w:hAnsi="仿宋" w:eastAsia="仿宋" w:cs="仿宋"/>
                <w:sz w:val="28"/>
                <w:szCs w:val="28"/>
                <w:lang w:bidi="ar"/>
              </w:rPr>
            </w:pPr>
            <w:r>
              <w:rPr>
                <w:rStyle w:val="16"/>
                <w:rFonts w:hint="default" w:ascii="仿宋" w:hAnsi="仿宋" w:eastAsia="仿宋" w:cs="仿宋"/>
                <w:sz w:val="28"/>
                <w:szCs w:val="28"/>
                <w:lang w:bidi="ar"/>
              </w:rPr>
              <w:t>禁止破坏水文化遗存遗迹及水利遗产。</w:t>
            </w:r>
          </w:p>
        </w:tc>
      </w:tr>
      <w:tr>
        <w:tblPrEx>
          <w:tblCellMar>
            <w:top w:w="0" w:type="dxa"/>
            <w:left w:w="108" w:type="dxa"/>
            <w:bottom w:w="0" w:type="dxa"/>
            <w:right w:w="108" w:type="dxa"/>
          </w:tblCellMar>
        </w:tblPrEx>
        <w:trPr>
          <w:trHeight w:val="577" w:hRule="atLeast"/>
        </w:trPr>
        <w:tc>
          <w:tcPr>
            <w:tcW w:w="9060"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b/>
                <w:bCs/>
                <w:color w:val="000000"/>
                <w:sz w:val="28"/>
                <w:szCs w:val="28"/>
              </w:rPr>
            </w:pPr>
            <w:r>
              <w:rPr>
                <w:rStyle w:val="18"/>
                <w:rFonts w:hint="eastAsia" w:ascii="仿宋" w:hAnsi="仿宋" w:eastAsia="仿宋" w:cs="仿宋"/>
                <w:b/>
                <w:bCs/>
                <w:sz w:val="28"/>
                <w:szCs w:val="28"/>
                <w:lang w:bidi="ar"/>
              </w:rPr>
              <w:t>五、河湖水域</w:t>
            </w:r>
            <w:r>
              <w:rPr>
                <w:rStyle w:val="16"/>
                <w:rFonts w:hint="default" w:ascii="仿宋" w:hAnsi="仿宋" w:eastAsia="仿宋" w:cs="仿宋"/>
                <w:b/>
                <w:bCs/>
                <w:sz w:val="28"/>
                <w:szCs w:val="28"/>
                <w:lang w:bidi="ar"/>
              </w:rPr>
              <w:t>岸线保护</w:t>
            </w:r>
          </w:p>
        </w:tc>
      </w:tr>
      <w:tr>
        <w:tblPrEx>
          <w:tblCellMar>
            <w:top w:w="0" w:type="dxa"/>
            <w:left w:w="108" w:type="dxa"/>
            <w:bottom w:w="0" w:type="dxa"/>
            <w:right w:w="108" w:type="dxa"/>
          </w:tblCellMar>
        </w:tblPrEx>
        <w:trPr>
          <w:trHeight w:val="605" w:hRule="atLeast"/>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color w:val="000000"/>
                <w:sz w:val="28"/>
                <w:szCs w:val="28"/>
              </w:rPr>
            </w:pPr>
            <w:r>
              <w:rPr>
                <w:rStyle w:val="16"/>
                <w:rFonts w:hint="default" w:ascii="仿宋" w:hAnsi="仿宋" w:eastAsia="仿宋" w:cs="仿宋"/>
                <w:sz w:val="28"/>
                <w:szCs w:val="28"/>
                <w:lang w:bidi="ar"/>
              </w:rPr>
              <w:t>（</w:t>
            </w:r>
            <w:r>
              <w:rPr>
                <w:rStyle w:val="18"/>
                <w:rFonts w:hint="eastAsia" w:ascii="仿宋" w:hAnsi="仿宋" w:eastAsia="仿宋" w:cs="仿宋"/>
                <w:sz w:val="28"/>
                <w:szCs w:val="28"/>
                <w:lang w:bidi="ar"/>
              </w:rPr>
              <w:t>16</w:t>
            </w:r>
            <w:r>
              <w:rPr>
                <w:rStyle w:val="16"/>
                <w:rFonts w:hint="default" w:ascii="仿宋" w:hAnsi="仿宋" w:eastAsia="仿宋" w:cs="仿宋"/>
                <w:sz w:val="28"/>
                <w:szCs w:val="28"/>
                <w:lang w:bidi="ar"/>
              </w:rPr>
              <w:t>）</w:t>
            </w:r>
          </w:p>
        </w:tc>
        <w:tc>
          <w:tcPr>
            <w:tcW w:w="8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禁止围湖造地、非法围垦河道及缩窄河道，禁止</w:t>
            </w:r>
            <w:r>
              <w:rPr>
                <w:rFonts w:hint="eastAsia" w:ascii="仿宋" w:hAnsi="仿宋" w:eastAsia="仿宋" w:cs="仿宋"/>
                <w:sz w:val="28"/>
                <w:szCs w:val="28"/>
              </w:rPr>
              <w:t>违法违规</w:t>
            </w:r>
            <w:r>
              <w:rPr>
                <w:rFonts w:hint="eastAsia" w:ascii="仿宋" w:hAnsi="仿宋" w:eastAsia="仿宋" w:cs="仿宋"/>
                <w:color w:val="000000"/>
                <w:sz w:val="28"/>
                <w:szCs w:val="28"/>
              </w:rPr>
              <w:t>侵占耕地挖田造湖、挖湖造景。</w:t>
            </w:r>
          </w:p>
        </w:tc>
      </w:tr>
      <w:tr>
        <w:tblPrEx>
          <w:tblCellMar>
            <w:top w:w="0" w:type="dxa"/>
            <w:left w:w="108" w:type="dxa"/>
            <w:bottom w:w="0" w:type="dxa"/>
            <w:right w:w="108" w:type="dxa"/>
          </w:tblCellMar>
        </w:tblPrEx>
        <w:trPr>
          <w:trHeight w:val="465" w:hRule="atLeast"/>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color w:val="000000"/>
                <w:sz w:val="28"/>
                <w:szCs w:val="28"/>
              </w:rPr>
            </w:pPr>
            <w:r>
              <w:rPr>
                <w:rStyle w:val="16"/>
                <w:rFonts w:hint="default" w:ascii="仿宋" w:hAnsi="仿宋" w:eastAsia="仿宋" w:cs="仿宋"/>
                <w:sz w:val="28"/>
                <w:szCs w:val="28"/>
                <w:lang w:bidi="ar"/>
              </w:rPr>
              <w:t>（</w:t>
            </w:r>
            <w:r>
              <w:rPr>
                <w:rStyle w:val="18"/>
                <w:rFonts w:hint="eastAsia" w:ascii="仿宋" w:hAnsi="仿宋" w:eastAsia="仿宋" w:cs="仿宋"/>
                <w:sz w:val="28"/>
                <w:szCs w:val="28"/>
                <w:lang w:bidi="ar"/>
              </w:rPr>
              <w:t>17</w:t>
            </w:r>
            <w:r>
              <w:rPr>
                <w:rStyle w:val="16"/>
                <w:rFonts w:hint="default" w:ascii="仿宋" w:hAnsi="仿宋" w:eastAsia="仿宋" w:cs="仿宋"/>
                <w:sz w:val="28"/>
                <w:szCs w:val="28"/>
                <w:lang w:bidi="ar"/>
              </w:rPr>
              <w:t>）</w:t>
            </w:r>
          </w:p>
        </w:tc>
        <w:tc>
          <w:tcPr>
            <w:tcW w:w="8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hint="eastAsia" w:ascii="仿宋" w:hAnsi="仿宋" w:eastAsia="仿宋" w:cs="仿宋"/>
                <w:color w:val="000000"/>
                <w:sz w:val="28"/>
                <w:szCs w:val="28"/>
                <w:lang w:bidi="ar"/>
              </w:rPr>
            </w:pPr>
            <w:r>
              <w:rPr>
                <w:rStyle w:val="16"/>
                <w:rFonts w:hint="default" w:ascii="仿宋" w:hAnsi="仿宋" w:eastAsia="仿宋" w:cs="仿宋"/>
                <w:sz w:val="28"/>
                <w:szCs w:val="28"/>
                <w:lang w:bidi="ar"/>
              </w:rPr>
              <w:t>禁止破坏耕地，禁止以开展</w:t>
            </w:r>
            <w:r>
              <w:rPr>
                <w:rStyle w:val="16"/>
                <w:rFonts w:ascii="仿宋" w:hAnsi="仿宋" w:eastAsia="仿宋" w:cs="仿宋"/>
                <w:sz w:val="28"/>
                <w:szCs w:val="28"/>
                <w:lang w:bidi="ar"/>
              </w:rPr>
              <w:t>岸线利用</w:t>
            </w:r>
            <w:r>
              <w:rPr>
                <w:rStyle w:val="16"/>
                <w:rFonts w:hint="default" w:ascii="仿宋" w:hAnsi="仿宋" w:eastAsia="仿宋" w:cs="仿宋"/>
                <w:sz w:val="28"/>
                <w:szCs w:val="28"/>
                <w:lang w:bidi="ar"/>
              </w:rPr>
              <w:t>项目名义违法违规占用耕地及永久基本农田。</w:t>
            </w:r>
          </w:p>
        </w:tc>
      </w:tr>
      <w:tr>
        <w:tblPrEx>
          <w:tblCellMar>
            <w:top w:w="0" w:type="dxa"/>
            <w:left w:w="108" w:type="dxa"/>
            <w:bottom w:w="0" w:type="dxa"/>
            <w:right w:w="108" w:type="dxa"/>
          </w:tblCellMar>
        </w:tblPrEx>
        <w:trPr>
          <w:trHeight w:val="805" w:hRule="atLeast"/>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Style w:val="16"/>
                <w:rFonts w:hint="default" w:ascii="仿宋" w:hAnsi="仿宋" w:eastAsia="仿宋" w:cs="仿宋"/>
                <w:sz w:val="28"/>
                <w:szCs w:val="28"/>
                <w:lang w:bidi="ar"/>
              </w:rPr>
            </w:pPr>
            <w:r>
              <w:rPr>
                <w:rStyle w:val="16"/>
                <w:rFonts w:hint="default" w:ascii="仿宋" w:hAnsi="仿宋" w:eastAsia="仿宋" w:cs="仿宋"/>
                <w:sz w:val="28"/>
                <w:szCs w:val="28"/>
                <w:lang w:bidi="ar"/>
              </w:rPr>
              <w:t>（</w:t>
            </w:r>
            <w:r>
              <w:rPr>
                <w:rStyle w:val="18"/>
                <w:rFonts w:hint="eastAsia" w:ascii="仿宋" w:hAnsi="仿宋" w:eastAsia="仿宋" w:cs="仿宋"/>
                <w:sz w:val="28"/>
                <w:szCs w:val="28"/>
                <w:lang w:bidi="ar"/>
              </w:rPr>
              <w:t>18</w:t>
            </w:r>
            <w:r>
              <w:rPr>
                <w:rStyle w:val="16"/>
                <w:rFonts w:hint="default" w:ascii="仿宋" w:hAnsi="仿宋" w:eastAsia="仿宋" w:cs="仿宋"/>
                <w:sz w:val="28"/>
                <w:szCs w:val="28"/>
                <w:lang w:bidi="ar"/>
              </w:rPr>
              <w:t>）</w:t>
            </w:r>
          </w:p>
        </w:tc>
        <w:tc>
          <w:tcPr>
            <w:tcW w:w="8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禁止</w:t>
            </w:r>
            <w:r>
              <w:rPr>
                <w:rStyle w:val="16"/>
                <w:rFonts w:hint="default" w:ascii="仿宋" w:hAnsi="仿宋" w:eastAsia="仿宋" w:cs="仿宋"/>
                <w:sz w:val="28"/>
                <w:szCs w:val="28"/>
                <w:lang w:bidi="ar"/>
              </w:rPr>
              <w:t>以风雨廊桥、便民商服等名义在河湖管理范围内开发建设房屋及规模化的商业设施。</w:t>
            </w:r>
          </w:p>
        </w:tc>
      </w:tr>
      <w:tr>
        <w:tblPrEx>
          <w:tblCellMar>
            <w:top w:w="0" w:type="dxa"/>
            <w:left w:w="108" w:type="dxa"/>
            <w:bottom w:w="0" w:type="dxa"/>
            <w:right w:w="108" w:type="dxa"/>
          </w:tblCellMar>
        </w:tblPrEx>
        <w:trPr>
          <w:trHeight w:val="565" w:hRule="atLeast"/>
        </w:trPr>
        <w:tc>
          <w:tcPr>
            <w:tcW w:w="105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28"/>
                <w:szCs w:val="28"/>
              </w:rPr>
            </w:pPr>
            <w:r>
              <w:rPr>
                <w:rFonts w:hint="eastAsia" w:ascii="仿宋" w:hAnsi="仿宋" w:eastAsia="仿宋" w:cs="仿宋"/>
                <w:color w:val="000000"/>
                <w:sz w:val="28"/>
                <w:szCs w:val="28"/>
              </w:rPr>
              <w:t>（19）</w:t>
            </w:r>
          </w:p>
        </w:tc>
        <w:tc>
          <w:tcPr>
            <w:tcW w:w="8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hint="eastAsia" w:ascii="仿宋" w:hAnsi="仿宋" w:eastAsia="仿宋" w:cs="仿宋"/>
                <w:color w:val="000000"/>
                <w:sz w:val="28"/>
                <w:szCs w:val="28"/>
                <w:lang w:bidi="ar"/>
              </w:rPr>
            </w:pPr>
            <w:r>
              <w:rPr>
                <w:rStyle w:val="16"/>
                <w:rFonts w:hint="default" w:ascii="仿宋" w:hAnsi="仿宋" w:eastAsia="仿宋" w:cs="仿宋"/>
                <w:sz w:val="28"/>
                <w:szCs w:val="28"/>
                <w:lang w:bidi="ar"/>
              </w:rPr>
              <w:t>禁止以</w:t>
            </w:r>
            <w:r>
              <w:rPr>
                <w:rStyle w:val="16"/>
                <w:rFonts w:ascii="仿宋" w:hAnsi="仿宋" w:eastAsia="仿宋" w:cs="仿宋"/>
                <w:sz w:val="28"/>
                <w:szCs w:val="28"/>
                <w:lang w:bidi="ar"/>
              </w:rPr>
              <w:t>岸线利用项目</w:t>
            </w:r>
            <w:r>
              <w:rPr>
                <w:rStyle w:val="16"/>
                <w:rFonts w:hint="default" w:ascii="仿宋" w:hAnsi="仿宋" w:eastAsia="仿宋" w:cs="仿宋"/>
                <w:sz w:val="28"/>
                <w:szCs w:val="28"/>
                <w:lang w:bidi="ar"/>
              </w:rPr>
              <w:t>之名大搞景观亮化工程等“政绩工程”“面子工程”。</w:t>
            </w:r>
          </w:p>
        </w:tc>
      </w:tr>
      <w:tr>
        <w:tblPrEx>
          <w:tblCellMar>
            <w:top w:w="0" w:type="dxa"/>
            <w:left w:w="108" w:type="dxa"/>
            <w:bottom w:w="0" w:type="dxa"/>
            <w:right w:w="108" w:type="dxa"/>
          </w:tblCellMar>
        </w:tblPrEx>
        <w:trPr>
          <w:trHeight w:val="577" w:hRule="atLeast"/>
        </w:trPr>
        <w:tc>
          <w:tcPr>
            <w:tcW w:w="9060"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b/>
                <w:bCs/>
                <w:color w:val="000000"/>
                <w:sz w:val="28"/>
                <w:szCs w:val="28"/>
              </w:rPr>
            </w:pPr>
            <w:r>
              <w:rPr>
                <w:rStyle w:val="18"/>
                <w:rFonts w:hint="eastAsia" w:ascii="仿宋" w:hAnsi="仿宋" w:eastAsia="仿宋" w:cs="仿宋"/>
                <w:b/>
                <w:bCs/>
                <w:sz w:val="28"/>
                <w:szCs w:val="28"/>
                <w:lang w:bidi="ar"/>
              </w:rPr>
              <w:t xml:space="preserve">六、运行管理 </w:t>
            </w:r>
          </w:p>
        </w:tc>
      </w:tr>
      <w:tr>
        <w:tblPrEx>
          <w:tblCellMar>
            <w:top w:w="0" w:type="dxa"/>
            <w:left w:w="108" w:type="dxa"/>
            <w:bottom w:w="0" w:type="dxa"/>
            <w:right w:w="108" w:type="dxa"/>
          </w:tblCellMar>
        </w:tblPrEx>
        <w:trPr>
          <w:trHeight w:val="750" w:hRule="atLeast"/>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color w:val="000000"/>
                <w:sz w:val="28"/>
                <w:szCs w:val="28"/>
              </w:rPr>
            </w:pPr>
            <w:r>
              <w:rPr>
                <w:rStyle w:val="16"/>
                <w:rFonts w:hint="default" w:ascii="仿宋" w:hAnsi="仿宋" w:eastAsia="仿宋" w:cs="仿宋"/>
                <w:sz w:val="28"/>
                <w:szCs w:val="28"/>
                <w:lang w:bidi="ar"/>
              </w:rPr>
              <w:t>（</w:t>
            </w:r>
            <w:r>
              <w:rPr>
                <w:rStyle w:val="18"/>
                <w:rFonts w:hint="eastAsia" w:ascii="仿宋" w:hAnsi="仿宋" w:eastAsia="仿宋" w:cs="仿宋"/>
                <w:sz w:val="28"/>
                <w:szCs w:val="28"/>
                <w:lang w:bidi="ar"/>
              </w:rPr>
              <w:t>20</w:t>
            </w:r>
            <w:r>
              <w:rPr>
                <w:rStyle w:val="16"/>
                <w:rFonts w:hint="default" w:ascii="仿宋" w:hAnsi="仿宋" w:eastAsia="仿宋" w:cs="仿宋"/>
                <w:sz w:val="28"/>
                <w:szCs w:val="28"/>
                <w:lang w:bidi="ar"/>
              </w:rPr>
              <w:t>）</w:t>
            </w:r>
          </w:p>
        </w:tc>
        <w:tc>
          <w:tcPr>
            <w:tcW w:w="800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color w:val="000000"/>
                <w:sz w:val="28"/>
                <w:szCs w:val="28"/>
              </w:rPr>
            </w:pPr>
            <w:r>
              <w:rPr>
                <w:rStyle w:val="16"/>
                <w:rFonts w:hint="default" w:ascii="仿宋" w:hAnsi="仿宋" w:eastAsia="仿宋" w:cs="仿宋"/>
                <w:sz w:val="28"/>
                <w:szCs w:val="28"/>
                <w:lang w:bidi="ar"/>
              </w:rPr>
              <w:t>禁止随意排放污水，禁止随意倾倒、抛撒生活垃圾和餐厨垃圾；禁止堆放阻碍行洪或者影响堤防安全的物料，设置阻碍行洪的拦河渔具。</w:t>
            </w:r>
          </w:p>
        </w:tc>
      </w:tr>
      <w:tr>
        <w:tblPrEx>
          <w:tblCellMar>
            <w:top w:w="0" w:type="dxa"/>
            <w:left w:w="108" w:type="dxa"/>
            <w:bottom w:w="0" w:type="dxa"/>
            <w:right w:w="108" w:type="dxa"/>
          </w:tblCellMar>
        </w:tblPrEx>
        <w:trPr>
          <w:trHeight w:val="57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hint="eastAsia" w:ascii="仿宋" w:hAnsi="仿宋" w:eastAsia="仿宋" w:cs="仿宋"/>
                <w:color w:val="000000"/>
                <w:sz w:val="28"/>
                <w:szCs w:val="28"/>
              </w:rPr>
            </w:pPr>
            <w:r>
              <w:rPr>
                <w:rStyle w:val="16"/>
                <w:rFonts w:hint="default" w:ascii="仿宋" w:hAnsi="仿宋" w:eastAsia="仿宋" w:cs="仿宋"/>
                <w:sz w:val="28"/>
                <w:szCs w:val="28"/>
                <w:lang w:bidi="ar"/>
              </w:rPr>
              <w:t>（</w:t>
            </w:r>
            <w:r>
              <w:rPr>
                <w:rStyle w:val="18"/>
                <w:rFonts w:hint="eastAsia" w:ascii="仿宋" w:hAnsi="仿宋" w:eastAsia="仿宋" w:cs="仿宋"/>
                <w:sz w:val="28"/>
                <w:szCs w:val="28"/>
                <w:lang w:bidi="ar"/>
              </w:rPr>
              <w:t>21</w:t>
            </w:r>
            <w:r>
              <w:rPr>
                <w:rStyle w:val="16"/>
                <w:rFonts w:hint="default" w:ascii="仿宋" w:hAnsi="仿宋" w:eastAsia="仿宋" w:cs="仿宋"/>
                <w:sz w:val="28"/>
                <w:szCs w:val="28"/>
                <w:lang w:bidi="ar"/>
              </w:rPr>
              <w:t>）</w:t>
            </w:r>
          </w:p>
        </w:tc>
        <w:tc>
          <w:tcPr>
            <w:tcW w:w="800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Style w:val="16"/>
                <w:rFonts w:hint="default" w:ascii="仿宋" w:hAnsi="仿宋" w:eastAsia="仿宋" w:cs="仿宋"/>
                <w:sz w:val="28"/>
                <w:szCs w:val="28"/>
                <w:lang w:bidi="ar"/>
              </w:rPr>
            </w:pPr>
            <w:r>
              <w:rPr>
                <w:rStyle w:val="16"/>
                <w:rFonts w:hint="default" w:ascii="仿宋" w:hAnsi="仿宋" w:eastAsia="仿宋" w:cs="仿宋"/>
                <w:sz w:val="28"/>
                <w:szCs w:val="28"/>
                <w:lang w:bidi="ar"/>
              </w:rPr>
              <w:t>禁止在未落实安全责任主体、未制定应急预案、安全设施未到位情况下开放运营。</w:t>
            </w:r>
          </w:p>
        </w:tc>
      </w:tr>
      <w:tr>
        <w:tblPrEx>
          <w:tblCellMar>
            <w:top w:w="0" w:type="dxa"/>
            <w:left w:w="108" w:type="dxa"/>
            <w:bottom w:w="0" w:type="dxa"/>
            <w:right w:w="108" w:type="dxa"/>
          </w:tblCellMar>
        </w:tblPrEx>
        <w:trPr>
          <w:trHeight w:val="603"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hint="eastAsia" w:ascii="仿宋" w:hAnsi="仿宋" w:eastAsia="仿宋" w:cs="仿宋"/>
                <w:color w:val="000000"/>
                <w:sz w:val="28"/>
                <w:szCs w:val="28"/>
              </w:rPr>
            </w:pPr>
            <w:r>
              <w:rPr>
                <w:rStyle w:val="16"/>
                <w:rFonts w:hint="default" w:ascii="仿宋" w:hAnsi="仿宋" w:eastAsia="仿宋" w:cs="仿宋"/>
                <w:sz w:val="28"/>
                <w:szCs w:val="28"/>
                <w:lang w:bidi="ar"/>
              </w:rPr>
              <w:t>（</w:t>
            </w:r>
            <w:r>
              <w:rPr>
                <w:rStyle w:val="18"/>
                <w:rFonts w:hint="eastAsia" w:ascii="仿宋" w:hAnsi="仿宋" w:eastAsia="仿宋" w:cs="仿宋"/>
                <w:sz w:val="28"/>
                <w:szCs w:val="28"/>
                <w:lang w:bidi="ar"/>
              </w:rPr>
              <w:t>22</w:t>
            </w:r>
            <w:r>
              <w:rPr>
                <w:rStyle w:val="16"/>
                <w:rFonts w:hint="default" w:ascii="仿宋" w:hAnsi="仿宋" w:eastAsia="仿宋" w:cs="仿宋"/>
                <w:sz w:val="28"/>
                <w:szCs w:val="28"/>
                <w:lang w:bidi="ar"/>
              </w:rPr>
              <w:t>）</w:t>
            </w:r>
          </w:p>
        </w:tc>
        <w:tc>
          <w:tcPr>
            <w:tcW w:w="800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color w:val="000000"/>
                <w:sz w:val="28"/>
                <w:szCs w:val="28"/>
              </w:rPr>
            </w:pPr>
            <w:r>
              <w:rPr>
                <w:rStyle w:val="16"/>
                <w:rFonts w:hint="default" w:ascii="仿宋" w:hAnsi="仿宋" w:eastAsia="仿宋" w:cs="仿宋"/>
                <w:sz w:val="28"/>
                <w:szCs w:val="28"/>
                <w:lang w:bidi="ar"/>
              </w:rPr>
              <w:t>不得擅自经营未经许可或超越许可范围经营的业务。</w:t>
            </w:r>
          </w:p>
        </w:tc>
      </w:tr>
      <w:tr>
        <w:tblPrEx>
          <w:tblCellMar>
            <w:top w:w="0" w:type="dxa"/>
            <w:left w:w="108" w:type="dxa"/>
            <w:bottom w:w="0" w:type="dxa"/>
            <w:right w:w="108" w:type="dxa"/>
          </w:tblCellMar>
        </w:tblPrEx>
        <w:trPr>
          <w:trHeight w:val="59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hint="eastAsia" w:ascii="仿宋" w:hAnsi="仿宋" w:eastAsia="仿宋" w:cs="仿宋"/>
                <w:color w:val="000000"/>
                <w:sz w:val="28"/>
                <w:szCs w:val="28"/>
              </w:rPr>
            </w:pPr>
            <w:r>
              <w:rPr>
                <w:rStyle w:val="16"/>
                <w:rFonts w:hint="default" w:ascii="仿宋" w:hAnsi="仿宋" w:eastAsia="仿宋" w:cs="仿宋"/>
                <w:sz w:val="28"/>
                <w:szCs w:val="28"/>
                <w:lang w:bidi="ar"/>
              </w:rPr>
              <w:t>（</w:t>
            </w:r>
            <w:r>
              <w:rPr>
                <w:rStyle w:val="18"/>
                <w:rFonts w:hint="eastAsia" w:ascii="仿宋" w:hAnsi="仿宋" w:eastAsia="仿宋" w:cs="仿宋"/>
                <w:sz w:val="28"/>
                <w:szCs w:val="28"/>
                <w:lang w:bidi="ar"/>
              </w:rPr>
              <w:t>23</w:t>
            </w:r>
            <w:r>
              <w:rPr>
                <w:rStyle w:val="16"/>
                <w:rFonts w:hint="default" w:ascii="仿宋" w:hAnsi="仿宋" w:eastAsia="仿宋" w:cs="仿宋"/>
                <w:sz w:val="28"/>
                <w:szCs w:val="28"/>
                <w:lang w:bidi="ar"/>
              </w:rPr>
              <w:t>）</w:t>
            </w:r>
          </w:p>
        </w:tc>
        <w:tc>
          <w:tcPr>
            <w:tcW w:w="800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color w:val="000000"/>
                <w:sz w:val="28"/>
                <w:szCs w:val="28"/>
              </w:rPr>
            </w:pPr>
            <w:r>
              <w:rPr>
                <w:rStyle w:val="16"/>
                <w:rFonts w:hint="default" w:ascii="仿宋" w:hAnsi="仿宋" w:eastAsia="仿宋" w:cs="仿宋"/>
                <w:sz w:val="28"/>
                <w:szCs w:val="28"/>
                <w:lang w:bidi="ar"/>
              </w:rPr>
              <w:t>存在严重不良舆情且尚未得到妥善解决、列入全国失信执行</w:t>
            </w:r>
            <w:bookmarkStart w:id="0" w:name="OLE_LINK9"/>
            <w:r>
              <w:rPr>
                <w:rStyle w:val="16"/>
                <w:rFonts w:hint="default" w:ascii="仿宋" w:hAnsi="仿宋" w:eastAsia="仿宋" w:cs="仿宋"/>
                <w:sz w:val="28"/>
                <w:szCs w:val="28"/>
                <w:lang w:bidi="ar"/>
              </w:rPr>
              <w:t>人名单等</w:t>
            </w:r>
            <w:bookmarkEnd w:id="0"/>
            <w:r>
              <w:rPr>
                <w:rStyle w:val="16"/>
                <w:rFonts w:hint="default" w:ascii="仿宋" w:hAnsi="仿宋" w:eastAsia="仿宋" w:cs="仿宋"/>
                <w:sz w:val="28"/>
                <w:szCs w:val="28"/>
                <w:lang w:bidi="ar"/>
              </w:rPr>
              <w:t>情形的建设管理机构不得开展河湖空间</w:t>
            </w:r>
            <w:r>
              <w:rPr>
                <w:rStyle w:val="16"/>
                <w:rFonts w:ascii="仿宋" w:hAnsi="仿宋" w:eastAsia="仿宋" w:cs="仿宋"/>
                <w:sz w:val="28"/>
                <w:szCs w:val="28"/>
                <w:lang w:bidi="ar"/>
              </w:rPr>
              <w:t>利用</w:t>
            </w:r>
            <w:r>
              <w:rPr>
                <w:rStyle w:val="16"/>
                <w:rFonts w:hint="default" w:ascii="仿宋" w:hAnsi="仿宋" w:eastAsia="仿宋" w:cs="仿宋"/>
                <w:sz w:val="28"/>
                <w:szCs w:val="28"/>
                <w:lang w:bidi="ar"/>
              </w:rPr>
              <w:t>项目。</w:t>
            </w:r>
          </w:p>
        </w:tc>
      </w:tr>
    </w:tbl>
    <w:p>
      <w:pPr>
        <w:snapToGrid w:val="0"/>
        <w:spacing w:line="360" w:lineRule="auto"/>
        <w:ind w:firstLine="236" w:firstLineChars="100"/>
        <w:rPr>
          <w:rFonts w:hint="eastAsia" w:ascii="仿宋" w:hAnsi="仿宋" w:eastAsia="仿宋" w:cs="仿宋"/>
          <w:b/>
          <w:bCs/>
          <w:sz w:val="24"/>
        </w:rPr>
      </w:pPr>
      <w:r>
        <w:rPr>
          <w:rFonts w:hint="eastAsia" w:ascii="仿宋" w:hAnsi="仿宋" w:eastAsia="仿宋" w:cs="仿宋"/>
          <w:b/>
          <w:bCs/>
          <w:sz w:val="24"/>
        </w:rPr>
        <w:t>备注：水域岸线空间利用项目负面清单包括且不仅限于上述情形，具体以满足法律法规及相关政策文件规定为准。</w:t>
      </w:r>
    </w:p>
    <w:p>
      <w:pPr>
        <w:pStyle w:val="7"/>
        <w:numPr>
          <w:ilvl w:val="0"/>
          <w:numId w:val="0"/>
        </w:numPr>
        <w:rPr>
          <w:rFonts w:hint="eastAsia" w:ascii="仿宋" w:hAnsi="仿宋" w:eastAsia="仿宋" w:cs="仿宋"/>
          <w:b/>
          <w:bCs/>
          <w:sz w:val="24"/>
        </w:rPr>
        <w:sectPr>
          <w:pgSz w:w="11906" w:h="16838"/>
          <w:pgMar w:top="1757" w:right="1474" w:bottom="1757" w:left="1588" w:header="851" w:footer="992" w:gutter="0"/>
          <w:pgNumType w:fmt="numberInDash"/>
          <w:cols w:space="720" w:num="1"/>
          <w:docGrid w:type="linesAndChars" w:linePitch="604" w:charSpace="-882"/>
        </w:sectPr>
      </w:pPr>
    </w:p>
    <w:p>
      <w:pPr>
        <w:pStyle w:val="7"/>
        <w:numPr>
          <w:ilvl w:val="0"/>
          <w:numId w:val="0"/>
        </w:numPr>
        <w:jc w:val="center"/>
        <w:rPr>
          <w:rFonts w:hint="eastAsia" w:ascii="仿宋" w:hAnsi="仿宋" w:eastAsia="仿宋" w:cs="仿宋"/>
          <w:b/>
          <w:bCs/>
          <w:sz w:val="24"/>
        </w:rPr>
      </w:pPr>
      <w:r>
        <w:drawing>
          <wp:inline distT="0" distB="0" distL="114300" distR="114300">
            <wp:extent cx="7399655" cy="4919345"/>
            <wp:effectExtent l="0" t="0" r="10795" b="146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7399655" cy="4919345"/>
                    </a:xfrm>
                    <a:prstGeom prst="rect">
                      <a:avLst/>
                    </a:prstGeom>
                    <a:noFill/>
                    <a:ln>
                      <a:noFill/>
                    </a:ln>
                  </pic:spPr>
                </pic:pic>
              </a:graphicData>
            </a:graphic>
          </wp:inline>
        </w:drawing>
      </w:r>
    </w:p>
    <w:p>
      <w:pPr>
        <w:pStyle w:val="7"/>
        <w:numPr>
          <w:ilvl w:val="0"/>
          <w:numId w:val="0"/>
        </w:numPr>
        <w:jc w:val="center"/>
        <w:rPr>
          <w:rFonts w:hint="eastAsia" w:ascii="黑体" w:hAnsi="黑体" w:eastAsia="黑体" w:cs="黑体"/>
          <w:sz w:val="32"/>
          <w:szCs w:val="32"/>
        </w:rPr>
      </w:pPr>
      <w:r>
        <w:rPr>
          <w:rFonts w:hint="eastAsia" w:ascii="黑体" w:hAnsi="黑体" w:eastAsia="黑体" w:cs="黑体"/>
          <w:sz w:val="32"/>
          <w:szCs w:val="32"/>
        </w:rPr>
        <w:t>水域岸线空间利用项目办理流程图</w:t>
      </w:r>
    </w:p>
    <w:p>
      <w:pPr>
        <w:pStyle w:val="7"/>
        <w:numPr>
          <w:ilvl w:val="0"/>
          <w:numId w:val="0"/>
        </w:numPr>
        <w:jc w:val="center"/>
        <w:rPr>
          <w:rFonts w:hint="eastAsia" w:ascii="黑体" w:hAnsi="黑体" w:eastAsia="黑体" w:cs="黑体"/>
          <w:sz w:val="32"/>
          <w:szCs w:val="32"/>
        </w:rPr>
        <w:sectPr>
          <w:pgSz w:w="16838" w:h="11906" w:orient="landscape"/>
          <w:pgMar w:top="1588" w:right="1757" w:bottom="1474" w:left="1757" w:header="851" w:footer="992" w:gutter="0"/>
          <w:pgNumType w:fmt="numberInDash"/>
          <w:cols w:space="720" w:num="1"/>
          <w:docGrid w:type="linesAndChars" w:linePitch="604" w:charSpace="-882"/>
        </w:sectPr>
      </w:pPr>
    </w:p>
    <w:p>
      <w:pPr>
        <w:topLinePunct/>
        <w:adjustRightInd w:val="0"/>
        <w:spacing w:line="360" w:lineRule="auto"/>
        <w:jc w:val="center"/>
        <w:outlineLvl w:val="0"/>
        <w:rPr>
          <w:rFonts w:hint="eastAsia" w:ascii="黑体" w:hAnsi="黑体" w:eastAsia="黑体" w:cs="黑体"/>
          <w:sz w:val="32"/>
          <w:szCs w:val="32"/>
        </w:rPr>
      </w:pPr>
      <w:r>
        <w:rPr>
          <w:rFonts w:hint="eastAsia" w:ascii="黑体" w:hAnsi="黑体" w:eastAsia="黑体" w:cs="黑体"/>
          <w:sz w:val="32"/>
          <w:szCs w:val="32"/>
        </w:rPr>
        <w:t>附件 莲都区水域岸线空间利用项目申请表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5"/>
        <w:gridCol w:w="7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635"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7425" w:type="dxa"/>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635"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申请主体</w:t>
            </w:r>
          </w:p>
        </w:tc>
        <w:tc>
          <w:tcPr>
            <w:tcW w:w="7425" w:type="dxa"/>
          </w:tcPr>
          <w:p>
            <w:pPr>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trPr>
        <w:tc>
          <w:tcPr>
            <w:tcW w:w="1635"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项目位置</w:t>
            </w:r>
          </w:p>
        </w:tc>
        <w:tc>
          <w:tcPr>
            <w:tcW w:w="7425" w:type="dxa"/>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6" w:hRule="atLeast"/>
        </w:trPr>
        <w:tc>
          <w:tcPr>
            <w:tcW w:w="1635"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项目内容</w:t>
            </w:r>
          </w:p>
        </w:tc>
        <w:tc>
          <w:tcPr>
            <w:tcW w:w="7425"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（须同时提供项目建设（设计）方案、项目建设红线范围（矢量图）等）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Align w:val="center"/>
          </w:tcPr>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属地乡镇（街道）初审意见</w:t>
            </w:r>
          </w:p>
        </w:tc>
        <w:tc>
          <w:tcPr>
            <w:tcW w:w="7425" w:type="dxa"/>
          </w:tcPr>
          <w:p>
            <w:pPr>
              <w:pStyle w:val="2"/>
              <w:spacing w:after="0"/>
              <w:ind w:left="411"/>
              <w:rPr>
                <w:rFonts w:hint="eastAsia" w:ascii="仿宋_GB2312" w:hAnsi="仿宋_GB2312" w:eastAsia="仿宋_GB2312" w:cs="仿宋_GB2312"/>
                <w:sz w:val="28"/>
                <w:szCs w:val="28"/>
              </w:rPr>
            </w:pPr>
          </w:p>
          <w:p>
            <w:pPr>
              <w:pStyle w:val="2"/>
              <w:snapToGrid w:val="0"/>
              <w:spacing w:after="0" w:line="240" w:lineRule="auto"/>
              <w:ind w:left="0"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签字（分管领导）：                         （盖章）</w:t>
            </w:r>
          </w:p>
          <w:p>
            <w:pPr>
              <w:pStyle w:val="2"/>
              <w:snapToGrid w:val="0"/>
              <w:spacing w:after="0" w:line="240" w:lineRule="auto"/>
              <w:ind w:left="0" w:leftChars="0" w:firstLine="552"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bl>
    <w:p>
      <w:pPr>
        <w:pStyle w:val="7"/>
        <w:numPr>
          <w:ilvl w:val="0"/>
          <w:numId w:val="0"/>
        </w:numPr>
        <w:jc w:val="center"/>
        <w:rPr>
          <w:rFonts w:hint="eastAsia" w:ascii="黑体" w:hAnsi="黑体" w:eastAsia="黑体" w:cs="黑体"/>
          <w:sz w:val="32"/>
          <w:szCs w:val="32"/>
        </w:rPr>
      </w:pPr>
    </w:p>
    <w:sectPr>
      <w:pgSz w:w="11906" w:h="16838"/>
      <w:pgMar w:top="1757" w:right="1474" w:bottom="1757" w:left="1588" w:header="851" w:footer="992" w:gutter="0"/>
      <w:pgNumType w:fmt="numberInDash"/>
      <w:cols w:space="720" w:num="1"/>
      <w:docGrid w:type="linesAndChars" w:linePitch="604" w:charSpace="-8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GWZT-EN">
    <w:panose1 w:val="02020400000000000000"/>
    <w:charset w:val="86"/>
    <w:family w:val="auto"/>
    <w:pitch w:val="default"/>
    <w:sig w:usb0="A00002BF" w:usb1="38CF7CFA" w:usb2="00082016" w:usb3="00000000" w:csb0="00040001" w:csb1="00000000"/>
  </w:font>
  <w:font w:name="等线 Light">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altName w:val="方正黑体_GBK"/>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1</w:t>
                          </w:r>
                          <w:r>
                            <w:rPr>
                              <w:rFonts w:hint="eastAsia"/>
                              <w:sz w:val="24"/>
                            </w:rPr>
                            <w:fldChar w:fldCharType="end"/>
                          </w:r>
                        </w:p>
                      </w:txbxContent>
                    </wps:txbx>
                    <wps:bodyPr vert="horz" wrap="none" lIns="0" tIns="0" rIns="0" bIns="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CMvXm2ywEAAJkDAAAOAAAA&#10;AAAAAAEAIAAAADQBAABkcnMvZTJvRG9jLnhtbFBLBQYAAAAABgAGAFkBAABxBQAAAAA=&#10;">
              <v:fill on="f" focussize="0,0"/>
              <v:stroke on="f"/>
              <v:imagedata o:title=""/>
              <o:lock v:ext="edit" aspectratio="f"/>
              <v:textbox inset="0mm,0mm,0mm,0mm" style="mso-fit-shape-to-text:t;">
                <w:txbxContent>
                  <w:p>
                    <w:pPr>
                      <w:snapToGrid w:val="0"/>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1</w:t>
                    </w:r>
                    <w:r>
                      <w:rPr>
                        <w:rFonts w:hint="eastAsia"/>
                        <w:sz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8AC5DF"/>
    <w:multiLevelType w:val="singleLevel"/>
    <w:tmpl w:val="598AC5DF"/>
    <w:lvl w:ilvl="0" w:tentative="0">
      <w:start w:val="1"/>
      <w:numFmt w:val="bullet"/>
      <w:pStyle w:val="7"/>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267DA0"/>
    <w:rsid w:val="000F0398"/>
    <w:rsid w:val="002220A7"/>
    <w:rsid w:val="00435F3D"/>
    <w:rsid w:val="0046191D"/>
    <w:rsid w:val="004D5CC0"/>
    <w:rsid w:val="00564013"/>
    <w:rsid w:val="005B4602"/>
    <w:rsid w:val="00763142"/>
    <w:rsid w:val="007B0D3B"/>
    <w:rsid w:val="008042D8"/>
    <w:rsid w:val="008E5BCB"/>
    <w:rsid w:val="00A95CE0"/>
    <w:rsid w:val="00C55652"/>
    <w:rsid w:val="00C93FC9"/>
    <w:rsid w:val="00CE1118"/>
    <w:rsid w:val="00F035F2"/>
    <w:rsid w:val="02277AFA"/>
    <w:rsid w:val="02552737"/>
    <w:rsid w:val="04D125E3"/>
    <w:rsid w:val="05D44712"/>
    <w:rsid w:val="05E73D80"/>
    <w:rsid w:val="0617156F"/>
    <w:rsid w:val="0708213D"/>
    <w:rsid w:val="08D94315"/>
    <w:rsid w:val="0C756C7F"/>
    <w:rsid w:val="0ED85268"/>
    <w:rsid w:val="18445664"/>
    <w:rsid w:val="1A0735A7"/>
    <w:rsid w:val="1B7F3CE8"/>
    <w:rsid w:val="1BC339F3"/>
    <w:rsid w:val="1CF245F9"/>
    <w:rsid w:val="1E5A62C4"/>
    <w:rsid w:val="1ED0597E"/>
    <w:rsid w:val="1FEA15B7"/>
    <w:rsid w:val="255015E3"/>
    <w:rsid w:val="25BC2712"/>
    <w:rsid w:val="269435DD"/>
    <w:rsid w:val="2739723C"/>
    <w:rsid w:val="28F1686C"/>
    <w:rsid w:val="2D5948EF"/>
    <w:rsid w:val="2DF7019E"/>
    <w:rsid w:val="2F286230"/>
    <w:rsid w:val="2FB336EB"/>
    <w:rsid w:val="302121BE"/>
    <w:rsid w:val="317B37E7"/>
    <w:rsid w:val="324D3E16"/>
    <w:rsid w:val="333F099A"/>
    <w:rsid w:val="381D7F37"/>
    <w:rsid w:val="3A24799C"/>
    <w:rsid w:val="3A8D195C"/>
    <w:rsid w:val="3EB1056E"/>
    <w:rsid w:val="40234C7C"/>
    <w:rsid w:val="40662CB8"/>
    <w:rsid w:val="409D2FD5"/>
    <w:rsid w:val="460131B2"/>
    <w:rsid w:val="46A33DD0"/>
    <w:rsid w:val="47537093"/>
    <w:rsid w:val="481A201C"/>
    <w:rsid w:val="48862B4D"/>
    <w:rsid w:val="4A150683"/>
    <w:rsid w:val="4E8F04FC"/>
    <w:rsid w:val="50A4624E"/>
    <w:rsid w:val="54267DA0"/>
    <w:rsid w:val="550F1949"/>
    <w:rsid w:val="551C475F"/>
    <w:rsid w:val="55EB230C"/>
    <w:rsid w:val="5B080942"/>
    <w:rsid w:val="5BCD59A4"/>
    <w:rsid w:val="5C7472E9"/>
    <w:rsid w:val="5C8A64E1"/>
    <w:rsid w:val="5F2E20B5"/>
    <w:rsid w:val="601E082E"/>
    <w:rsid w:val="60A51878"/>
    <w:rsid w:val="60BA360B"/>
    <w:rsid w:val="61200AAC"/>
    <w:rsid w:val="625E3EBC"/>
    <w:rsid w:val="62621EA9"/>
    <w:rsid w:val="65290C3F"/>
    <w:rsid w:val="6616309F"/>
    <w:rsid w:val="66F824FD"/>
    <w:rsid w:val="68EE2365"/>
    <w:rsid w:val="6A682DD1"/>
    <w:rsid w:val="6CDE32C7"/>
    <w:rsid w:val="6D15495E"/>
    <w:rsid w:val="6E9F0D93"/>
    <w:rsid w:val="703B00F6"/>
    <w:rsid w:val="72A55C9E"/>
    <w:rsid w:val="73B34AEA"/>
    <w:rsid w:val="74CF1FEE"/>
    <w:rsid w:val="759D1ED4"/>
    <w:rsid w:val="7A280D5C"/>
    <w:rsid w:val="7C464371"/>
    <w:rsid w:val="7CA55A84"/>
    <w:rsid w:val="7EA41DFB"/>
    <w:rsid w:val="7FC23702"/>
    <w:rsid w:val="BAED7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4"/>
    <w:unhideWhenUsed/>
    <w:qFormat/>
    <w:uiPriority w:val="9"/>
    <w:pPr>
      <w:keepNext/>
      <w:keepLines/>
      <w:spacing w:before="260" w:after="260" w:line="413"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4">
    <w:name w:val="annotation text"/>
    <w:basedOn w:val="1"/>
    <w:unhideWhenUsed/>
    <w:qFormat/>
    <w:uiPriority w:val="99"/>
    <w:pPr>
      <w:jc w:val="left"/>
    </w:pPr>
  </w:style>
  <w:style w:type="paragraph" w:styleId="5">
    <w:name w:val="Body Text"/>
    <w:basedOn w:val="1"/>
    <w:next w:val="6"/>
    <w:unhideWhenUsed/>
    <w:qFormat/>
    <w:uiPriority w:val="1"/>
    <w:pPr>
      <w:spacing w:before="236"/>
      <w:ind w:left="120"/>
    </w:pPr>
    <w:rPr>
      <w:rFonts w:hint="eastAsia" w:ascii="仿宋" w:hAnsi="仿宋" w:eastAsia="仿宋"/>
      <w:sz w:val="28"/>
    </w:rPr>
  </w:style>
  <w:style w:type="paragraph" w:styleId="6">
    <w:name w:val="Body Text First Indent"/>
    <w:basedOn w:val="5"/>
    <w:next w:val="1"/>
    <w:unhideWhenUsed/>
    <w:qFormat/>
    <w:uiPriority w:val="99"/>
    <w:pPr>
      <w:ind w:firstLine="420" w:firstLineChars="100"/>
    </w:pPr>
  </w:style>
  <w:style w:type="paragraph" w:styleId="7">
    <w:name w:val="List Bullet 2"/>
    <w:basedOn w:val="1"/>
    <w:unhideWhenUsed/>
    <w:qFormat/>
    <w:uiPriority w:val="99"/>
    <w:pPr>
      <w:numPr>
        <w:ilvl w:val="0"/>
        <w:numId w:val="1"/>
      </w:numPr>
    </w:pPr>
  </w:style>
  <w:style w:type="paragraph" w:styleId="8">
    <w:name w:val="footer"/>
    <w:basedOn w:val="1"/>
    <w:unhideWhenUsed/>
    <w:qFormat/>
    <w:uiPriority w:val="0"/>
    <w:pPr>
      <w:tabs>
        <w:tab w:val="center" w:pos="4153"/>
        <w:tab w:val="right" w:pos="8306"/>
      </w:tabs>
      <w:snapToGrid w:val="0"/>
      <w:jc w:val="left"/>
    </w:pPr>
    <w:rPr>
      <w:sz w:val="18"/>
    </w:rPr>
  </w:style>
  <w:style w:type="paragraph" w:styleId="9">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100" w:beforeAutospacing="1" w:after="100" w:afterAutospacing="1"/>
      <w:jc w:val="left"/>
    </w:pPr>
    <w:rPr>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2 字符"/>
    <w:basedOn w:val="13"/>
    <w:link w:val="3"/>
    <w:qFormat/>
    <w:uiPriority w:val="0"/>
    <w:rPr>
      <w:rFonts w:ascii="等线 Light" w:hAnsi="等线 Light" w:eastAsia="等线 Light" w:cs="Times New Roman"/>
      <w:color w:val="2F5496"/>
      <w:kern w:val="2"/>
      <w:sz w:val="40"/>
      <w:szCs w:val="40"/>
    </w:rPr>
  </w:style>
  <w:style w:type="character" w:customStyle="1" w:styleId="15">
    <w:name w:val="font11"/>
    <w:basedOn w:val="13"/>
    <w:qFormat/>
    <w:uiPriority w:val="0"/>
    <w:rPr>
      <w:rFonts w:ascii="黑体" w:hAnsi="宋体" w:eastAsia="黑体" w:cs="黑体"/>
      <w:color w:val="000000"/>
      <w:sz w:val="28"/>
      <w:szCs w:val="28"/>
      <w:u w:val="none"/>
    </w:rPr>
  </w:style>
  <w:style w:type="character" w:customStyle="1" w:styleId="16">
    <w:name w:val="font31"/>
    <w:basedOn w:val="13"/>
    <w:qFormat/>
    <w:uiPriority w:val="0"/>
    <w:rPr>
      <w:rFonts w:hint="eastAsia" w:ascii="微软雅黑" w:hAnsi="微软雅黑" w:eastAsia="微软雅黑" w:cs="微软雅黑"/>
      <w:color w:val="000000"/>
      <w:sz w:val="24"/>
      <w:szCs w:val="24"/>
      <w:u w:val="none"/>
    </w:rPr>
  </w:style>
  <w:style w:type="character" w:customStyle="1" w:styleId="17">
    <w:name w:val="font21"/>
    <w:basedOn w:val="13"/>
    <w:qFormat/>
    <w:uiPriority w:val="0"/>
    <w:rPr>
      <w:rFonts w:ascii="微软雅黑" w:hAnsi="微软雅黑" w:eastAsia="微软雅黑" w:cs="微软雅黑"/>
      <w:color w:val="000000"/>
      <w:sz w:val="28"/>
      <w:szCs w:val="28"/>
      <w:u w:val="none"/>
    </w:rPr>
  </w:style>
  <w:style w:type="character" w:customStyle="1" w:styleId="18">
    <w:name w:val="font41"/>
    <w:basedOn w:val="13"/>
    <w:qFormat/>
    <w:uiPriority w:val="0"/>
    <w:rPr>
      <w:rFonts w:hint="default" w:ascii="Arial" w:hAnsi="Arial" w:cs="Arial"/>
      <w:color w:val="000000"/>
      <w:sz w:val="24"/>
      <w:szCs w:val="24"/>
      <w:u w:val="none"/>
    </w:rPr>
  </w:style>
  <w:style w:type="paragraph" w:customStyle="1" w:styleId="19">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3068</Words>
  <Characters>3082</Characters>
  <Lines>23</Lines>
  <Paragraphs>6</Paragraphs>
  <TotalTime>23</TotalTime>
  <ScaleCrop>false</ScaleCrop>
  <LinksUpToDate>false</LinksUpToDate>
  <CharactersWithSpaces>3133</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2023-09-22T09:13:00Z</dcterms:created>
  <dc:creator>Lenovo</dc:creator>
  <cp:lastModifiedBy>lenovo</cp:lastModifiedBy>
  <cp:lastPrinted>2025-03-11T10:38:00Z</cp:lastPrinted>
  <dcterms:modified xsi:type="dcterms:W3CDTF">2025-04-02T15:31:17Z</dcterms:modified>
  <dc:title> 余杭区水域空间开放共享指导意见</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E72EC22EF4BA4467AD9AE17448DD2E2B_13</vt:lpwstr>
  </property>
  <property fmtid="{D5CDD505-2E9C-101B-9397-08002B2CF9AE}" pid="4" name="KSOTemplateDocerSaveRecord">
    <vt:lpwstr>eyJoZGlkIjoiZTZiZDRiMWI1OTJlZTNlYzBlY2ExZjA0OWI0NGJkNjIiLCJ1c2VySWQiOiI0NjI1Mjc1MzkifQ==</vt:lpwstr>
  </property>
</Properties>
</file>