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44"/>
          <w:szCs w:val="44"/>
        </w:rPr>
      </w:pPr>
      <w:r>
        <w:rPr>
          <w:rFonts w:hint="eastAsia"/>
          <w:sz w:val="44"/>
          <w:szCs w:val="44"/>
        </w:rPr>
        <w:t>浙江省</w:t>
      </w:r>
      <w:r>
        <w:rPr>
          <w:rFonts w:hint="eastAsia"/>
          <w:sz w:val="44"/>
          <w:szCs w:val="44"/>
          <w:lang w:eastAsia="zh-CN"/>
        </w:rPr>
        <w:t>岱山县长涂渔港</w:t>
      </w:r>
      <w:r>
        <w:rPr>
          <w:rFonts w:hint="eastAsia"/>
          <w:sz w:val="44"/>
          <w:szCs w:val="44"/>
        </w:rPr>
        <w:t>港章</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pP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征求意见稿</w:t>
      </w:r>
      <w:r>
        <w:rPr>
          <w:rFonts w:hint="eastAsia" w:ascii="Times New Roman" w:hAnsi="Times New Roman" w:eastAsia="仿宋_GB2312" w:cs="Times New Roman"/>
          <w:sz w:val="32"/>
          <w:szCs w:val="32"/>
          <w:lang w:val="en-US" w:eastAsia="zh-CN"/>
        </w:rPr>
        <w:t>）</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r>
        <w:rPr>
          <w:rFonts w:hint="eastAsia" w:ascii="黑体" w:hAnsi="黑体" w:eastAsia="黑体" w:cs="Arial"/>
          <w:b/>
          <w:bCs/>
          <w:snapToGrid/>
          <w:color w:val="000000"/>
          <w:sz w:val="28"/>
          <w:szCs w:val="28"/>
          <w:lang w:eastAsia="zh-CN"/>
        </w:rPr>
        <w:t>第一章  总则</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hint="eastAsia" w:ascii="仿宋_GB2312" w:eastAsia="仿宋_GB2312"/>
          <w:b/>
          <w:bCs/>
          <w:sz w:val="28"/>
          <w:szCs w:val="28"/>
        </w:rPr>
      </w:pPr>
      <w:r>
        <w:rPr>
          <w:rFonts w:hint="eastAsia" w:ascii="仿宋_GB2312" w:eastAsia="仿宋_GB2312"/>
          <w:b/>
          <w:bCs/>
          <w:sz w:val="28"/>
          <w:szCs w:val="28"/>
        </w:rPr>
        <w:t xml:space="preserve">第一条 </w:t>
      </w:r>
      <w:r>
        <w:rPr>
          <w:rFonts w:hint="eastAsia" w:ascii="仿宋_GB2312" w:eastAsia="仿宋_GB2312"/>
          <w:sz w:val="28"/>
          <w:szCs w:val="28"/>
        </w:rPr>
        <w:t xml:space="preserve"> 目的与依据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为了加强</w:t>
      </w:r>
      <w:r>
        <w:rPr>
          <w:rFonts w:hint="eastAsia" w:ascii="仿宋_GB2312" w:eastAsia="仿宋_GB2312"/>
          <w:sz w:val="28"/>
          <w:szCs w:val="28"/>
          <w:lang w:eastAsia="zh-CN"/>
        </w:rPr>
        <w:t>长涂渔港</w:t>
      </w:r>
      <w:r>
        <w:rPr>
          <w:rFonts w:hint="eastAsia" w:ascii="仿宋_GB2312" w:eastAsia="仿宋_GB2312"/>
          <w:sz w:val="28"/>
          <w:szCs w:val="28"/>
        </w:rPr>
        <w:t>（以下称本渔港）的管理，维护渔港正常秩序，保障渔港设施、渔业船舶及渔民生命财产安全，防止渔港水域环境污染，推进渔港经济发展，依据《中华人民共和国渔业法》、《中华人民共和国港口法》、《中华人民共和国海上交通安全法》、《中华人民共和国渔港水域交通安全管理条例》、《中华人民共和国海洋环境保护法》、《防治船舶污染海洋环境管理条例》、《浙江省渔港渔业船舶管理条例》等有关法律、行政法规、部门规章，结合本渔港实际，特制定本港章。</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hint="eastAsia" w:ascii="仿宋_GB2312" w:eastAsia="仿宋_GB2312"/>
          <w:b/>
          <w:bCs/>
          <w:sz w:val="28"/>
          <w:szCs w:val="28"/>
        </w:rPr>
      </w:pPr>
      <w:r>
        <w:rPr>
          <w:rFonts w:hint="eastAsia" w:ascii="仿宋_GB2312" w:eastAsia="仿宋_GB2312"/>
          <w:b/>
          <w:bCs/>
          <w:sz w:val="28"/>
          <w:szCs w:val="28"/>
        </w:rPr>
        <w:t xml:space="preserve">第二条 </w:t>
      </w:r>
      <w:r>
        <w:rPr>
          <w:rFonts w:hint="eastAsia" w:ascii="仿宋_GB2312" w:eastAsia="仿宋_GB2312"/>
          <w:sz w:val="28"/>
          <w:szCs w:val="28"/>
        </w:rPr>
        <w:t xml:space="preserve"> 适用范围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凡在本渔港区域范围内停泊、避风、航行、作业的船舶、车辆，及从事渔港建设、运营管理、经营活动的公民、法人和其他组织都应遵守本港章的规定。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hint="eastAsia" w:ascii="仿宋_GB2312" w:eastAsia="仿宋_GB2312"/>
          <w:b/>
          <w:bCs/>
          <w:sz w:val="28"/>
          <w:szCs w:val="28"/>
        </w:rPr>
      </w:pPr>
      <w:r>
        <w:rPr>
          <w:rFonts w:hint="eastAsia" w:ascii="仿宋_GB2312" w:eastAsia="仿宋_GB2312"/>
          <w:b/>
          <w:bCs/>
          <w:sz w:val="28"/>
          <w:szCs w:val="28"/>
        </w:rPr>
        <w:t xml:space="preserve">第三条 </w:t>
      </w:r>
      <w:r>
        <w:rPr>
          <w:rFonts w:hint="eastAsia" w:ascii="仿宋_GB2312" w:eastAsia="仿宋_GB2312"/>
          <w:sz w:val="28"/>
          <w:szCs w:val="28"/>
        </w:rPr>
        <w:t xml:space="preserve"> 渔港位置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_GB2312" w:eastAsia="仿宋_GB2312"/>
          <w:color w:val="000000" w:themeColor="text1"/>
          <w:sz w:val="28"/>
          <w:szCs w:val="28"/>
          <w:lang w:val="en-US"/>
          <w14:textFill>
            <w14:solidFill>
              <w14:schemeClr w14:val="tx1"/>
            </w14:solidFill>
          </w14:textFill>
        </w:rPr>
      </w:pPr>
      <w:r>
        <w:rPr>
          <w:rFonts w:hint="eastAsia" w:ascii="仿宋_GB2312" w:eastAsia="仿宋_GB2312"/>
          <w:sz w:val="28"/>
          <w:szCs w:val="28"/>
        </w:rPr>
        <w:t>本渔港位于浙江省</w:t>
      </w:r>
      <w:r>
        <w:rPr>
          <w:rFonts w:hint="eastAsia" w:ascii="仿宋_GB2312" w:eastAsia="仿宋_GB2312"/>
          <w:sz w:val="28"/>
          <w:szCs w:val="28"/>
          <w:lang w:eastAsia="zh-CN"/>
        </w:rPr>
        <w:t>舟山市岱山县</w:t>
      </w:r>
      <w:r>
        <w:rPr>
          <w:rFonts w:hint="eastAsia" w:ascii="仿宋_GB2312" w:eastAsia="仿宋_GB2312"/>
          <w:sz w:val="28"/>
          <w:szCs w:val="28"/>
          <w:lang w:val="en-US" w:eastAsia="zh-CN"/>
        </w:rPr>
        <w:t>大长涂山和小长涂山之间的狭长水道，由大长涂港区和小长涂港区组成。大长涂港区位于港南村北侧；小长涂港区位于长涂镇南侧。</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hint="eastAsia" w:ascii="仿宋_GB2312" w:eastAsia="仿宋_GB2312"/>
          <w:b/>
          <w:bCs/>
          <w:sz w:val="28"/>
          <w:szCs w:val="28"/>
        </w:rPr>
      </w:pPr>
      <w:r>
        <w:rPr>
          <w:rFonts w:hint="eastAsia" w:ascii="仿宋_GB2312" w:eastAsia="仿宋_GB2312"/>
          <w:b/>
          <w:bCs/>
          <w:sz w:val="28"/>
          <w:szCs w:val="28"/>
        </w:rPr>
        <w:t xml:space="preserve">第四条 </w:t>
      </w:r>
      <w:r>
        <w:rPr>
          <w:rFonts w:hint="eastAsia" w:ascii="仿宋_GB2312" w:eastAsia="仿宋_GB2312"/>
          <w:sz w:val="28"/>
          <w:szCs w:val="28"/>
        </w:rPr>
        <w:t xml:space="preserve"> 渔港范围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本渔港范围为</w:t>
      </w:r>
      <w:r>
        <w:rPr>
          <w:rFonts w:hint="eastAsia" w:ascii="仿宋_GB2312" w:eastAsia="仿宋_GB2312"/>
          <w:color w:val="000000" w:themeColor="text1"/>
          <w:sz w:val="28"/>
          <w:szCs w:val="28"/>
          <w:lang w:eastAsia="zh-CN"/>
          <w14:textFill>
            <w14:solidFill>
              <w14:schemeClr w14:val="tx1"/>
            </w14:solidFill>
          </w14:textFill>
        </w:rPr>
        <w:t>岱山县</w:t>
      </w:r>
      <w:r>
        <w:rPr>
          <w:rFonts w:hint="eastAsia" w:ascii="仿宋_GB2312" w:eastAsia="仿宋_GB2312"/>
          <w:color w:val="000000" w:themeColor="text1"/>
          <w:sz w:val="28"/>
          <w:szCs w:val="28"/>
          <w14:textFill>
            <w14:solidFill>
              <w14:schemeClr w14:val="tx1"/>
            </w14:solidFill>
          </w14:textFill>
        </w:rPr>
        <w:t>人民政府核定的渔港港界内所有水域、陆域等，</w:t>
      </w:r>
      <w:r>
        <w:rPr>
          <w:rFonts w:hint="eastAsia" w:ascii="仿宋_GB2312" w:eastAsia="仿宋_GB2312"/>
          <w:sz w:val="28"/>
          <w:szCs w:val="28"/>
          <w:lang w:val="en-US" w:eastAsia="zh-CN"/>
        </w:rPr>
        <w:t>大长涂港区</w:t>
      </w:r>
      <w:r>
        <w:rPr>
          <w:rFonts w:hint="eastAsia" w:ascii="仿宋_GB2312" w:eastAsia="仿宋_GB2312"/>
          <w:color w:val="000000" w:themeColor="text1"/>
          <w:sz w:val="28"/>
          <w:szCs w:val="28"/>
          <w:highlight w:val="none"/>
          <w14:textFill>
            <w14:solidFill>
              <w14:schemeClr w14:val="tx1"/>
            </w14:solidFill>
          </w14:textFill>
        </w:rPr>
        <w:t>东至</w:t>
      </w:r>
      <w:r>
        <w:rPr>
          <w:rFonts w:hint="eastAsia" w:ascii="仿宋_GB2312" w:eastAsia="仿宋_GB2312"/>
          <w:color w:val="000000" w:themeColor="text1"/>
          <w:sz w:val="28"/>
          <w:szCs w:val="28"/>
          <w:highlight w:val="none"/>
          <w:lang w:val="en-US" w:eastAsia="zh-CN"/>
          <w14:textFill>
            <w14:solidFill>
              <w14:schemeClr w14:val="tx1"/>
            </w14:solidFill>
          </w14:textFill>
        </w:rPr>
        <w:t>港南村广场东侧建筑附近</w:t>
      </w:r>
      <w:r>
        <w:rPr>
          <w:rFonts w:hint="eastAsia" w:ascii="仿宋_GB2312" w:eastAsia="仿宋_GB2312"/>
          <w:color w:val="000000" w:themeColor="text1"/>
          <w:sz w:val="28"/>
          <w:szCs w:val="28"/>
          <w:highlight w:val="none"/>
          <w14:textFill>
            <w14:solidFill>
              <w14:schemeClr w14:val="tx1"/>
            </w14:solidFill>
          </w14:textFill>
        </w:rPr>
        <w:t>，南至</w:t>
      </w:r>
      <w:r>
        <w:rPr>
          <w:rFonts w:hint="eastAsia" w:ascii="仿宋_GB2312" w:eastAsia="仿宋_GB2312"/>
          <w:color w:val="000000" w:themeColor="text1"/>
          <w:sz w:val="28"/>
          <w:szCs w:val="28"/>
          <w:highlight w:val="none"/>
          <w:lang w:val="en-US" w:eastAsia="zh-CN"/>
          <w14:textFill>
            <w14:solidFill>
              <w14:schemeClr w14:val="tx1"/>
            </w14:solidFill>
          </w14:textFill>
        </w:rPr>
        <w:t>港南村广场南边界</w:t>
      </w:r>
      <w:r>
        <w:rPr>
          <w:rFonts w:hint="eastAsia" w:ascii="仿宋_GB2312" w:eastAsia="仿宋_GB2312"/>
          <w:color w:val="000000" w:themeColor="text1"/>
          <w:sz w:val="28"/>
          <w:szCs w:val="28"/>
          <w:highlight w:val="none"/>
          <w14:textFill>
            <w14:solidFill>
              <w14:schemeClr w14:val="tx1"/>
            </w14:solidFill>
          </w14:textFill>
        </w:rPr>
        <w:t>，西至</w:t>
      </w:r>
      <w:r>
        <w:rPr>
          <w:rFonts w:hint="eastAsia" w:ascii="仿宋_GB2312" w:eastAsia="仿宋_GB2312"/>
          <w:color w:val="000000" w:themeColor="text1"/>
          <w:sz w:val="28"/>
          <w:szCs w:val="28"/>
          <w:highlight w:val="none"/>
          <w:lang w:val="en-US" w:eastAsia="zh-CN"/>
          <w14:textFill>
            <w14:solidFill>
              <w14:schemeClr w14:val="tx1"/>
            </w14:solidFill>
          </w14:textFill>
        </w:rPr>
        <w:t>港南村广场西边界</w:t>
      </w:r>
      <w:r>
        <w:rPr>
          <w:rFonts w:hint="eastAsia" w:ascii="仿宋_GB2312" w:eastAsia="仿宋_GB2312"/>
          <w:color w:val="000000" w:themeColor="text1"/>
          <w:sz w:val="28"/>
          <w:szCs w:val="28"/>
          <w:highlight w:val="none"/>
          <w14:textFill>
            <w14:solidFill>
              <w14:schemeClr w14:val="tx1"/>
            </w14:solidFill>
          </w14:textFill>
        </w:rPr>
        <w:t>，北至</w:t>
      </w:r>
      <w:r>
        <w:rPr>
          <w:rFonts w:hint="eastAsia" w:ascii="仿宋_GB2312" w:eastAsia="仿宋_GB2312"/>
          <w:color w:val="000000" w:themeColor="text1"/>
          <w:sz w:val="28"/>
          <w:szCs w:val="28"/>
          <w:highlight w:val="none"/>
          <w:lang w:val="en-US" w:eastAsia="zh-CN"/>
          <w14:textFill>
            <w14:solidFill>
              <w14:schemeClr w14:val="tx1"/>
            </w14:solidFill>
          </w14:textFill>
        </w:rPr>
        <w:t>港南村码头往北50米处</w:t>
      </w:r>
      <w:r>
        <w:rPr>
          <w:rFonts w:hint="eastAsia" w:ascii="仿宋_GB2312" w:eastAsia="仿宋_GB2312"/>
          <w:color w:val="000000" w:themeColor="text1"/>
          <w:sz w:val="28"/>
          <w:szCs w:val="28"/>
          <w:highlight w:val="none"/>
          <w:lang w:eastAsia="zh-CN"/>
          <w14:textFill>
            <w14:solidFill>
              <w14:schemeClr w14:val="tx1"/>
            </w14:solidFill>
          </w14:textFill>
        </w:rPr>
        <w:t>；</w:t>
      </w:r>
      <w:r>
        <w:rPr>
          <w:rFonts w:hint="eastAsia" w:ascii="仿宋_GB2312" w:eastAsia="仿宋_GB2312"/>
          <w:sz w:val="28"/>
          <w:szCs w:val="28"/>
          <w:lang w:val="en-US" w:eastAsia="zh-CN"/>
        </w:rPr>
        <w:t>小长涂港区</w:t>
      </w:r>
      <w:r>
        <w:rPr>
          <w:rFonts w:hint="eastAsia" w:ascii="仿宋_GB2312" w:eastAsia="仿宋_GB2312"/>
          <w:color w:val="000000" w:themeColor="text1"/>
          <w:sz w:val="28"/>
          <w:szCs w:val="28"/>
          <w:highlight w:val="none"/>
          <w14:textFill>
            <w14:solidFill>
              <w14:schemeClr w14:val="tx1"/>
            </w14:solidFill>
          </w14:textFill>
        </w:rPr>
        <w:t>东至</w:t>
      </w:r>
      <w:r>
        <w:rPr>
          <w:rFonts w:hint="eastAsia" w:ascii="仿宋_GB2312" w:eastAsia="仿宋_GB2312"/>
          <w:color w:val="000000" w:themeColor="text1"/>
          <w:sz w:val="28"/>
          <w:szCs w:val="28"/>
          <w:highlight w:val="none"/>
          <w:lang w:val="en-US" w:eastAsia="zh-CN"/>
          <w14:textFill>
            <w14:solidFill>
              <w14:schemeClr w14:val="tx1"/>
            </w14:solidFill>
          </w14:textFill>
        </w:rPr>
        <w:t>文卫街与码头通道相交处</w:t>
      </w:r>
      <w:r>
        <w:rPr>
          <w:rFonts w:hint="eastAsia" w:ascii="仿宋_GB2312" w:eastAsia="仿宋_GB2312"/>
          <w:color w:val="000000" w:themeColor="text1"/>
          <w:sz w:val="28"/>
          <w:szCs w:val="28"/>
          <w:highlight w:val="none"/>
          <w14:textFill>
            <w14:solidFill>
              <w14:schemeClr w14:val="tx1"/>
            </w14:solidFill>
          </w14:textFill>
        </w:rPr>
        <w:t>，南至</w:t>
      </w:r>
      <w:r>
        <w:rPr>
          <w:rFonts w:hint="eastAsia" w:ascii="仿宋_GB2312" w:eastAsia="仿宋_GB2312"/>
          <w:color w:val="000000" w:themeColor="text1"/>
          <w:sz w:val="28"/>
          <w:szCs w:val="28"/>
          <w:highlight w:val="none"/>
          <w:lang w:val="en-US" w:eastAsia="zh-CN"/>
          <w14:textFill>
            <w14:solidFill>
              <w14:schemeClr w14:val="tx1"/>
            </w14:solidFill>
          </w14:textFill>
        </w:rPr>
        <w:t>主航道</w:t>
      </w:r>
      <w:r>
        <w:rPr>
          <w:rFonts w:hint="eastAsia" w:ascii="仿宋_GB2312" w:eastAsia="仿宋_GB2312"/>
          <w:color w:val="000000" w:themeColor="text1"/>
          <w:sz w:val="28"/>
          <w:szCs w:val="28"/>
          <w:highlight w:val="none"/>
          <w14:textFill>
            <w14:solidFill>
              <w14:schemeClr w14:val="tx1"/>
            </w14:solidFill>
          </w14:textFill>
        </w:rPr>
        <w:t>，西至</w:t>
      </w:r>
      <w:r>
        <w:rPr>
          <w:rFonts w:hint="eastAsia" w:ascii="仿宋_GB2312" w:eastAsia="仿宋_GB2312"/>
          <w:color w:val="000000" w:themeColor="text1"/>
          <w:sz w:val="28"/>
          <w:szCs w:val="28"/>
          <w:highlight w:val="none"/>
          <w:lang w:val="en-US" w:eastAsia="zh-CN"/>
          <w14:textFill>
            <w14:solidFill>
              <w14:schemeClr w14:val="tx1"/>
            </w14:solidFill>
          </w14:textFill>
        </w:rPr>
        <w:t>1号码头往西南120米处</w:t>
      </w:r>
      <w:r>
        <w:rPr>
          <w:rFonts w:hint="eastAsia" w:ascii="仿宋_GB2312" w:eastAsia="仿宋_GB2312"/>
          <w:color w:val="000000" w:themeColor="text1"/>
          <w:sz w:val="28"/>
          <w:szCs w:val="28"/>
          <w:highlight w:val="none"/>
          <w14:textFill>
            <w14:solidFill>
              <w14:schemeClr w14:val="tx1"/>
            </w14:solidFill>
          </w14:textFill>
        </w:rPr>
        <w:t>，北至</w:t>
      </w:r>
      <w:r>
        <w:rPr>
          <w:rFonts w:hint="eastAsia" w:ascii="仿宋_GB2312" w:eastAsia="仿宋_GB2312"/>
          <w:color w:val="000000" w:themeColor="text1"/>
          <w:sz w:val="28"/>
          <w:szCs w:val="28"/>
          <w:highlight w:val="none"/>
          <w:lang w:val="en-US" w:eastAsia="zh-CN"/>
          <w14:textFill>
            <w14:solidFill>
              <w14:schemeClr w14:val="tx1"/>
            </w14:solidFill>
          </w14:textFill>
        </w:rPr>
        <w:t>渔港码头通道往北2米处。</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渔港总面积为</w:t>
      </w:r>
      <w:r>
        <w:rPr>
          <w:rFonts w:hint="eastAsia" w:ascii="仿宋_GB2312" w:eastAsia="仿宋_GB2312"/>
          <w:color w:val="000000" w:themeColor="text1"/>
          <w:sz w:val="28"/>
          <w:szCs w:val="28"/>
          <w:lang w:val="en-US" w:eastAsia="zh-CN"/>
          <w14:textFill>
            <w14:solidFill>
              <w14:schemeClr w14:val="tx1"/>
            </w14:solidFill>
          </w14:textFill>
        </w:rPr>
        <w:t>42.57</w:t>
      </w:r>
      <w:r>
        <w:rPr>
          <w:rFonts w:hint="eastAsia" w:ascii="仿宋_GB2312" w:eastAsia="仿宋_GB2312"/>
          <w:color w:val="000000" w:themeColor="text1"/>
          <w:sz w:val="28"/>
          <w:szCs w:val="28"/>
          <w:highlight w:val="none"/>
          <w14:textFill>
            <w14:solidFill>
              <w14:schemeClr w14:val="tx1"/>
            </w14:solidFill>
          </w14:textFill>
        </w:rPr>
        <w:t>万平方米，其中水域</w:t>
      </w:r>
      <w:r>
        <w:rPr>
          <w:rFonts w:hint="eastAsia" w:ascii="仿宋_GB2312" w:eastAsia="仿宋_GB2312"/>
          <w:sz w:val="28"/>
          <w:highlight w:val="none"/>
          <w:lang w:val="en-US" w:eastAsia="zh-CN"/>
        </w:rPr>
        <w:t>32.52</w:t>
      </w:r>
      <w:r>
        <w:rPr>
          <w:rFonts w:hint="eastAsia" w:ascii="仿宋_GB2312" w:eastAsia="仿宋_GB2312"/>
          <w:color w:val="000000" w:themeColor="text1"/>
          <w:sz w:val="28"/>
          <w:szCs w:val="28"/>
          <w:highlight w:val="none"/>
          <w14:textFill>
            <w14:solidFill>
              <w14:schemeClr w14:val="tx1"/>
            </w14:solidFill>
          </w14:textFill>
        </w:rPr>
        <w:t>万平方米，陆域</w:t>
      </w:r>
      <w:r>
        <w:rPr>
          <w:rFonts w:hint="eastAsia" w:ascii="仿宋_GB2312" w:eastAsia="仿宋_GB2312"/>
          <w:sz w:val="28"/>
          <w:highlight w:val="none"/>
          <w:lang w:val="en-US" w:eastAsia="zh-CN"/>
        </w:rPr>
        <w:t>10.05</w:t>
      </w:r>
      <w:r>
        <w:rPr>
          <w:rFonts w:hint="eastAsia" w:ascii="仿宋_GB2312" w:eastAsia="仿宋_GB2312"/>
          <w:color w:val="000000" w:themeColor="text1"/>
          <w:sz w:val="28"/>
          <w:szCs w:val="28"/>
          <w:highlight w:val="none"/>
          <w14:textFill>
            <w14:solidFill>
              <w14:schemeClr w14:val="tx1"/>
            </w14:solidFill>
          </w14:textFill>
        </w:rPr>
        <w:t>万平方米。</w:t>
      </w:r>
      <w:r>
        <w:rPr>
          <w:rFonts w:hint="eastAsia" w:ascii="仿宋_GB2312" w:eastAsia="仿宋_GB2312"/>
          <w:color w:val="000000" w:themeColor="text1"/>
          <w:sz w:val="28"/>
          <w:szCs w:val="28"/>
          <w14:textFill>
            <w14:solidFill>
              <w14:schemeClr w14:val="tx1"/>
            </w14:solidFill>
          </w14:textFill>
        </w:rPr>
        <w:t>渔港港界水域、陆域和设施的具体范围、位置及坐标详见附件浙江省</w:t>
      </w:r>
      <w:r>
        <w:rPr>
          <w:rFonts w:hint="eastAsia" w:ascii="仿宋_GB2312" w:eastAsia="仿宋_GB2312"/>
          <w:color w:val="000000" w:themeColor="text1"/>
          <w:sz w:val="28"/>
          <w:szCs w:val="28"/>
          <w:lang w:eastAsia="zh-CN"/>
          <w14:textFill>
            <w14:solidFill>
              <w14:schemeClr w14:val="tx1"/>
            </w14:solidFill>
          </w14:textFill>
        </w:rPr>
        <w:t>岱山县长涂渔港</w:t>
      </w:r>
      <w:r>
        <w:rPr>
          <w:rFonts w:hint="eastAsia" w:ascii="仿宋_GB2312" w:eastAsia="仿宋_GB2312"/>
          <w:color w:val="000000" w:themeColor="text1"/>
          <w:sz w:val="28"/>
          <w:szCs w:val="28"/>
          <w14:textFill>
            <w14:solidFill>
              <w14:schemeClr w14:val="tx1"/>
            </w14:solidFill>
          </w14:textFill>
        </w:rPr>
        <w:t>港界图。</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r>
        <w:rPr>
          <w:rFonts w:hint="eastAsia" w:ascii="黑体" w:hAnsi="黑体" w:eastAsia="黑体" w:cs="Arial"/>
          <w:b/>
          <w:bCs/>
          <w:snapToGrid/>
          <w:color w:val="000000"/>
          <w:sz w:val="28"/>
          <w:szCs w:val="28"/>
          <w:lang w:eastAsia="zh-CN"/>
        </w:rPr>
        <w:t>第二章  渔港管理机构</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hint="eastAsia" w:ascii="仿宋_GB2312" w:eastAsia="仿宋_GB2312"/>
          <w:sz w:val="28"/>
          <w:szCs w:val="28"/>
        </w:rPr>
      </w:pPr>
      <w:r>
        <w:rPr>
          <w:rFonts w:hint="eastAsia" w:ascii="仿宋_GB2312" w:eastAsia="仿宋_GB2312"/>
          <w:b/>
          <w:bCs/>
          <w:sz w:val="28"/>
          <w:szCs w:val="28"/>
        </w:rPr>
        <w:t xml:space="preserve">第五条  </w:t>
      </w:r>
      <w:r>
        <w:rPr>
          <w:rFonts w:hint="eastAsia" w:ascii="仿宋_GB2312" w:eastAsia="仿宋_GB2312"/>
          <w:sz w:val="28"/>
          <w:szCs w:val="28"/>
        </w:rPr>
        <w:t>渔港行政管理部门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lang w:eastAsia="zh-CN"/>
        </w:rPr>
        <w:t>岱山县海洋经济发展局</w:t>
      </w:r>
      <w:r>
        <w:rPr>
          <w:rFonts w:hint="eastAsia" w:ascii="仿宋_GB2312" w:eastAsia="仿宋_GB2312"/>
          <w:sz w:val="28"/>
          <w:szCs w:val="28"/>
        </w:rPr>
        <w:t>为本渔港的渔业行政主管部门，负责组织渔港建设规划等工作，负责对渔港、渔业船舶进行监督管理。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2" w:firstLineChars="200"/>
        <w:jc w:val="left"/>
        <w:textAlignment w:val="auto"/>
        <w:outlineLvl w:val="1"/>
        <w:rPr>
          <w:rFonts w:hint="default" w:ascii="仿宋_GB2312" w:hAnsi="Times New Roman" w:eastAsia="仿宋_GB2312" w:cs="Times New Roman"/>
          <w:kern w:val="2"/>
          <w:sz w:val="28"/>
          <w:szCs w:val="28"/>
        </w:rPr>
      </w:pPr>
      <w:r>
        <w:rPr>
          <w:rFonts w:hint="eastAsia" w:ascii="仿宋_GB2312" w:eastAsia="仿宋_GB2312"/>
          <w:b/>
          <w:bCs/>
          <w:sz w:val="28"/>
          <w:szCs w:val="28"/>
        </w:rPr>
        <w:t xml:space="preserve">第六条 </w:t>
      </w:r>
      <w:r>
        <w:rPr>
          <w:rFonts w:hint="eastAsia" w:ascii="仿宋_GB2312" w:eastAsia="仿宋_GB2312"/>
          <w:sz w:val="28"/>
          <w:szCs w:val="28"/>
        </w:rPr>
        <w:t xml:space="preserve"> </w:t>
      </w:r>
      <w:r>
        <w:rPr>
          <w:rFonts w:hint="default" w:ascii="仿宋_GB2312" w:hAnsi="Times New Roman" w:eastAsia="仿宋_GB2312" w:cs="仿宋_GB2312"/>
          <w:kern w:val="2"/>
          <w:sz w:val="28"/>
          <w:szCs w:val="28"/>
          <w:lang w:val="en-US" w:eastAsia="zh-CN" w:bidi="ar"/>
        </w:rPr>
        <w:t>渔港监督管理机构</w:t>
      </w:r>
      <w:r>
        <w:rPr>
          <w:rFonts w:hint="eastAsia" w:ascii="仿宋_GB2312" w:eastAsia="仿宋_GB2312" w:cs="仿宋_GB2312"/>
          <w:kern w:val="2"/>
          <w:sz w:val="28"/>
          <w:szCs w:val="28"/>
          <w:lang w:val="en-US" w:eastAsia="zh-CN" w:bidi="ar"/>
        </w:rPr>
        <w:t>和</w:t>
      </w:r>
      <w:r>
        <w:rPr>
          <w:rFonts w:hint="default" w:ascii="仿宋_GB2312" w:hAnsi="Times New Roman" w:eastAsia="仿宋_GB2312" w:cs="仿宋_GB2312"/>
          <w:kern w:val="2"/>
          <w:sz w:val="28"/>
          <w:szCs w:val="28"/>
          <w:u w:val="none" w:color="auto"/>
          <w:lang w:val="en-US" w:eastAsia="zh-CN" w:bidi="ar"/>
        </w:rPr>
        <w:t>渔港港务管理机构</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trike w:val="0"/>
          <w:dstrike w:val="0"/>
          <w:sz w:val="28"/>
          <w:szCs w:val="28"/>
          <w:u w:val="none" w:color="auto"/>
        </w:rPr>
      </w:pPr>
      <w:r>
        <w:rPr>
          <w:rFonts w:hint="eastAsia" w:ascii="仿宋_GB2312" w:eastAsia="仿宋_GB2312"/>
          <w:strike w:val="0"/>
          <w:dstrike w:val="0"/>
          <w:sz w:val="28"/>
          <w:szCs w:val="28"/>
          <w:u w:val="none" w:color="auto"/>
          <w:lang w:val="en-US" w:eastAsia="zh-CN"/>
        </w:rPr>
        <w:t>长涂渔港综合管理站</w:t>
      </w:r>
      <w:r>
        <w:rPr>
          <w:rFonts w:hint="default" w:ascii="仿宋_GB2312" w:eastAsia="仿宋_GB2312"/>
          <w:strike w:val="0"/>
          <w:dstrike w:val="0"/>
          <w:sz w:val="28"/>
          <w:szCs w:val="28"/>
          <w:u w:val="none" w:color="auto"/>
          <w:lang w:val="en-US" w:eastAsia="zh-CN"/>
        </w:rPr>
        <w:t>为</w:t>
      </w:r>
      <w:r>
        <w:rPr>
          <w:rFonts w:hint="eastAsia" w:ascii="仿宋_GB2312" w:eastAsia="仿宋_GB2312"/>
          <w:strike w:val="0"/>
          <w:dstrike w:val="0"/>
          <w:sz w:val="28"/>
          <w:szCs w:val="28"/>
          <w:u w:val="none" w:color="auto"/>
          <w:lang w:val="en-US" w:eastAsia="zh-CN"/>
        </w:rPr>
        <w:t>岱山县</w:t>
      </w:r>
      <w:r>
        <w:rPr>
          <w:rFonts w:hint="default" w:ascii="仿宋_GB2312" w:eastAsia="仿宋_GB2312"/>
          <w:strike w:val="0"/>
          <w:dstrike w:val="0"/>
          <w:sz w:val="28"/>
          <w:szCs w:val="28"/>
          <w:u w:val="none" w:color="auto"/>
          <w:lang w:val="en-US" w:eastAsia="zh-CN"/>
        </w:rPr>
        <w:t>渔业行政主管部门派驻本渔港，对本渔港、渔业船舶实施监督管理的常设机构</w:t>
      </w:r>
      <w:r>
        <w:rPr>
          <w:rFonts w:hint="eastAsia" w:ascii="仿宋_GB2312" w:eastAsia="仿宋_GB2312"/>
          <w:strike w:val="0"/>
          <w:dstrike w:val="0"/>
          <w:sz w:val="28"/>
          <w:szCs w:val="28"/>
          <w:u w:val="none" w:color="auto"/>
          <w:lang w:val="en-US" w:eastAsia="zh-CN"/>
        </w:rPr>
        <w:t>；同时，作为</w:t>
      </w:r>
      <w:r>
        <w:rPr>
          <w:rFonts w:hint="default" w:ascii="仿宋_GB2312" w:hAnsi="Times New Roman" w:eastAsia="仿宋_GB2312" w:cs="仿宋_GB2312"/>
          <w:kern w:val="2"/>
          <w:sz w:val="28"/>
          <w:szCs w:val="28"/>
          <w:u w:val="none" w:color="auto"/>
          <w:lang w:val="en-US" w:eastAsia="zh-CN" w:bidi="ar"/>
        </w:rPr>
        <w:t>本渔港的港务管理机构，负责本渔港的港务管理工作</w:t>
      </w:r>
      <w:r>
        <w:rPr>
          <w:rFonts w:hint="default" w:ascii="仿宋_GB2312" w:eastAsia="仿宋_GB2312"/>
          <w:strike w:val="0"/>
          <w:dstrike w:val="0"/>
          <w:sz w:val="28"/>
          <w:szCs w:val="28"/>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仿宋_GB2312" w:eastAsia="仿宋_GB2312"/>
          <w:b/>
          <w:bCs/>
          <w:sz w:val="28"/>
          <w:szCs w:val="28"/>
          <w:u w:val="none" w:color="auto"/>
          <w:lang w:val="en-US" w:eastAsia="zh-CN"/>
        </w:rPr>
      </w:pPr>
      <w:r>
        <w:rPr>
          <w:rFonts w:hint="eastAsia" w:ascii="仿宋_GB2312" w:eastAsia="仿宋_GB2312"/>
          <w:b/>
          <w:bCs/>
          <w:sz w:val="28"/>
          <w:szCs w:val="28"/>
          <w:u w:val="none" w:color="auto"/>
        </w:rPr>
        <w:t xml:space="preserve">第七条  </w:t>
      </w:r>
      <w:r>
        <w:rPr>
          <w:rFonts w:hint="eastAsia" w:ascii="仿宋_GB2312" w:eastAsia="仿宋_GB2312"/>
          <w:strike w:val="0"/>
          <w:dstrike w:val="0"/>
          <w:sz w:val="28"/>
          <w:szCs w:val="28"/>
          <w:u w:val="none" w:color="auto"/>
          <w:lang w:val="en-US" w:eastAsia="zh-CN"/>
        </w:rPr>
        <w:t>其他管理部门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仿宋_GB2312" w:eastAsia="仿宋_GB2312" w:cs="仿宋_GB2312"/>
          <w:kern w:val="2"/>
          <w:sz w:val="28"/>
          <w:szCs w:val="28"/>
          <w:u w:val="none" w:color="auto"/>
          <w:lang w:val="en-US" w:eastAsia="zh-CN" w:bidi="ar"/>
        </w:rPr>
      </w:pPr>
      <w:r>
        <w:rPr>
          <w:rFonts w:hint="eastAsia" w:ascii="仿宋_GB2312" w:eastAsia="仿宋_GB2312" w:cs="仿宋_GB2312"/>
          <w:kern w:val="2"/>
          <w:sz w:val="28"/>
          <w:szCs w:val="28"/>
          <w:u w:val="none" w:color="auto"/>
          <w:lang w:val="en-US" w:eastAsia="zh-CN" w:bidi="ar"/>
        </w:rPr>
        <w:t>（一）渔港执法管理机构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仿宋_GB2312" w:eastAsia="仿宋_GB2312" w:cs="仿宋_GB2312"/>
          <w:kern w:val="2"/>
          <w:sz w:val="28"/>
          <w:szCs w:val="28"/>
          <w:u w:val="none" w:color="auto"/>
          <w:lang w:val="en-US" w:eastAsia="zh-CN" w:bidi="ar"/>
        </w:rPr>
      </w:pPr>
      <w:r>
        <w:rPr>
          <w:rFonts w:hint="default" w:ascii="仿宋_GB2312" w:eastAsia="仿宋_GB2312" w:cs="仿宋_GB2312"/>
          <w:kern w:val="2"/>
          <w:sz w:val="28"/>
          <w:szCs w:val="28"/>
          <w:highlight w:val="none"/>
          <w:u w:val="none" w:color="auto"/>
          <w:lang w:val="en-US" w:eastAsia="zh-CN" w:bidi="ar"/>
        </w:rPr>
        <w:t>岱山县海洋行政执法中队</w:t>
      </w:r>
      <w:r>
        <w:rPr>
          <w:rFonts w:hint="default" w:ascii="仿宋_GB2312" w:eastAsia="仿宋_GB2312" w:cs="仿宋_GB2312"/>
          <w:kern w:val="2"/>
          <w:sz w:val="28"/>
          <w:szCs w:val="28"/>
          <w:u w:val="none" w:color="auto"/>
          <w:lang w:val="en-US" w:eastAsia="zh-CN" w:bidi="ar"/>
        </w:rPr>
        <w:t>为本渔港的执法管理机构，负责本渔港区域内海洋监察、渔政渔港等执法工作。</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0"/>
        <w:jc w:val="both"/>
        <w:textAlignment w:val="auto"/>
      </w:pPr>
      <w:r>
        <w:rPr>
          <w:rFonts w:hint="eastAsia" w:ascii="仿宋_GB2312" w:hAnsi="Times New Roman" w:eastAsia="仿宋_GB2312" w:cs="仿宋_GB2312"/>
          <w:kern w:val="2"/>
          <w:sz w:val="28"/>
          <w:szCs w:val="28"/>
          <w:u w:color="auto"/>
          <w:lang w:val="en-US" w:eastAsia="zh-CN" w:bidi="ar"/>
        </w:rPr>
        <w:t>（二）</w:t>
      </w:r>
      <w:r>
        <w:rPr>
          <w:rFonts w:hint="default" w:ascii="仿宋_GB2312" w:hAnsi="Times New Roman" w:eastAsia="仿宋_GB2312" w:cs="仿宋_GB2312"/>
          <w:kern w:val="2"/>
          <w:sz w:val="28"/>
          <w:szCs w:val="28"/>
          <w:u w:val="none" w:color="auto"/>
          <w:lang w:val="en-US" w:eastAsia="zh-CN" w:bidi="ar"/>
        </w:rPr>
        <w:t>其他涉及</w:t>
      </w:r>
      <w:r>
        <w:rPr>
          <w:rFonts w:hint="default" w:ascii="仿宋_GB2312" w:hAnsi="Times New Roman" w:eastAsia="仿宋_GB2312" w:cs="仿宋_GB2312"/>
          <w:kern w:val="2"/>
          <w:sz w:val="28"/>
          <w:szCs w:val="28"/>
          <w:lang w:val="en-US" w:eastAsia="zh-CN" w:bidi="ar"/>
        </w:rPr>
        <w:t>本渔港管理的经信、应急管理、自然资源、综合行政执法、生态环境、交通运输、市场</w:t>
      </w:r>
      <w:r>
        <w:rPr>
          <w:rFonts w:hint="eastAsia" w:ascii="仿宋_GB2312" w:eastAsia="仿宋_GB2312" w:cs="仿宋_GB2312"/>
          <w:kern w:val="2"/>
          <w:sz w:val="28"/>
          <w:szCs w:val="28"/>
          <w:lang w:val="en-US" w:eastAsia="zh-CN" w:bidi="ar"/>
        </w:rPr>
        <w:t>监督</w:t>
      </w:r>
      <w:r>
        <w:rPr>
          <w:rFonts w:hint="default" w:ascii="仿宋_GB2312" w:hAnsi="Times New Roman" w:eastAsia="仿宋_GB2312" w:cs="仿宋_GB2312"/>
          <w:kern w:val="2"/>
          <w:sz w:val="28"/>
          <w:szCs w:val="28"/>
          <w:lang w:val="en-US" w:eastAsia="zh-CN" w:bidi="ar"/>
        </w:rPr>
        <w:t>、公安、海警、海事等部门根据各自职责负责相应的管理工作。</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r>
        <w:rPr>
          <w:rFonts w:hint="eastAsia" w:ascii="黑体" w:hAnsi="黑体" w:eastAsia="黑体" w:cs="Arial"/>
          <w:b/>
          <w:bCs/>
          <w:snapToGrid/>
          <w:color w:val="000000"/>
          <w:sz w:val="28"/>
          <w:szCs w:val="28"/>
          <w:lang w:eastAsia="zh-CN"/>
        </w:rPr>
        <w:t>第三章  渔业船舶管理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eastAsia="仿宋_GB2312"/>
          <w:b/>
          <w:bCs/>
          <w:sz w:val="28"/>
          <w:szCs w:val="28"/>
        </w:rPr>
      </w:pPr>
      <w:r>
        <w:rPr>
          <w:rFonts w:eastAsia="仿宋_GB2312"/>
          <w:b/>
          <w:bCs/>
          <w:sz w:val="28"/>
          <w:szCs w:val="28"/>
        </w:rPr>
        <w:t xml:space="preserve">第八条  </w:t>
      </w:r>
      <w:r>
        <w:rPr>
          <w:rFonts w:eastAsia="仿宋_GB2312"/>
          <w:sz w:val="28"/>
          <w:szCs w:val="28"/>
        </w:rPr>
        <w:t>进出本渔港的渔业船舶，必须具备以下条件：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（一）</w:t>
      </w:r>
      <w:r>
        <w:rPr>
          <w:rFonts w:eastAsia="仿宋_GB2312"/>
          <w:color w:val="000000" w:themeColor="text1"/>
          <w:sz w:val="28"/>
          <w:szCs w:val="28"/>
          <w14:textFill>
            <w14:solidFill>
              <w14:schemeClr w14:val="tx1"/>
            </w14:solidFill>
          </w14:textFill>
        </w:rPr>
        <w:t>按规定标示船名号、船籍港。</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color w:val="FF0000"/>
          <w:sz w:val="28"/>
          <w:szCs w:val="28"/>
        </w:rPr>
      </w:pPr>
      <w:r>
        <w:rPr>
          <w:rFonts w:hint="eastAsia" w:eastAsia="仿宋_GB2312"/>
          <w:color w:val="000000" w:themeColor="text1"/>
          <w:sz w:val="28"/>
          <w:szCs w:val="28"/>
          <w14:textFill>
            <w14:solidFill>
              <w14:schemeClr w14:val="tx1"/>
            </w14:solidFill>
          </w14:textFill>
        </w:rPr>
        <w:t>（二）</w:t>
      </w:r>
      <w:r>
        <w:rPr>
          <w:rFonts w:eastAsia="仿宋_GB2312"/>
          <w:color w:val="000000" w:themeColor="text1"/>
          <w:sz w:val="28"/>
          <w:szCs w:val="28"/>
          <w14:textFill>
            <w14:solidFill>
              <w14:schemeClr w14:val="tx1"/>
            </w14:solidFill>
          </w14:textFill>
        </w:rPr>
        <w:t>持有效船舶证书：渔业船舶登记证书、渔业船舶检验证书、捕捞许可证。</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（三）</w:t>
      </w:r>
      <w:r>
        <w:rPr>
          <w:rFonts w:eastAsia="仿宋_GB2312"/>
          <w:color w:val="000000" w:themeColor="text1"/>
          <w:sz w:val="28"/>
          <w:szCs w:val="28"/>
          <w14:textFill>
            <w14:solidFill>
              <w14:schemeClr w14:val="tx1"/>
            </w14:solidFill>
          </w14:textFill>
        </w:rPr>
        <w:t>按规定配齐船员、职务船员，并持有相应有效的适任证书。</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hint="eastAsia" w:eastAsia="仿宋_GB2312"/>
          <w:sz w:val="28"/>
          <w:szCs w:val="28"/>
        </w:rPr>
        <w:t>（四）</w:t>
      </w:r>
      <w:r>
        <w:rPr>
          <w:rFonts w:eastAsia="仿宋_GB2312"/>
          <w:sz w:val="28"/>
          <w:szCs w:val="28"/>
        </w:rPr>
        <w:t>船舶处于适航状态，救生、消防、信号及通讯、导航等事关安全的设施设备及防污染设备按规定配备齐全，且处于良好使用状态。</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eastAsia="仿宋_GB2312"/>
          <w:b/>
          <w:bCs/>
          <w:sz w:val="28"/>
          <w:szCs w:val="28"/>
        </w:rPr>
      </w:pPr>
      <w:r>
        <w:rPr>
          <w:rFonts w:eastAsia="仿宋_GB2312"/>
          <w:b/>
          <w:bCs/>
          <w:sz w:val="28"/>
          <w:szCs w:val="28"/>
        </w:rPr>
        <w:t xml:space="preserve">第九条 </w:t>
      </w:r>
      <w:r>
        <w:rPr>
          <w:rFonts w:eastAsia="仿宋_GB2312"/>
          <w:sz w:val="28"/>
          <w:szCs w:val="28"/>
        </w:rPr>
        <w:t xml:space="preserve"> 渔业船舶进出港</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本渔港实行渔业船舶进出港报告制。凡进出渔港的渔业船舶事前按规定主动通过进出港报告系统报告抵离港时间。船长为船舶进出港报告的第一责任人，并对信息的完整性和真实性负责。</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进港报告内容包括：拟进渔港、拟进港时间、船舶配员情况等。</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出港报告内容包括：拟出港时间，船舶配员情况等。</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color w:val="000000" w:themeColor="text1"/>
          <w:sz w:val="28"/>
          <w:szCs w:val="28"/>
          <w14:textFill>
            <w14:solidFill>
              <w14:schemeClr w14:val="tx1"/>
            </w14:solidFill>
          </w14:textFill>
        </w:rPr>
      </w:pPr>
      <w:r>
        <w:rPr>
          <w:rFonts w:eastAsia="仿宋_GB2312"/>
          <w:sz w:val="28"/>
          <w:szCs w:val="28"/>
        </w:rPr>
        <w:t>因天气或应急等特殊原因不能按规定程序</w:t>
      </w:r>
      <w:r>
        <w:rPr>
          <w:rFonts w:eastAsia="仿宋_GB2312"/>
          <w:color w:val="000000" w:themeColor="text1"/>
          <w:sz w:val="28"/>
          <w:szCs w:val="28"/>
          <w14:textFill>
            <w14:solidFill>
              <w14:schemeClr w14:val="tx1"/>
            </w14:solidFill>
          </w14:textFill>
        </w:rPr>
        <w:t>报告的，本省渔船进入本渔港应在进港后48小时内补办报告手续，渔船离开本渔港应在出港后24小时内补办报告手续，外省籍渔业船舶参照执行。</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船舶提交进出港报告后，未收到反馈信息的，应主动联系驻港监督管理机构处理。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eastAsia="仿宋_GB2312"/>
          <w:color w:val="000000" w:themeColor="text1"/>
          <w:sz w:val="28"/>
          <w:szCs w:val="28"/>
          <w14:textFill>
            <w14:solidFill>
              <w14:schemeClr w14:val="tx1"/>
            </w14:solidFill>
          </w14:textFill>
        </w:rPr>
      </w:pPr>
      <w:r>
        <w:rPr>
          <w:rFonts w:eastAsia="仿宋_GB2312"/>
          <w:b/>
          <w:bCs/>
          <w:color w:val="000000" w:themeColor="text1"/>
          <w:sz w:val="28"/>
          <w:szCs w:val="28"/>
          <w14:textFill>
            <w14:solidFill>
              <w14:schemeClr w14:val="tx1"/>
            </w14:solidFill>
          </w14:textFill>
        </w:rPr>
        <w:t>第十条</w:t>
      </w:r>
      <w:r>
        <w:rPr>
          <w:rFonts w:eastAsia="仿宋_GB2312"/>
          <w:color w:val="000000" w:themeColor="text1"/>
          <w:sz w:val="28"/>
          <w:szCs w:val="28"/>
          <w14:textFill>
            <w14:solidFill>
              <w14:schemeClr w14:val="tx1"/>
            </w14:solidFill>
          </w14:textFill>
        </w:rPr>
        <w:t xml:space="preserve">  进出本渔港的渔业船舶，</w:t>
      </w:r>
      <w:r>
        <w:rPr>
          <w:rFonts w:eastAsia="仿宋_GB2312"/>
          <w:sz w:val="28"/>
          <w:szCs w:val="28"/>
        </w:rPr>
        <w:t>驻港监督管理机构</w:t>
      </w:r>
      <w:r>
        <w:rPr>
          <w:rFonts w:eastAsia="仿宋_GB2312"/>
          <w:color w:val="000000" w:themeColor="text1"/>
          <w:sz w:val="28"/>
          <w:szCs w:val="28"/>
          <w14:textFill>
            <w14:solidFill>
              <w14:schemeClr w14:val="tx1"/>
            </w14:solidFill>
          </w14:textFill>
        </w:rPr>
        <w:t>须对其渔业船员的持证情况、任职资格和资历、履职情况、安全记录等进行监督检查，必要时需对船员等进行现场核验。</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r>
        <w:rPr>
          <w:rFonts w:hint="eastAsia" w:ascii="黑体" w:hAnsi="黑体" w:eastAsia="黑体" w:cs="Arial"/>
          <w:b/>
          <w:bCs/>
          <w:snapToGrid/>
          <w:color w:val="000000"/>
          <w:sz w:val="28"/>
          <w:szCs w:val="28"/>
          <w:lang w:eastAsia="zh-CN"/>
        </w:rPr>
        <w:t xml:space="preserve">第四章 </w:t>
      </w:r>
      <w:bookmarkStart w:id="0" w:name="_Hlk131688382"/>
      <w:r>
        <w:rPr>
          <w:rFonts w:hint="eastAsia" w:ascii="黑体" w:hAnsi="黑体" w:eastAsia="黑体" w:cs="Arial"/>
          <w:b/>
          <w:bCs/>
          <w:snapToGrid/>
          <w:color w:val="000000"/>
          <w:sz w:val="28"/>
          <w:szCs w:val="28"/>
          <w:lang w:eastAsia="zh-CN"/>
        </w:rPr>
        <w:t xml:space="preserve"> </w:t>
      </w:r>
      <w:bookmarkEnd w:id="0"/>
      <w:r>
        <w:rPr>
          <w:rFonts w:hint="eastAsia" w:ascii="黑体" w:hAnsi="黑体" w:eastAsia="黑体" w:cs="Arial"/>
          <w:b/>
          <w:bCs/>
          <w:snapToGrid/>
          <w:color w:val="000000"/>
          <w:sz w:val="28"/>
          <w:szCs w:val="28"/>
          <w:lang w:eastAsia="zh-CN"/>
        </w:rPr>
        <w:t>渔港港区管理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1"/>
        <w:rPr>
          <w:rFonts w:hint="eastAsia" w:ascii="仿宋_GB2312" w:eastAsia="仿宋_GB2312"/>
          <w:b/>
          <w:bCs/>
          <w:sz w:val="28"/>
          <w:szCs w:val="28"/>
        </w:rPr>
      </w:pPr>
      <w:r>
        <w:rPr>
          <w:rFonts w:hint="eastAsia" w:ascii="仿宋_GB2312" w:eastAsia="仿宋_GB2312"/>
          <w:b/>
          <w:bCs/>
          <w:sz w:val="28"/>
          <w:szCs w:val="28"/>
        </w:rPr>
        <w:t>第十</w:t>
      </w:r>
      <w:r>
        <w:rPr>
          <w:rFonts w:hint="eastAsia" w:ascii="仿宋_GB2312" w:eastAsia="仿宋_GB2312"/>
          <w:b/>
          <w:bCs/>
          <w:sz w:val="28"/>
          <w:szCs w:val="28"/>
          <w:lang w:val="en-US" w:eastAsia="zh-CN"/>
        </w:rPr>
        <w:t>一</w:t>
      </w:r>
      <w:r>
        <w:rPr>
          <w:rFonts w:hint="eastAsia" w:ascii="仿宋_GB2312" w:eastAsia="仿宋_GB2312"/>
          <w:b/>
          <w:bCs/>
          <w:sz w:val="28"/>
          <w:szCs w:val="28"/>
        </w:rPr>
        <w:t xml:space="preserve">条  </w:t>
      </w:r>
      <w:r>
        <w:rPr>
          <w:rFonts w:hint="eastAsia" w:ascii="仿宋_GB2312" w:eastAsia="仿宋_GB2312"/>
          <w:sz w:val="28"/>
          <w:szCs w:val="28"/>
        </w:rPr>
        <w:t>渔港港区设置管理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hAnsi="Times New Roman" w:eastAsia="仿宋_GB2312" w:cs="Times New Roman"/>
          <w:snapToGrid/>
          <w:sz w:val="28"/>
          <w:szCs w:val="28"/>
          <w:lang w:eastAsia="zh-CN"/>
        </w:rPr>
        <w:t>本渔港港区及锚地的设置、划分和调整，由岱山县渔业行政主管部门</w:t>
      </w:r>
      <w:r>
        <w:rPr>
          <w:rFonts w:hint="eastAsia" w:ascii="仿宋_GB2312" w:eastAsia="仿宋_GB2312" w:cs="Times New Roman"/>
          <w:snapToGrid/>
          <w:sz w:val="28"/>
          <w:szCs w:val="28"/>
          <w:lang w:val="en-US" w:eastAsia="zh-CN"/>
        </w:rPr>
        <w:t>提出，上报岱山县人民政府，由岱山县人民政府</w:t>
      </w:r>
      <w:r>
        <w:rPr>
          <w:rFonts w:hint="eastAsia" w:ascii="仿宋_GB2312" w:hAnsi="Times New Roman" w:eastAsia="仿宋_GB2312" w:cs="Times New Roman"/>
          <w:snapToGrid/>
          <w:sz w:val="28"/>
          <w:szCs w:val="28"/>
          <w:lang w:eastAsia="zh-CN"/>
        </w:rPr>
        <w:t>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1"/>
        <w:rPr>
          <w:rFonts w:hint="eastAsia" w:ascii="仿宋_GB2312" w:eastAsia="仿宋_GB2312"/>
          <w:sz w:val="28"/>
          <w:szCs w:val="28"/>
        </w:rPr>
      </w:pPr>
      <w:r>
        <w:rPr>
          <w:rFonts w:hint="eastAsia" w:ascii="仿宋_GB2312" w:eastAsia="仿宋_GB2312"/>
          <w:b/>
          <w:bCs/>
          <w:sz w:val="28"/>
          <w:szCs w:val="28"/>
        </w:rPr>
        <w:t>第十</w:t>
      </w:r>
      <w:r>
        <w:rPr>
          <w:rFonts w:hint="eastAsia" w:ascii="仿宋_GB2312" w:eastAsia="仿宋_GB2312"/>
          <w:b/>
          <w:bCs/>
          <w:sz w:val="28"/>
          <w:szCs w:val="28"/>
          <w:lang w:val="en-US" w:eastAsia="zh-CN"/>
        </w:rPr>
        <w:t>二</w:t>
      </w:r>
      <w:r>
        <w:rPr>
          <w:rFonts w:hint="eastAsia" w:ascii="仿宋_GB2312" w:eastAsia="仿宋_GB2312"/>
          <w:b/>
          <w:bCs/>
          <w:sz w:val="28"/>
          <w:szCs w:val="28"/>
        </w:rPr>
        <w:t>条</w:t>
      </w:r>
      <w:r>
        <w:rPr>
          <w:rFonts w:hint="eastAsia" w:ascii="仿宋_GB2312" w:eastAsia="仿宋_GB2312"/>
          <w:sz w:val="28"/>
          <w:szCs w:val="28"/>
        </w:rPr>
        <w:t xml:space="preserve">  渔港公用设施管理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仿宋_GB2312" w:eastAsia="仿宋_GB2312"/>
          <w:sz w:val="28"/>
          <w:szCs w:val="28"/>
        </w:rPr>
      </w:pPr>
      <w:r>
        <w:rPr>
          <w:rFonts w:hint="eastAsia" w:ascii="仿宋_GB2312" w:eastAsia="仿宋_GB2312"/>
          <w:sz w:val="28"/>
          <w:szCs w:val="28"/>
        </w:rPr>
        <w:t>在本渔港内新建、改建、扩建各种设施，或者进行其他水上、水下施工作业，除依照国家规定履行审批手续外，应当报请渔港监督管理机构备案并事先发布航行通告。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1"/>
        <w:rPr>
          <w:rFonts w:hint="eastAsia" w:ascii="仿宋_GB2312" w:eastAsia="仿宋_GB2312"/>
          <w:sz w:val="28"/>
          <w:szCs w:val="28"/>
        </w:rPr>
      </w:pPr>
      <w:r>
        <w:rPr>
          <w:rFonts w:hint="eastAsia" w:ascii="仿宋_GB2312" w:eastAsia="仿宋_GB2312"/>
          <w:sz w:val="28"/>
          <w:szCs w:val="28"/>
        </w:rPr>
        <w:t>擅自设置、侵占、损坏并影响渔港安全设施的，由渔港监督管理机构会商各职能部门，依法责令限期内拆除或清理并承担赔偿责任。</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第十</w:t>
      </w:r>
      <w:r>
        <w:rPr>
          <w:rFonts w:hint="eastAsia" w:ascii="仿宋_GB2312" w:eastAsia="仿宋_GB2312"/>
          <w:b/>
          <w:bCs/>
          <w:color w:val="000000" w:themeColor="text1"/>
          <w:sz w:val="28"/>
          <w:szCs w:val="28"/>
          <w:lang w:val="en-US" w:eastAsia="zh-CN"/>
          <w14:textFill>
            <w14:solidFill>
              <w14:schemeClr w14:val="tx1"/>
            </w14:solidFill>
          </w14:textFill>
        </w:rPr>
        <w:t>三</w:t>
      </w:r>
      <w:r>
        <w:rPr>
          <w:rFonts w:hint="eastAsia" w:ascii="仿宋_GB2312" w:eastAsia="仿宋_GB2312"/>
          <w:b/>
          <w:bCs/>
          <w:color w:val="000000" w:themeColor="text1"/>
          <w:sz w:val="28"/>
          <w:szCs w:val="28"/>
          <w14:textFill>
            <w14:solidFill>
              <w14:schemeClr w14:val="tx1"/>
            </w14:solidFill>
          </w14:textFill>
        </w:rPr>
        <w:t xml:space="preserve">条 </w:t>
      </w:r>
      <w:r>
        <w:rPr>
          <w:rFonts w:hint="eastAsia" w:ascii="仿宋_GB2312" w:eastAsia="仿宋_GB2312"/>
          <w:sz w:val="28"/>
          <w:szCs w:val="28"/>
        </w:rPr>
        <w:t xml:space="preserve"> 港区装卸作业管理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在本渔港进行装卸作业的渔业船舶，应在规定的区域和码头进行有序装卸和运输。其他进入渔港码头和渔港设施的车辆或人员，应当服从驻港监督管理机构的指挥调度。</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第十</w:t>
      </w:r>
      <w:r>
        <w:rPr>
          <w:rFonts w:hint="eastAsia" w:ascii="仿宋_GB2312" w:eastAsia="仿宋_GB2312"/>
          <w:b/>
          <w:bCs/>
          <w:color w:val="000000" w:themeColor="text1"/>
          <w:sz w:val="28"/>
          <w:szCs w:val="28"/>
          <w:lang w:val="en-US" w:eastAsia="zh-CN"/>
          <w14:textFill>
            <w14:solidFill>
              <w14:schemeClr w14:val="tx1"/>
            </w14:solidFill>
          </w14:textFill>
        </w:rPr>
        <w:t>四</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color w:val="000000" w:themeColor="text1"/>
          <w:sz w:val="28"/>
          <w:szCs w:val="28"/>
          <w14:textFill>
            <w14:solidFill>
              <w14:schemeClr w14:val="tx1"/>
            </w14:solidFill>
          </w14:textFill>
        </w:rPr>
        <w:t xml:space="preserve">  渔业船舶靠泊管理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大型渔业船舶（船长24米及以上）在码头并泊，</w:t>
      </w:r>
      <w:r>
        <w:rPr>
          <w:rFonts w:hint="eastAsia" w:eastAsia="仿宋_GB2312" w:cs="Times New Roman"/>
          <w:spacing w:val="6"/>
          <w:sz w:val="28"/>
          <w:szCs w:val="28"/>
          <w:lang w:val="en-US" w:eastAsia="zh-CN"/>
        </w:rPr>
        <w:t>需有序靠泊，确保安全</w:t>
      </w:r>
      <w:r>
        <w:rPr>
          <w:rFonts w:hint="eastAsia" w:ascii="仿宋_GB2312" w:eastAsia="仿宋_GB2312"/>
          <w:sz w:val="28"/>
          <w:szCs w:val="28"/>
        </w:rPr>
        <w:t>；如有特殊情况，由驻港监督管理机构统一安排靠泊。装卸或补给完毕后，渔业船舶应及时离开码头；遇有特殊原因，需经驻港监督管理机构批准后方可延长靠泊时间。</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第十</w:t>
      </w:r>
      <w:r>
        <w:rPr>
          <w:rFonts w:hint="eastAsia" w:ascii="仿宋_GB2312" w:eastAsia="仿宋_GB2312"/>
          <w:b/>
          <w:bCs/>
          <w:color w:val="000000" w:themeColor="text1"/>
          <w:sz w:val="28"/>
          <w:szCs w:val="28"/>
          <w:lang w:val="en-US" w:eastAsia="zh-CN"/>
          <w14:textFill>
            <w14:solidFill>
              <w14:schemeClr w14:val="tx1"/>
            </w14:solidFill>
          </w14:textFill>
        </w:rPr>
        <w:t>五</w:t>
      </w:r>
      <w:r>
        <w:rPr>
          <w:rFonts w:hint="eastAsia" w:ascii="仿宋_GB2312" w:eastAsia="仿宋_GB2312"/>
          <w:b/>
          <w:bCs/>
          <w:color w:val="000000" w:themeColor="text1"/>
          <w:sz w:val="28"/>
          <w:szCs w:val="28"/>
          <w14:textFill>
            <w14:solidFill>
              <w14:schemeClr w14:val="tx1"/>
            </w14:solidFill>
          </w14:textFill>
        </w:rPr>
        <w:t xml:space="preserve">条 </w:t>
      </w:r>
      <w:r>
        <w:rPr>
          <w:rFonts w:hint="eastAsia" w:ascii="仿宋_GB2312" w:eastAsia="仿宋_GB2312"/>
          <w:sz w:val="28"/>
          <w:szCs w:val="28"/>
        </w:rPr>
        <w:t xml:space="preserve"> 渔业船舶锚泊管理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渔业船舶在本渔港港区或锚地停泊、锚泊的，应遵守驻港监督管理机构的有关要求，且应留有值守船员，确保在任何情况下可正常移泊、</w:t>
      </w:r>
      <w:r>
        <w:rPr>
          <w:rFonts w:hint="eastAsia" w:ascii="仿宋_GB2312" w:eastAsia="仿宋_GB2312"/>
          <w:color w:val="000000" w:themeColor="text1"/>
          <w:sz w:val="28"/>
          <w:szCs w:val="28"/>
          <w14:textFill>
            <w14:solidFill>
              <w14:schemeClr w14:val="tx1"/>
            </w14:solidFill>
          </w14:textFill>
        </w:rPr>
        <w:t>航行。紧急</w:t>
      </w:r>
      <w:r>
        <w:rPr>
          <w:rFonts w:hint="eastAsia" w:ascii="仿宋_GB2312" w:eastAsia="仿宋_GB2312"/>
          <w:sz w:val="28"/>
          <w:szCs w:val="28"/>
        </w:rPr>
        <w:t>疏散时须服从驻港监督管理机构的现场调度和管理。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第十</w:t>
      </w:r>
      <w:r>
        <w:rPr>
          <w:rFonts w:hint="eastAsia" w:ascii="仿宋_GB2312" w:eastAsia="仿宋_GB2312"/>
          <w:b/>
          <w:bCs/>
          <w:color w:val="000000" w:themeColor="text1"/>
          <w:sz w:val="28"/>
          <w:szCs w:val="28"/>
          <w:lang w:val="en-US" w:eastAsia="zh-CN"/>
          <w14:textFill>
            <w14:solidFill>
              <w14:schemeClr w14:val="tx1"/>
            </w14:solidFill>
          </w14:textFill>
        </w:rPr>
        <w:t>六</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危化物装卸作业</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在本渔港内装卸易燃、易爆、有毒等危害品的，必须遵守国家关于危化物管理的规定，</w:t>
      </w:r>
      <w:r>
        <w:rPr>
          <w:rFonts w:hint="eastAsia" w:ascii="仿宋_GB2312" w:eastAsia="仿宋_GB2312"/>
          <w:sz w:val="28"/>
          <w:szCs w:val="28"/>
          <w:lang w:eastAsia="zh-CN"/>
        </w:rPr>
        <w:t>并事先向</w:t>
      </w:r>
      <w:r>
        <w:rPr>
          <w:rFonts w:hint="eastAsia" w:ascii="仿宋_GB2312" w:eastAsia="仿宋_GB2312"/>
          <w:sz w:val="28"/>
          <w:szCs w:val="28"/>
          <w:lang w:val="en-US" w:eastAsia="zh-CN"/>
        </w:rPr>
        <w:t>应急管理部门</w:t>
      </w:r>
      <w:r>
        <w:rPr>
          <w:rFonts w:hint="eastAsia" w:ascii="仿宋_GB2312" w:eastAsia="仿宋_GB2312"/>
          <w:sz w:val="28"/>
          <w:szCs w:val="28"/>
          <w:lang w:eastAsia="zh-CN"/>
        </w:rPr>
        <w:t>提出申请，经批准后</w:t>
      </w:r>
      <w:r>
        <w:rPr>
          <w:rFonts w:hint="eastAsia" w:ascii="仿宋_GB2312" w:eastAsia="仿宋_GB2312"/>
          <w:sz w:val="28"/>
          <w:szCs w:val="28"/>
          <w:lang w:val="en-US" w:eastAsia="zh-CN"/>
        </w:rPr>
        <w:t>向渔港监督管理机构报备，并</w:t>
      </w:r>
      <w:r>
        <w:rPr>
          <w:rFonts w:hint="eastAsia" w:ascii="仿宋_GB2312" w:eastAsia="仿宋_GB2312"/>
          <w:sz w:val="28"/>
          <w:szCs w:val="28"/>
          <w:lang w:eastAsia="zh-CN"/>
        </w:rPr>
        <w:t>在指定的安全地点装卸。</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本渔港陆域的供油设施，包括但不限于石油供应站、点等，应当具备相应资质，符合危化物安全管理要求，不得在渔港区域从事非法加油活动。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对在本渔港水域内从事加油作业船舶的安全监管，应参照国家交通、应急管理等有关部门有关港口危化物安全监督管理的要求，由驻港监督管理机构、国家交通、应急管理等相关部门根据各自职能负责。</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r>
        <w:rPr>
          <w:rFonts w:hint="eastAsia" w:ascii="黑体" w:hAnsi="黑体" w:eastAsia="黑体" w:cs="Arial"/>
          <w:b/>
          <w:bCs/>
          <w:snapToGrid/>
          <w:color w:val="000000"/>
          <w:sz w:val="28"/>
          <w:szCs w:val="28"/>
          <w:lang w:eastAsia="zh-CN"/>
        </w:rPr>
        <w:t>第五章  渔港环境保护</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第十</w:t>
      </w:r>
      <w:r>
        <w:rPr>
          <w:rFonts w:hint="eastAsia" w:eastAsia="仿宋_GB2312"/>
          <w:b/>
          <w:bCs/>
          <w:color w:val="000000" w:themeColor="text1"/>
          <w:sz w:val="28"/>
          <w:szCs w:val="28"/>
          <w:lang w:val="en-US" w:eastAsia="zh-CN"/>
          <w14:textFill>
            <w14:solidFill>
              <w14:schemeClr w14:val="tx1"/>
            </w14:solidFill>
          </w14:textFill>
        </w:rPr>
        <w:t>七</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渔港环境管理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驻港监督管理机构负责对本渔港港区环境进行监督管理，并调查处理渔业污染事件。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在本渔港内进行生产作业、停泊、锚泊的船只和所有从事经营的单位和个人等，均应依据相关环境保护法律、行政法规</w:t>
      </w:r>
      <w:r>
        <w:rPr>
          <w:rFonts w:hint="eastAsia" w:eastAsia="仿宋_GB2312"/>
          <w:sz w:val="28"/>
          <w:szCs w:val="28"/>
          <w:lang w:val="en-US" w:eastAsia="zh-CN"/>
        </w:rPr>
        <w:t>和部门规章等</w:t>
      </w:r>
      <w:r>
        <w:rPr>
          <w:rFonts w:eastAsia="仿宋_GB2312"/>
          <w:sz w:val="28"/>
          <w:szCs w:val="28"/>
        </w:rPr>
        <w:t>要求，采取有效方法，防止对渔港环境产生污染和危害。任何单位和个人造成本渔港水域污染事故，应立即采取措施控制和消除污染，并尽快向渔港监督管理机构报告。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经有关机构批准，在本渔港开展工程项目建设的，必须依法进行环境影响评价。渔港建设项目的安全设施和环境保护设施，必须和主体工程同时设计、同时施工、同时投入使用。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依照国家规定履行审批手续，在本渔港建设危化物作业场所、实施卫生除害处理专用场所的，应事先取得渔港监督管理机构同意，方可建设。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十八</w:t>
      </w:r>
      <w:r>
        <w:rPr>
          <w:rFonts w:eastAsia="仿宋_GB2312"/>
          <w:b/>
          <w:bCs/>
          <w:color w:val="000000" w:themeColor="text1"/>
          <w:sz w:val="28"/>
          <w:szCs w:val="28"/>
          <w14:textFill>
            <w14:solidFill>
              <w14:schemeClr w14:val="tx1"/>
            </w14:solidFill>
          </w14:textFill>
        </w:rPr>
        <w:t xml:space="preserve">条 </w:t>
      </w:r>
      <w:r>
        <w:rPr>
          <w:rFonts w:eastAsia="仿宋_GB2312"/>
          <w:sz w:val="28"/>
          <w:szCs w:val="28"/>
        </w:rPr>
        <w:t xml:space="preserve"> 船舶污染物排放控制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需在本渔港处置渔业垃圾、生活污水、含油污水、含有毒有害物质、固体废弃物等船舶垃圾，应当在船舶靠岸后定点集中存放，交由</w:t>
      </w:r>
      <w:r>
        <w:rPr>
          <w:rFonts w:hint="eastAsia" w:eastAsia="仿宋_GB2312"/>
          <w:sz w:val="28"/>
          <w:szCs w:val="28"/>
          <w:lang w:eastAsia="zh-CN"/>
        </w:rPr>
        <w:t>岱山县</w:t>
      </w:r>
      <w:r>
        <w:rPr>
          <w:rFonts w:eastAsia="仿宋_GB2312"/>
          <w:sz w:val="28"/>
          <w:szCs w:val="28"/>
        </w:rPr>
        <w:t>渔业行政主管部门委托第三方集中处置，不得随意排入本港水域。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在本渔港陆域内的涉港企业产生的废弃物、污染物，依照</w:t>
      </w:r>
      <w:r>
        <w:rPr>
          <w:rFonts w:hint="eastAsia" w:eastAsia="仿宋_GB2312"/>
          <w:sz w:val="28"/>
          <w:szCs w:val="28"/>
          <w:lang w:eastAsia="zh-CN"/>
        </w:rPr>
        <w:t>“</w:t>
      </w:r>
      <w:r>
        <w:rPr>
          <w:rFonts w:eastAsia="仿宋_GB2312"/>
          <w:sz w:val="28"/>
          <w:szCs w:val="28"/>
        </w:rPr>
        <w:t>谁产生、谁负责</w:t>
      </w:r>
      <w:r>
        <w:rPr>
          <w:rFonts w:hint="eastAsia" w:eastAsia="仿宋_GB2312"/>
          <w:sz w:val="28"/>
          <w:szCs w:val="28"/>
          <w:lang w:eastAsia="zh-CN"/>
        </w:rPr>
        <w:t>”</w:t>
      </w:r>
      <w:r>
        <w:rPr>
          <w:rFonts w:eastAsia="仿宋_GB2312"/>
          <w:sz w:val="28"/>
          <w:szCs w:val="28"/>
        </w:rPr>
        <w:t>的原则进行处置。</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十九</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相关作业防污染控制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仿宋_GB2312"/>
          <w:sz w:val="28"/>
          <w:szCs w:val="28"/>
        </w:rPr>
      </w:pPr>
      <w:r>
        <w:rPr>
          <w:rFonts w:eastAsia="仿宋_GB2312"/>
          <w:sz w:val="28"/>
          <w:szCs w:val="28"/>
        </w:rPr>
        <w:t>在本渔港水域内进行船舶洗舱、清舱、供油等作业的，须向驻港监督管理机构报备。作业时应按照国家规定配备防污染设备和器材，并落实有效的安全和防污染措施，并加强看守，防止出现跑、冒、滴、漏等可能污染环境情况。如发生相关情况，当事人应当及时采取措施予以清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仿宋_GB2312"/>
          <w:sz w:val="28"/>
          <w:szCs w:val="28"/>
        </w:rPr>
      </w:pPr>
      <w:r>
        <w:rPr>
          <w:rFonts w:eastAsia="仿宋_GB2312"/>
          <w:color w:val="000000" w:themeColor="text1"/>
          <w:sz w:val="28"/>
          <w:szCs w:val="28"/>
          <w14:textFill>
            <w14:solidFill>
              <w14:schemeClr w14:val="tx1"/>
            </w14:solidFill>
          </w14:textFill>
        </w:rPr>
        <w:t>在本渔港开展船舶打捞、拆解和其他水上水下施工作业的，应装备防污染器材，具备船舶垃圾接收、清运、消纳能力及设备。</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第二十条</w:t>
      </w:r>
      <w:r>
        <w:rPr>
          <w:rFonts w:eastAsia="仿宋_GB2312"/>
          <w:sz w:val="28"/>
          <w:szCs w:val="28"/>
        </w:rPr>
        <w:t xml:space="preserve">  船舶有害垃圾的接收处理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当需要处理的船舶垃圾中含有毒有害或者其他危险成分时，船长应在处理前向驻港监督管理机构</w:t>
      </w:r>
      <w:r>
        <w:rPr>
          <w:rFonts w:eastAsia="仿宋_GB2312"/>
          <w:color w:val="000000" w:themeColor="text1"/>
          <w:sz w:val="28"/>
          <w:szCs w:val="28"/>
          <w14:textFill>
            <w14:solidFill>
              <w14:schemeClr w14:val="tx1"/>
            </w14:solidFill>
          </w14:textFill>
        </w:rPr>
        <w:t>报备</w:t>
      </w:r>
      <w:r>
        <w:rPr>
          <w:rFonts w:eastAsia="仿宋_GB2312"/>
          <w:sz w:val="28"/>
          <w:szCs w:val="28"/>
        </w:rPr>
        <w:t>，并向接收处理单位提供此类物质的品名、数量、性质及处理注意事项。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来经疫区渔港的船舶垃圾在提交接收处理前，船长应向渔港监督管理机构报备，并向卫生防疫、检验检疫等部门提出申请，不得擅自处理。</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bookmarkStart w:id="1" w:name="_Hlk143093247"/>
      <w:r>
        <w:rPr>
          <w:rFonts w:hint="eastAsia" w:ascii="黑体" w:hAnsi="黑体" w:eastAsia="黑体" w:cs="Arial"/>
          <w:b/>
          <w:bCs/>
          <w:snapToGrid/>
          <w:color w:val="000000"/>
          <w:sz w:val="28"/>
          <w:szCs w:val="28"/>
          <w:lang w:eastAsia="zh-CN"/>
        </w:rPr>
        <w:t xml:space="preserve">第六章  </w:t>
      </w:r>
      <w:bookmarkEnd w:id="1"/>
      <w:r>
        <w:rPr>
          <w:rFonts w:hint="eastAsia" w:ascii="黑体" w:hAnsi="黑体" w:eastAsia="黑体" w:cs="Arial"/>
          <w:b/>
          <w:bCs/>
          <w:snapToGrid/>
          <w:color w:val="000000"/>
          <w:sz w:val="28"/>
          <w:szCs w:val="28"/>
          <w:lang w:eastAsia="zh-CN"/>
        </w:rPr>
        <w:t>渔港应急事件处理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第二十</w:t>
      </w:r>
      <w:r>
        <w:rPr>
          <w:rFonts w:hint="eastAsia" w:eastAsia="仿宋_GB2312"/>
          <w:b/>
          <w:bCs/>
          <w:color w:val="000000" w:themeColor="text1"/>
          <w:sz w:val="28"/>
          <w:szCs w:val="28"/>
          <w:lang w:val="en-US" w:eastAsia="zh-CN"/>
          <w14:textFill>
            <w14:solidFill>
              <w14:schemeClr w14:val="tx1"/>
            </w14:solidFill>
          </w14:textFill>
        </w:rPr>
        <w:t>一</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应急处理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渔业船舶、设施在本渔港水域内发生水上安全事故，</w:t>
      </w:r>
      <w:r>
        <w:rPr>
          <w:rFonts w:hint="eastAsia" w:eastAsia="仿宋_GB2312" w:cs="Times New Roman"/>
          <w:spacing w:val="6"/>
          <w:sz w:val="28"/>
          <w:szCs w:val="28"/>
          <w:lang w:val="en-US" w:eastAsia="zh-CN"/>
        </w:rPr>
        <w:t>当事人</w:t>
      </w:r>
      <w:r>
        <w:rPr>
          <w:rFonts w:eastAsia="仿宋_GB2312"/>
          <w:sz w:val="28"/>
          <w:szCs w:val="28"/>
        </w:rPr>
        <w:t>应当第一时间向驻港监督管理机构报告并提交有关船舶技术证书、证件等必要的文书资料，并接受调查处理。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eastAsia="仿宋_GB2312"/>
          <w:sz w:val="28"/>
          <w:szCs w:val="28"/>
        </w:rPr>
      </w:pPr>
      <w:r>
        <w:rPr>
          <w:rFonts w:eastAsia="仿宋_GB2312"/>
          <w:b/>
          <w:bCs/>
          <w:color w:val="000000" w:themeColor="text1"/>
          <w:sz w:val="28"/>
          <w:szCs w:val="28"/>
          <w14:textFill>
            <w14:solidFill>
              <w14:schemeClr w14:val="tx1"/>
            </w14:solidFill>
          </w14:textFill>
        </w:rPr>
        <w:t>第二十</w:t>
      </w:r>
      <w:r>
        <w:rPr>
          <w:rFonts w:hint="eastAsia" w:eastAsia="仿宋_GB2312"/>
          <w:b/>
          <w:bCs/>
          <w:color w:val="000000" w:themeColor="text1"/>
          <w:sz w:val="28"/>
          <w:szCs w:val="28"/>
          <w:lang w:val="en-US" w:eastAsia="zh-CN"/>
          <w14:textFill>
            <w14:solidFill>
              <w14:schemeClr w14:val="tx1"/>
            </w14:solidFill>
          </w14:textFill>
        </w:rPr>
        <w:t>二</w:t>
      </w:r>
      <w:r>
        <w:rPr>
          <w:rFonts w:eastAsia="仿宋_GB2312"/>
          <w:b/>
          <w:bCs/>
          <w:color w:val="000000" w:themeColor="text1"/>
          <w:sz w:val="28"/>
          <w:szCs w:val="28"/>
          <w14:textFill>
            <w14:solidFill>
              <w14:schemeClr w14:val="tx1"/>
            </w14:solidFill>
          </w14:textFill>
        </w:rPr>
        <w:t xml:space="preserve">条 </w:t>
      </w:r>
      <w:r>
        <w:rPr>
          <w:rFonts w:eastAsia="仿宋_GB2312"/>
          <w:sz w:val="28"/>
          <w:szCs w:val="28"/>
        </w:rPr>
        <w:t xml:space="preserve"> 事故的当事人和有关人员，在接受驻港监督管理机构调查时，必须如实提供现场情况和与事故有关的情节。</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14:textFill>
            <w14:solidFill>
              <w14:schemeClr w14:val="tx1"/>
            </w14:solidFill>
          </w14:textFill>
        </w:rPr>
        <w:t>二</w:t>
      </w:r>
      <w:r>
        <w:rPr>
          <w:rFonts w:eastAsia="仿宋_GB2312"/>
          <w:b/>
          <w:bCs/>
          <w:color w:val="000000" w:themeColor="text1"/>
          <w:sz w:val="28"/>
          <w:szCs w:val="28"/>
          <w14:textFill>
            <w14:solidFill>
              <w14:schemeClr w14:val="tx1"/>
            </w14:solidFill>
          </w14:textFill>
        </w:rPr>
        <w:t>十</w:t>
      </w:r>
      <w:r>
        <w:rPr>
          <w:rFonts w:hint="eastAsia" w:eastAsia="仿宋_GB2312"/>
          <w:b/>
          <w:bCs/>
          <w:color w:val="000000" w:themeColor="text1"/>
          <w:sz w:val="28"/>
          <w:szCs w:val="28"/>
          <w:lang w:val="en-US" w:eastAsia="zh-CN"/>
          <w14:textFill>
            <w14:solidFill>
              <w14:schemeClr w14:val="tx1"/>
            </w14:solidFill>
          </w14:textFill>
        </w:rPr>
        <w:t>三</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驻港监督管理机构负责本渔港水域内水上交通事故的调查处理。船舶接受调查处理期间未经驻港监督管理机构的同意，不得擅自离港。</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14:textFill>
            <w14:solidFill>
              <w14:schemeClr w14:val="tx1"/>
            </w14:solidFill>
          </w14:textFill>
        </w:rPr>
        <w:t>二</w:t>
      </w:r>
      <w:r>
        <w:rPr>
          <w:rFonts w:eastAsia="仿宋_GB2312"/>
          <w:b/>
          <w:bCs/>
          <w:color w:val="000000" w:themeColor="text1"/>
          <w:sz w:val="28"/>
          <w:szCs w:val="28"/>
          <w14:textFill>
            <w14:solidFill>
              <w14:schemeClr w14:val="tx1"/>
            </w14:solidFill>
          </w14:textFill>
        </w:rPr>
        <w:t>十</w:t>
      </w:r>
      <w:r>
        <w:rPr>
          <w:rFonts w:hint="eastAsia" w:eastAsia="仿宋_GB2312"/>
          <w:b/>
          <w:bCs/>
          <w:color w:val="000000" w:themeColor="text1"/>
          <w:sz w:val="28"/>
          <w:szCs w:val="28"/>
          <w:lang w:val="en-US" w:eastAsia="zh-CN"/>
          <w14:textFill>
            <w14:solidFill>
              <w14:schemeClr w14:val="tx1"/>
            </w14:solidFill>
          </w14:textFill>
        </w:rPr>
        <w:t>四</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防台风应急处理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lang w:eastAsia="zh-CN"/>
        </w:rPr>
      </w:pPr>
      <w:r>
        <w:rPr>
          <w:rFonts w:hint="eastAsia" w:eastAsia="仿宋_GB2312"/>
          <w:sz w:val="28"/>
          <w:szCs w:val="28"/>
          <w:lang w:eastAsia="zh-CN"/>
        </w:rPr>
        <w:t>防台风期间，岱山县渔业行政主管部门及驻港监督管理机构协调各相关部门应按防台风预案履行职责。</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color w:val="000000" w:themeColor="text1"/>
          <w:sz w:val="28"/>
          <w:szCs w:val="28"/>
          <w14:textFill>
            <w14:solidFill>
              <w14:schemeClr w14:val="tx1"/>
            </w14:solidFill>
          </w14:textFill>
        </w:rPr>
      </w:pPr>
      <w:r>
        <w:rPr>
          <w:rFonts w:hint="eastAsia" w:eastAsia="仿宋_GB2312"/>
          <w:sz w:val="28"/>
          <w:szCs w:val="28"/>
          <w:lang w:eastAsia="zh-CN"/>
        </w:rPr>
        <w:t>渔业船舶船长、工程项目施工单位等应服从岱山县渔业行政主管部门的指挥调度；</w:t>
      </w:r>
      <w:r>
        <w:rPr>
          <w:rFonts w:eastAsia="仿宋_GB2312"/>
          <w:color w:val="000000" w:themeColor="text1"/>
          <w:sz w:val="28"/>
          <w:szCs w:val="28"/>
          <w14:textFill>
            <w14:solidFill>
              <w14:schemeClr w14:val="tx1"/>
            </w14:solidFill>
          </w14:textFill>
        </w:rPr>
        <w:t>所有进港避风的船舶必须服从现场管理人员的指挥，并应在指定的锚地有序停泊或移泊。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根据省市防指或渔船应急处置指挥中心发布的防台警报等级，需要在本渔港港区内采取相应的应急响应措施，由</w:t>
      </w:r>
      <w:r>
        <w:rPr>
          <w:rFonts w:hint="eastAsia" w:eastAsia="仿宋_GB2312"/>
          <w:color w:val="000000" w:themeColor="text1"/>
          <w:sz w:val="28"/>
          <w:szCs w:val="28"/>
          <w:lang w:eastAsia="zh-CN"/>
          <w14:textFill>
            <w14:solidFill>
              <w14:schemeClr w14:val="tx1"/>
            </w14:solidFill>
          </w14:textFill>
        </w:rPr>
        <w:t>岱山县</w:t>
      </w:r>
      <w:r>
        <w:rPr>
          <w:rFonts w:eastAsia="仿宋_GB2312"/>
          <w:color w:val="000000" w:themeColor="text1"/>
          <w:sz w:val="28"/>
          <w:szCs w:val="28"/>
          <w14:textFill>
            <w14:solidFill>
              <w14:schemeClr w14:val="tx1"/>
            </w14:solidFill>
          </w14:textFill>
        </w:rPr>
        <w:t>渔业行政主管部门及</w:t>
      </w:r>
      <w:r>
        <w:rPr>
          <w:rFonts w:eastAsia="仿宋_GB2312"/>
          <w:sz w:val="28"/>
          <w:szCs w:val="28"/>
        </w:rPr>
        <w:t>驻港监督管理机构</w:t>
      </w:r>
      <w:r>
        <w:rPr>
          <w:rFonts w:eastAsia="仿宋_GB2312"/>
          <w:color w:val="000000" w:themeColor="text1"/>
          <w:sz w:val="28"/>
          <w:szCs w:val="28"/>
          <w14:textFill>
            <w14:solidFill>
              <w14:schemeClr w14:val="tx1"/>
            </w14:solidFill>
          </w14:textFill>
        </w:rPr>
        <w:t>组织实施。</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二十五</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台风影响期间，当发生突发事件时，事故现场及周边有关人员应当及时发出呼救信号，向驻港监督管理机构</w:t>
      </w:r>
      <w:r>
        <w:rPr>
          <w:rFonts w:hint="eastAsia" w:eastAsia="仿宋_GB2312"/>
          <w:sz w:val="28"/>
          <w:szCs w:val="28"/>
        </w:rPr>
        <w:t>或</w:t>
      </w:r>
      <w:r>
        <w:rPr>
          <w:rFonts w:eastAsia="仿宋_GB2312"/>
          <w:sz w:val="28"/>
          <w:szCs w:val="28"/>
        </w:rPr>
        <w:t>镇</w:t>
      </w:r>
      <w:r>
        <w:rPr>
          <w:rFonts w:hint="eastAsia" w:eastAsia="仿宋_GB2312"/>
          <w:sz w:val="28"/>
          <w:szCs w:val="28"/>
        </w:rPr>
        <w:t>政府</w:t>
      </w:r>
      <w:r>
        <w:rPr>
          <w:rFonts w:eastAsia="仿宋_GB2312"/>
          <w:sz w:val="28"/>
          <w:szCs w:val="28"/>
        </w:rPr>
        <w:t>报告，并采取积极有效的自救、互救措施。驻港监督管理机构应当及时组织、协调指挥救助行动；接到相关指令的部门、单位和船舶应当服从统一指挥，积极配合救助。</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二十六</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渔港内因沉船、沉没物或漂浮物造成航行障碍或影响航行安全的，其所有人、经营人应当立即向驻港监督管理机构报告，并设置标志，在规定时间内予以打捞清除或清理。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二十七</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公共卫生突发事件应急处理与传染病报告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本渔港内各相关单位、个人应配合卫生防疫、检验检疫等部门，做好渔港救灾防病、疫情防控和突发公共卫生事件处理等应急抢险救援工作。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发生公共卫生突发事件时，事发单位应立即采取有效措施防止事件扩散，并报告驻港监督管理机构和卫生防疫、检验检疫等部门。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本渔港内各相关单位、个人发现传染病病人或者疑似传染病病人时，应当及时向附近的疾病预防控制机构或者医疗机构报告。</w:t>
      </w:r>
    </w:p>
    <w:p>
      <w:pPr>
        <w:kinsoku/>
        <w:autoSpaceDE w:val="0"/>
        <w:autoSpaceDN w:val="0"/>
        <w:adjustRightInd w:val="0"/>
        <w:snapToGrid w:val="0"/>
        <w:spacing w:before="312" w:beforeLines="100" w:after="312" w:afterLines="100" w:line="360" w:lineRule="auto"/>
        <w:ind w:firstLine="562" w:firstLineChars="200"/>
        <w:jc w:val="center"/>
        <w:textAlignment w:val="baseline"/>
        <w:outlineLvl w:val="0"/>
        <w:rPr>
          <w:rFonts w:hint="eastAsia" w:ascii="黑体" w:hAnsi="黑体" w:eastAsia="黑体" w:cs="Arial"/>
          <w:b/>
          <w:bCs/>
          <w:snapToGrid/>
          <w:color w:val="000000"/>
          <w:sz w:val="28"/>
          <w:szCs w:val="28"/>
          <w:lang w:eastAsia="zh-CN"/>
        </w:rPr>
      </w:pPr>
      <w:r>
        <w:rPr>
          <w:rFonts w:hint="eastAsia" w:ascii="黑体" w:hAnsi="黑体" w:eastAsia="黑体" w:cs="Arial"/>
          <w:b/>
          <w:bCs/>
          <w:snapToGrid/>
          <w:color w:val="000000"/>
          <w:sz w:val="28"/>
          <w:szCs w:val="28"/>
          <w:lang w:eastAsia="zh-CN"/>
        </w:rPr>
        <w:t>第</w:t>
      </w:r>
      <w:r>
        <w:rPr>
          <w:rFonts w:hint="eastAsia" w:ascii="黑体" w:hAnsi="黑体" w:eastAsia="黑体" w:cs="Arial"/>
          <w:b/>
          <w:bCs/>
          <w:snapToGrid/>
          <w:color w:val="000000"/>
          <w:sz w:val="28"/>
          <w:szCs w:val="28"/>
          <w:lang w:val="en-US" w:eastAsia="zh-CN"/>
        </w:rPr>
        <w:t>七</w:t>
      </w:r>
      <w:r>
        <w:rPr>
          <w:rFonts w:hint="eastAsia" w:ascii="黑体" w:hAnsi="黑体" w:eastAsia="黑体" w:cs="Arial"/>
          <w:b/>
          <w:bCs/>
          <w:snapToGrid/>
          <w:color w:val="000000"/>
          <w:sz w:val="28"/>
          <w:szCs w:val="28"/>
          <w:lang w:eastAsia="zh-CN"/>
        </w:rPr>
        <w:t>章  禁止与限制</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w:t>
      </w:r>
      <w:r>
        <w:rPr>
          <w:rFonts w:hint="eastAsia" w:ascii="仿宋_GB2312" w:eastAsia="仿宋_GB2312"/>
          <w:b/>
          <w:bCs/>
          <w:color w:val="000000" w:themeColor="text1"/>
          <w:sz w:val="28"/>
          <w:szCs w:val="28"/>
          <w:lang w:val="en-US" w:eastAsia="zh-CN"/>
          <w14:textFill>
            <w14:solidFill>
              <w14:schemeClr w14:val="tx1"/>
            </w14:solidFill>
          </w14:textFill>
        </w:rPr>
        <w:t>二十八</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本渔港港界已经批准，渔港的港区、港界、陆域、水域、码头及其设施与功能受相关法律法规保护，禁止任何单位和个人擅自变更。如需变更的，按照相关规定执行。</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w:t>
      </w:r>
      <w:r>
        <w:rPr>
          <w:rFonts w:hint="eastAsia" w:ascii="仿宋_GB2312" w:eastAsia="仿宋_GB2312"/>
          <w:b/>
          <w:bCs/>
          <w:color w:val="000000" w:themeColor="text1"/>
          <w:sz w:val="28"/>
          <w:szCs w:val="28"/>
          <w:lang w:val="en-US" w:eastAsia="zh-CN"/>
          <w14:textFill>
            <w14:solidFill>
              <w14:schemeClr w14:val="tx1"/>
            </w14:solidFill>
          </w14:textFill>
        </w:rPr>
        <w:t>二十九</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因建设确需占用本渔港陆域、水域及渔港设施的，经</w:t>
      </w:r>
      <w:r>
        <w:rPr>
          <w:rFonts w:hint="eastAsia" w:ascii="仿宋_GB2312" w:eastAsia="仿宋_GB2312"/>
          <w:sz w:val="28"/>
          <w:szCs w:val="28"/>
          <w:lang w:eastAsia="zh-CN"/>
        </w:rPr>
        <w:t>岱山县</w:t>
      </w:r>
      <w:r>
        <w:rPr>
          <w:rFonts w:hint="eastAsia" w:ascii="仿宋_GB2312" w:eastAsia="仿宋_GB2312"/>
          <w:sz w:val="28"/>
          <w:szCs w:val="28"/>
        </w:rPr>
        <w:t>渔业行政主管部门同意后，应报经相关部门审核。</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第三十条</w:t>
      </w:r>
      <w:r>
        <w:rPr>
          <w:rFonts w:hint="eastAsia" w:ascii="仿宋_GB2312" w:eastAsia="仿宋_GB2312"/>
          <w:sz w:val="28"/>
          <w:szCs w:val="28"/>
        </w:rPr>
        <w:t xml:space="preserve">  港区管理禁止与限制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eastAsia="仿宋_GB2312"/>
          <w:sz w:val="28"/>
          <w:szCs w:val="28"/>
        </w:rPr>
      </w:pPr>
      <w:r>
        <w:rPr>
          <w:rFonts w:hint="eastAsia" w:eastAsia="仿宋_GB2312"/>
          <w:sz w:val="28"/>
          <w:szCs w:val="28"/>
        </w:rPr>
        <w:t>禁止在本渔港内码头、栈桥、路面随意堆放货物、器材和晾晒渔网鱼货等。</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eastAsia="仿宋_GB2312"/>
          <w:sz w:val="28"/>
          <w:szCs w:val="28"/>
          <w:lang w:eastAsia="zh-CN"/>
        </w:rPr>
      </w:pPr>
      <w:r>
        <w:rPr>
          <w:rFonts w:hint="eastAsia" w:eastAsia="仿宋_GB2312"/>
          <w:sz w:val="28"/>
          <w:szCs w:val="28"/>
          <w:lang w:eastAsia="zh-CN"/>
        </w:rPr>
        <w:t>禁止在港内</w:t>
      </w:r>
      <w:r>
        <w:rPr>
          <w:rFonts w:hint="eastAsia" w:eastAsia="仿宋_GB2312"/>
          <w:sz w:val="28"/>
          <w:szCs w:val="28"/>
          <w:lang w:val="en-US" w:eastAsia="zh-CN"/>
        </w:rPr>
        <w:t>电鱼、毒鱼、</w:t>
      </w:r>
      <w:r>
        <w:rPr>
          <w:rFonts w:hint="eastAsia" w:eastAsia="仿宋_GB2312"/>
          <w:sz w:val="28"/>
          <w:szCs w:val="28"/>
          <w:lang w:eastAsia="zh-CN"/>
        </w:rPr>
        <w:t>炸鱼</w:t>
      </w:r>
      <w:r>
        <w:rPr>
          <w:rFonts w:hint="eastAsia" w:eastAsia="仿宋_GB2312"/>
          <w:sz w:val="28"/>
          <w:szCs w:val="28"/>
          <w:lang w:val="en-US" w:eastAsia="zh-CN"/>
        </w:rPr>
        <w:t>等违规行为，禁止</w:t>
      </w:r>
      <w:r>
        <w:rPr>
          <w:rFonts w:hint="eastAsia" w:eastAsia="仿宋_GB2312"/>
          <w:sz w:val="28"/>
          <w:szCs w:val="28"/>
          <w:lang w:eastAsia="zh-CN"/>
        </w:rPr>
        <w:t>试放救生信号。</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eastAsia="仿宋_GB2312"/>
          <w:sz w:val="28"/>
          <w:szCs w:val="28"/>
        </w:rPr>
      </w:pPr>
      <w:r>
        <w:rPr>
          <w:rFonts w:hint="eastAsia" w:eastAsia="仿宋_GB2312"/>
          <w:sz w:val="28"/>
          <w:szCs w:val="28"/>
          <w:lang w:val="en-US" w:eastAsia="zh-CN"/>
        </w:rPr>
        <w:t>未经驻港监督管理机构允许，禁止在港区内明火作业和维修。</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第三十</w:t>
      </w:r>
      <w:r>
        <w:rPr>
          <w:rFonts w:hint="eastAsia" w:ascii="仿宋_GB2312" w:eastAsia="仿宋_GB2312"/>
          <w:b/>
          <w:bCs/>
          <w:color w:val="000000" w:themeColor="text1"/>
          <w:sz w:val="28"/>
          <w:szCs w:val="28"/>
          <w:lang w:val="en-US" w:eastAsia="zh-CN"/>
          <w14:textFill>
            <w14:solidFill>
              <w14:schemeClr w14:val="tx1"/>
            </w14:solidFill>
          </w14:textFill>
        </w:rPr>
        <w:t>一</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航道管理禁止与限制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禁止在本渔港航道及其附近滩地、岸坡进行不利于航道维护或者有碍航行安全的堆填、挖掘、种植、构筑建筑物等活动。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禁止在航道、港池、锚地和停泊区，从事有碍海上交通安全的捕捞、垂钓、养殖等生产活动。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禁止船舶在水下电缆、管线、海底设施等规定范围内抛锚和停泊。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禁止船舶在水上水下施工作业范围附近水域追越或者在单线航段会船、追越。</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第三十</w:t>
      </w:r>
      <w:r>
        <w:rPr>
          <w:rFonts w:hint="eastAsia" w:ascii="仿宋_GB2312" w:eastAsia="仿宋_GB2312"/>
          <w:b/>
          <w:bCs/>
          <w:color w:val="000000" w:themeColor="text1"/>
          <w:sz w:val="28"/>
          <w:szCs w:val="28"/>
          <w:lang w:val="en-US" w:eastAsia="zh-CN"/>
          <w14:textFill>
            <w14:solidFill>
              <w14:schemeClr w14:val="tx1"/>
            </w14:solidFill>
          </w14:textFill>
        </w:rPr>
        <w:t>二</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船舶进出港禁止与限制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进入本渔港的船舶有下列情况之一者，在未经处理、纠正或者改善前，驻港监督管理机构有权禁止其离港，或令其停航、改航。</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（一）违反中华人民共和国有关法律、行政法规或规章；</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（二）船舶处于不适航或不适拖状态；</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（三）发</w:t>
      </w:r>
      <w:r>
        <w:rPr>
          <w:rFonts w:hint="eastAsia" w:ascii="仿宋_GB2312" w:eastAsia="仿宋_GB2312"/>
          <w:color w:val="000000" w:themeColor="text1"/>
          <w:sz w:val="28"/>
          <w:szCs w:val="28"/>
          <w14:textFill>
            <w14:solidFill>
              <w14:schemeClr w14:val="tx1"/>
            </w14:solidFill>
          </w14:textFill>
        </w:rPr>
        <w:t>生安全及交通</w:t>
      </w:r>
      <w:r>
        <w:rPr>
          <w:rFonts w:hint="eastAsia" w:ascii="仿宋_GB2312" w:eastAsia="仿宋_GB2312"/>
          <w:sz w:val="28"/>
          <w:szCs w:val="28"/>
        </w:rPr>
        <w:t>事故，手续未清；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（四）船舶超载（包括超重、超高、超宽等违章装载）、违规生产（靠泊）或违章搭客；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lang w:eastAsia="zh-CN"/>
        </w:rPr>
      </w:pPr>
      <w:r>
        <w:rPr>
          <w:rFonts w:hint="eastAsia" w:ascii="仿宋_GB2312" w:eastAsia="仿宋_GB2312"/>
          <w:sz w:val="28"/>
          <w:szCs w:val="28"/>
          <w:lang w:eastAsia="zh-CN"/>
        </w:rPr>
        <w:t>（五）</w:t>
      </w:r>
      <w:r>
        <w:rPr>
          <w:rFonts w:hint="eastAsia" w:ascii="仿宋_GB2312" w:eastAsia="仿宋_GB2312"/>
          <w:sz w:val="28"/>
          <w:szCs w:val="28"/>
          <w:lang w:val="en-US" w:eastAsia="zh-CN"/>
        </w:rPr>
        <w:t>为满足渔业船舶职务船员最低配备标准或无船员证书</w:t>
      </w:r>
      <w:r>
        <w:rPr>
          <w:rFonts w:hint="eastAsia" w:ascii="仿宋_GB2312" w:eastAsia="仿宋_GB231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lang w:eastAsia="zh-CN"/>
        </w:rPr>
      </w:pPr>
      <w:r>
        <w:rPr>
          <w:rFonts w:hint="eastAsia" w:ascii="仿宋_GB2312" w:eastAsia="仿宋_GB2312"/>
          <w:sz w:val="28"/>
          <w:szCs w:val="28"/>
          <w:lang w:eastAsia="zh-CN"/>
        </w:rPr>
        <w:t>（六）未标明船名、船号及未配救生、消防等重要安全设备；</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七</w:t>
      </w:r>
      <w:r>
        <w:rPr>
          <w:rFonts w:hint="eastAsia" w:ascii="仿宋_GB2312" w:eastAsia="仿宋_GB2312"/>
          <w:sz w:val="28"/>
          <w:szCs w:val="28"/>
        </w:rPr>
        <w:t>）遇有恶劣天气，影响航行安全；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八</w:t>
      </w:r>
      <w:r>
        <w:rPr>
          <w:rFonts w:hint="eastAsia" w:ascii="仿宋_GB2312" w:eastAsia="仿宋_GB2312"/>
          <w:sz w:val="28"/>
          <w:szCs w:val="28"/>
        </w:rPr>
        <w:t>）未向驻港监督管理机构或有关部门交付应承担的费用，也未提供适当的担保；</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九</w:t>
      </w:r>
      <w:r>
        <w:rPr>
          <w:rFonts w:hint="eastAsia" w:ascii="仿宋_GB2312" w:eastAsia="仿宋_GB2312"/>
          <w:sz w:val="28"/>
          <w:szCs w:val="28"/>
        </w:rPr>
        <w:t>）驻港监督管理机构认为有其他妨害或者可能妨害海上交通安全的情况；</w:t>
      </w:r>
    </w:p>
    <w:p>
      <w:pPr>
        <w:widowControl w:val="0"/>
        <w:kinsoku/>
        <w:spacing w:line="360" w:lineRule="auto"/>
        <w:ind w:firstLine="584" w:firstLineChars="200"/>
        <w:jc w:val="both"/>
        <w:rPr>
          <w:rFonts w:hint="default" w:ascii="Times New Roman" w:hAnsi="Times New Roman" w:eastAsia="仿宋_GB2312" w:cs="Times New Roman"/>
          <w:spacing w:val="6"/>
          <w:sz w:val="28"/>
          <w:szCs w:val="28"/>
          <w:lang w:val="en-US" w:eastAsia="zh-CN"/>
        </w:rPr>
      </w:pPr>
      <w:r>
        <w:rPr>
          <w:rFonts w:hint="eastAsia" w:ascii="Times New Roman" w:hAnsi="Times New Roman" w:eastAsia="仿宋_GB2312" w:cs="Times New Roman"/>
          <w:spacing w:val="6"/>
          <w:sz w:val="28"/>
          <w:szCs w:val="28"/>
          <w:lang w:eastAsia="zh-CN"/>
        </w:rPr>
        <w:t>（十）</w:t>
      </w:r>
      <w:r>
        <w:rPr>
          <w:rFonts w:hint="eastAsia" w:eastAsia="仿宋_GB2312" w:cs="Times New Roman"/>
          <w:spacing w:val="6"/>
          <w:sz w:val="28"/>
          <w:szCs w:val="28"/>
          <w:lang w:val="en-US" w:eastAsia="zh-CN"/>
        </w:rPr>
        <w:t>本渔港内的渔业岸线、码头、锚地，禁止除渔船外的船舶靠泊、锚泊；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十一</w:t>
      </w:r>
      <w:r>
        <w:rPr>
          <w:rFonts w:hint="eastAsia" w:ascii="仿宋_GB2312" w:eastAsia="仿宋_GB2312"/>
          <w:sz w:val="28"/>
          <w:szCs w:val="28"/>
        </w:rPr>
        <w:t>）其他需要禁止航行的有关情况。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第三十</w:t>
      </w:r>
      <w:r>
        <w:rPr>
          <w:rFonts w:hint="eastAsia" w:ascii="仿宋_GB2312" w:eastAsia="仿宋_GB2312"/>
          <w:b/>
          <w:bCs/>
          <w:color w:val="000000" w:themeColor="text1"/>
          <w:sz w:val="28"/>
          <w:szCs w:val="28"/>
          <w:lang w:val="en-US" w:eastAsia="zh-CN"/>
          <w14:textFill>
            <w14:solidFill>
              <w14:schemeClr w14:val="tx1"/>
            </w14:solidFill>
          </w14:textFill>
        </w:rPr>
        <w:t>四</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危化物作业禁止与限制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禁止在本渔港码头装卸、储存国家禁止通过水路运输的危化物。</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eastAsia="仿宋_GB2312"/>
          <w:sz w:val="28"/>
          <w:szCs w:val="28"/>
        </w:rPr>
      </w:pPr>
      <w:r>
        <w:rPr>
          <w:rFonts w:hint="eastAsia" w:ascii="仿宋_GB2312" w:eastAsia="仿宋_GB2312"/>
          <w:b/>
          <w:bCs/>
          <w:color w:val="000000" w:themeColor="text1"/>
          <w:sz w:val="28"/>
          <w:szCs w:val="28"/>
          <w14:textFill>
            <w14:solidFill>
              <w14:schemeClr w14:val="tx1"/>
            </w14:solidFill>
          </w14:textFill>
        </w:rPr>
        <w:t>第</w:t>
      </w:r>
      <w:r>
        <w:rPr>
          <w:rFonts w:hint="eastAsia" w:ascii="仿宋_GB2312" w:eastAsia="仿宋_GB2312"/>
          <w:b/>
          <w:bCs/>
          <w:color w:val="000000" w:themeColor="text1"/>
          <w:sz w:val="28"/>
          <w:szCs w:val="28"/>
          <w:lang w:val="en-US" w:eastAsia="zh-CN"/>
          <w14:textFill>
            <w14:solidFill>
              <w14:schemeClr w14:val="tx1"/>
            </w14:solidFill>
          </w14:textFill>
        </w:rPr>
        <w:t>三十五</w:t>
      </w:r>
      <w:r>
        <w:rPr>
          <w:rFonts w:hint="eastAsia" w:ascii="仿宋_GB2312" w:eastAsia="仿宋_GB2312"/>
          <w:b/>
          <w:bCs/>
          <w:color w:val="000000" w:themeColor="text1"/>
          <w:sz w:val="28"/>
          <w:szCs w:val="28"/>
          <w14:textFill>
            <w14:solidFill>
              <w14:schemeClr w14:val="tx1"/>
            </w14:solidFill>
          </w14:textFill>
        </w:rPr>
        <w:t>条</w:t>
      </w:r>
      <w:r>
        <w:rPr>
          <w:rFonts w:hint="eastAsia" w:ascii="仿宋_GB2312" w:eastAsia="仿宋_GB2312"/>
          <w:sz w:val="28"/>
          <w:szCs w:val="28"/>
        </w:rPr>
        <w:t xml:space="preserve">  环境保护禁止与限制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禁止任何船舶或设施向本渔港水域排放残油、废油、油性混合物、废酸、废碱、货物残渣、船舶垃圾、建筑泥浆和其他超标有毒、有害物质。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hint="eastAsia" w:ascii="仿宋_GB2312" w:eastAsia="仿宋_GB2312"/>
          <w:sz w:val="28"/>
          <w:szCs w:val="28"/>
        </w:rPr>
        <w:t>对港区和水域造成污染、损害渔业资源、阻滞水流等责任者，要赔偿经济损失，承担清除费用。构成犯罪的，应依法追究其刑事责任。</w:t>
      </w:r>
    </w:p>
    <w:p>
      <w:pPr>
        <w:keepNext w:val="0"/>
        <w:keepLines w:val="0"/>
        <w:pageBreakBefore w:val="0"/>
        <w:widowControl w:val="0"/>
        <w:kinsoku/>
        <w:wordWrap/>
        <w:overflowPunct/>
        <w:topLinePunct w:val="0"/>
        <w:autoSpaceDE/>
        <w:autoSpaceDN/>
        <w:bidi w:val="0"/>
        <w:adjustRightInd w:val="0"/>
        <w:snapToGrid w:val="0"/>
        <w:spacing w:before="312" w:beforeLines="100"/>
        <w:jc w:val="center"/>
        <w:textAlignment w:val="auto"/>
        <w:outlineLvl w:val="0"/>
        <w:rPr>
          <w:rFonts w:hint="eastAsia" w:ascii="黑体" w:hAnsi="黑体" w:eastAsia="黑体"/>
          <w:b/>
          <w:bCs/>
          <w:sz w:val="28"/>
          <w:szCs w:val="28"/>
        </w:rPr>
      </w:pPr>
      <w:r>
        <w:rPr>
          <w:rFonts w:hint="eastAsia" w:ascii="黑体" w:hAnsi="黑体" w:eastAsia="黑体"/>
          <w:b/>
          <w:bCs/>
          <w:sz w:val="28"/>
          <w:szCs w:val="28"/>
        </w:rPr>
        <w:t>第</w:t>
      </w:r>
      <w:r>
        <w:rPr>
          <w:rFonts w:hint="eastAsia" w:ascii="黑体" w:hAnsi="黑体" w:eastAsia="黑体"/>
          <w:b/>
          <w:bCs/>
          <w:sz w:val="28"/>
          <w:szCs w:val="28"/>
          <w:lang w:val="en-US" w:eastAsia="zh-CN"/>
        </w:rPr>
        <w:t>八</w:t>
      </w:r>
      <w:r>
        <w:rPr>
          <w:rFonts w:hint="eastAsia" w:ascii="黑体" w:hAnsi="黑体" w:eastAsia="黑体"/>
          <w:b/>
          <w:bCs/>
          <w:sz w:val="28"/>
          <w:szCs w:val="28"/>
        </w:rPr>
        <w:t>章  附则</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三十六</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本渔港港章未作规定的事项，按国家和省市有关法律、行政法规、部门规章或规范性文件执行。</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三十七</w:t>
      </w:r>
      <w:r>
        <w:rPr>
          <w:rFonts w:eastAsia="仿宋_GB2312"/>
          <w:b/>
          <w:bCs/>
          <w:color w:val="000000" w:themeColor="text1"/>
          <w:sz w:val="28"/>
          <w:szCs w:val="28"/>
          <w14:textFill>
            <w14:solidFill>
              <w14:schemeClr w14:val="tx1"/>
            </w14:solidFill>
          </w14:textFill>
        </w:rPr>
        <w:t>条</w:t>
      </w:r>
      <w:r>
        <w:rPr>
          <w:rFonts w:eastAsia="仿宋_GB2312"/>
          <w:sz w:val="28"/>
          <w:szCs w:val="28"/>
        </w:rPr>
        <w:t xml:space="preserve">  解释部门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仿宋_GB2312"/>
          <w:sz w:val="28"/>
          <w:szCs w:val="28"/>
        </w:rPr>
      </w:pPr>
      <w:r>
        <w:rPr>
          <w:rFonts w:eastAsia="仿宋_GB2312"/>
          <w:sz w:val="28"/>
          <w:szCs w:val="28"/>
        </w:rPr>
        <w:t>本渔港港章由</w:t>
      </w:r>
      <w:r>
        <w:rPr>
          <w:rFonts w:hint="eastAsia" w:eastAsia="仿宋_GB2312"/>
          <w:sz w:val="28"/>
          <w:szCs w:val="28"/>
          <w:lang w:eastAsia="zh-CN"/>
        </w:rPr>
        <w:t>岱山县海洋经济发展局</w:t>
      </w:r>
      <w:r>
        <w:rPr>
          <w:rFonts w:eastAsia="仿宋_GB2312"/>
          <w:sz w:val="28"/>
          <w:szCs w:val="28"/>
        </w:rPr>
        <w:t>牵头负责解释。</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三十八</w:t>
      </w:r>
      <w:r>
        <w:rPr>
          <w:rFonts w:eastAsia="仿宋_GB2312"/>
          <w:b/>
          <w:bCs/>
          <w:color w:val="000000" w:themeColor="text1"/>
          <w:sz w:val="28"/>
          <w:szCs w:val="28"/>
          <w14:textFill>
            <w14:solidFill>
              <w14:schemeClr w14:val="tx1"/>
            </w14:solidFill>
          </w14:textFill>
        </w:rPr>
        <w:t xml:space="preserve">条 </w:t>
      </w:r>
      <w:r>
        <w:rPr>
          <w:rFonts w:eastAsia="仿宋_GB2312"/>
          <w:sz w:val="28"/>
          <w:szCs w:val="28"/>
        </w:rPr>
        <w:t xml:space="preserve"> 施行日期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本渔港港章自202</w:t>
      </w:r>
      <w:r>
        <w:rPr>
          <w:rFonts w:hint="eastAsia" w:eastAsia="仿宋_GB2312" w:cs="Times New Roman"/>
          <w:spacing w:val="6"/>
          <w:sz w:val="28"/>
          <w:szCs w:val="28"/>
          <w:lang w:val="en-US" w:eastAsia="zh-CN"/>
        </w:rPr>
        <w:t>5</w:t>
      </w:r>
      <w:r>
        <w:rPr>
          <w:rFonts w:hint="eastAsia" w:ascii="Times New Roman" w:hAnsi="Times New Roman" w:eastAsia="仿宋_GB2312" w:cs="Times New Roman"/>
          <w:spacing w:val="6"/>
          <w:sz w:val="28"/>
          <w:szCs w:val="28"/>
          <w:lang w:eastAsia="zh-CN"/>
        </w:rPr>
        <w:t>年</w:t>
      </w:r>
      <w:r>
        <w:rPr>
          <w:rFonts w:hint="eastAsia" w:eastAsia="仿宋_GB2312" w:cs="Times New Roman"/>
          <w:spacing w:val="6"/>
          <w:sz w:val="28"/>
          <w:szCs w:val="28"/>
          <w:lang w:val="en-US" w:eastAsia="zh-CN"/>
        </w:rPr>
        <w:t>4</w:t>
      </w:r>
      <w:r>
        <w:rPr>
          <w:rFonts w:hint="eastAsia" w:ascii="Times New Roman" w:hAnsi="Times New Roman" w:eastAsia="仿宋_GB2312" w:cs="Times New Roman"/>
          <w:spacing w:val="6"/>
          <w:sz w:val="28"/>
          <w:szCs w:val="28"/>
          <w:lang w:eastAsia="zh-CN"/>
        </w:rPr>
        <w:t>月</w:t>
      </w:r>
      <w:r>
        <w:rPr>
          <w:rFonts w:hint="eastAsia" w:eastAsia="仿宋_GB2312" w:cs="Times New Roman"/>
          <w:spacing w:val="6"/>
          <w:sz w:val="28"/>
          <w:szCs w:val="28"/>
          <w:lang w:val="en-US" w:eastAsia="zh-CN"/>
        </w:rPr>
        <w:t>1</w:t>
      </w:r>
      <w:r>
        <w:rPr>
          <w:rFonts w:hint="eastAsia" w:ascii="Times New Roman" w:hAnsi="Times New Roman" w:eastAsia="仿宋_GB2312" w:cs="Times New Roman"/>
          <w:spacing w:val="6"/>
          <w:sz w:val="28"/>
          <w:szCs w:val="28"/>
          <w:lang w:eastAsia="zh-CN"/>
        </w:rPr>
        <w:t>日起施行。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仿宋_GB2312" w:cs="Times New Roman"/>
          <w:spacing w:val="6"/>
          <w:sz w:val="28"/>
          <w:szCs w:val="28"/>
          <w:lang w:val="en-US" w:eastAsia="zh-CN"/>
        </w:rPr>
      </w:pPr>
      <w:bookmarkStart w:id="2" w:name="_GoBack"/>
      <w:bookmarkEnd w:id="2"/>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right"/>
        <w:textAlignment w:val="auto"/>
        <w:rPr>
          <w:rFonts w:hint="default" w:ascii="仿宋_GB2312" w:hAnsi="Times New Roman" w:eastAsia="仿宋_GB2312" w:cs="仿宋_GB2312"/>
          <w:kern w:val="2"/>
          <w:sz w:val="28"/>
          <w:szCs w:val="28"/>
          <w:u w:val="none" w:color="auto"/>
          <w:lang w:val="en-US" w:eastAsia="zh-CN" w:bidi="ar"/>
        </w:rPr>
      </w:pPr>
      <w:r>
        <w:rPr>
          <w:rFonts w:hint="default" w:ascii="仿宋_GB2312" w:hAnsi="Times New Roman" w:eastAsia="仿宋_GB2312" w:cs="仿宋_GB2312"/>
          <w:kern w:val="2"/>
          <w:sz w:val="28"/>
          <w:szCs w:val="28"/>
          <w:u w:val="none" w:color="auto"/>
          <w:lang w:val="en-US" w:eastAsia="zh-CN" w:bidi="ar"/>
        </w:rPr>
        <w:t>岱山县人民政府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right"/>
        <w:textAlignment w:val="auto"/>
        <w:rPr>
          <w:rFonts w:hint="default" w:ascii="仿宋_GB2312" w:hAnsi="Times New Roman" w:eastAsia="仿宋_GB2312" w:cs="仿宋_GB2312"/>
          <w:kern w:val="2"/>
          <w:sz w:val="28"/>
          <w:szCs w:val="28"/>
          <w:u w:val="none" w:color="auto"/>
          <w:lang w:val="en-US" w:eastAsia="zh-CN" w:bidi="ar"/>
        </w:rPr>
      </w:pPr>
      <w:r>
        <w:rPr>
          <w:rFonts w:hint="eastAsia" w:ascii="仿宋_GB2312" w:hAnsi="Times New Roman" w:eastAsia="仿宋_GB2312" w:cs="仿宋_GB2312"/>
          <w:kern w:val="2"/>
          <w:sz w:val="28"/>
          <w:szCs w:val="28"/>
          <w:u w:val="none" w:color="auto"/>
          <w:lang w:val="en-US" w:eastAsia="zh-CN" w:bidi="ar"/>
        </w:rPr>
        <w:t>202</w:t>
      </w:r>
      <w:r>
        <w:rPr>
          <w:rFonts w:hint="eastAsia" w:ascii="仿宋_GB2312" w:eastAsia="仿宋_GB2312" w:cs="仿宋_GB2312"/>
          <w:kern w:val="2"/>
          <w:sz w:val="28"/>
          <w:szCs w:val="28"/>
          <w:u w:val="none" w:color="auto"/>
          <w:lang w:val="en-US" w:eastAsia="zh-CN" w:bidi="ar"/>
        </w:rPr>
        <w:t>5</w:t>
      </w:r>
      <w:r>
        <w:rPr>
          <w:rFonts w:hint="eastAsia" w:ascii="仿宋_GB2312" w:hAnsi="Times New Roman" w:eastAsia="仿宋_GB2312" w:cs="仿宋_GB2312"/>
          <w:kern w:val="2"/>
          <w:sz w:val="28"/>
          <w:szCs w:val="28"/>
          <w:u w:val="none" w:color="auto"/>
          <w:lang w:val="en-US" w:eastAsia="zh-CN" w:bidi="ar"/>
        </w:rPr>
        <w:t>年</w:t>
      </w:r>
      <w:r>
        <w:rPr>
          <w:rFonts w:hint="eastAsia" w:ascii="仿宋_GB2312" w:eastAsia="仿宋_GB2312" w:cs="仿宋_GB2312"/>
          <w:kern w:val="2"/>
          <w:sz w:val="28"/>
          <w:szCs w:val="28"/>
          <w:u w:val="none" w:color="auto"/>
          <w:lang w:val="en-US" w:eastAsia="zh-CN" w:bidi="ar"/>
        </w:rPr>
        <w:t>2</w:t>
      </w:r>
      <w:r>
        <w:rPr>
          <w:rFonts w:hint="eastAsia" w:ascii="仿宋_GB2312" w:hAnsi="Times New Roman" w:eastAsia="仿宋_GB2312" w:cs="仿宋_GB2312"/>
          <w:kern w:val="2"/>
          <w:sz w:val="28"/>
          <w:szCs w:val="28"/>
          <w:u w:val="none" w:color="auto"/>
          <w:lang w:val="en-US" w:eastAsia="zh-CN" w:bidi="ar"/>
        </w:rPr>
        <w:t>月7日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仿宋_GB2312" w:hAnsi="Times New Roman" w:eastAsia="仿宋_GB2312" w:cs="仿宋_GB2312"/>
          <w:kern w:val="2"/>
          <w:sz w:val="28"/>
          <w:szCs w:val="28"/>
          <w:u w:val="none" w:color="auto"/>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仿宋_GB2312" w:hAnsi="Times New Roman" w:eastAsia="仿宋_GB2312" w:cs="仿宋_GB2312"/>
          <w:kern w:val="2"/>
          <w:sz w:val="28"/>
          <w:szCs w:val="28"/>
          <w:u w:val="none" w:color="auto"/>
          <w:lang w:val="en-US" w:eastAsia="zh-CN" w:bidi="ar"/>
        </w:rPr>
        <w:sectPr>
          <w:footerReference r:id="rId3" w:type="default"/>
          <w:pgSz w:w="11906" w:h="16838"/>
          <w:pgMar w:top="1361" w:right="1474" w:bottom="1134" w:left="1587" w:header="850" w:footer="850" w:gutter="0"/>
          <w:pgNumType w:fmt="decimal" w:start="1"/>
          <w:cols w:space="720" w:num="1"/>
          <w:docGrid w:type="lines" w:linePitch="312" w:charSpace="0"/>
        </w:sectPr>
      </w:pPr>
      <w:r>
        <w:rPr>
          <w:rFonts w:hint="eastAsia" w:ascii="仿宋_GB2312" w:eastAsia="仿宋_GB2312" w:cs="仿宋_GB2312"/>
          <w:kern w:val="2"/>
          <w:sz w:val="28"/>
          <w:szCs w:val="28"/>
          <w:u w:val="none" w:color="auto"/>
          <w:lang w:val="en-US" w:eastAsia="zh-CN" w:bidi="ar"/>
        </w:rPr>
        <w:t>附件：浙江省岱山县长涂渔港港界图</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黑体" w:hAnsi="黑体" w:eastAsia="黑体"/>
          <w:sz w:val="28"/>
          <w:szCs w:val="28"/>
        </w:rPr>
      </w:pP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黑体" w:hAnsi="黑体" w:eastAsia="黑体"/>
          <w:sz w:val="28"/>
          <w:szCs w:val="28"/>
        </w:rPr>
      </w:pPr>
      <w:r>
        <w:rPr>
          <w:rFonts w:hint="eastAsia" w:ascii="黑体" w:hAnsi="黑体" w:eastAsia="黑体"/>
          <w:sz w:val="28"/>
          <w:szCs w:val="28"/>
        </w:rPr>
        <w:t>附件</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黑体" w:hAnsi="黑体" w:eastAsia="黑体"/>
          <w:sz w:val="28"/>
          <w:szCs w:val="28"/>
        </w:rPr>
      </w:pPr>
    </w:p>
    <w:p>
      <w:pPr>
        <w:jc w:val="center"/>
        <w:rPr>
          <w:rFonts w:hint="eastAsia" w:eastAsia="宋体"/>
          <w:lang w:eastAsia="zh-CN"/>
        </w:rPr>
      </w:pPr>
      <w:r>
        <w:rPr>
          <w:rFonts w:hint="eastAsia" w:eastAsia="宋体"/>
          <w:lang w:eastAsia="zh-CN"/>
        </w:rPr>
        <w:drawing>
          <wp:inline distT="0" distB="0" distL="114300" distR="114300">
            <wp:extent cx="8738235" cy="4433570"/>
            <wp:effectExtent l="0" t="0" r="5715" b="5080"/>
            <wp:docPr id="1" name="图片 1" descr="D:/2025/2. 长涂渔港等级认定/港界/2.6 长涂渔港港界图01_00.png2.6 长涂渔港港界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5/2. 长涂渔港等级认定/港界/2.6 长涂渔港港界图01_00.png2.6 长涂渔港港界图01_00"/>
                    <pic:cNvPicPr>
                      <a:picLocks noChangeAspect="1"/>
                    </pic:cNvPicPr>
                  </pic:nvPicPr>
                  <pic:blipFill>
                    <a:blip r:embed="rId5"/>
                    <a:srcRect t="2293" b="2293"/>
                    <a:stretch>
                      <a:fillRect/>
                    </a:stretch>
                  </pic:blipFill>
                  <pic:spPr>
                    <a:xfrm>
                      <a:off x="0" y="0"/>
                      <a:ext cx="8738235" cy="4433570"/>
                    </a:xfrm>
                    <a:prstGeom prst="rect">
                      <a:avLst/>
                    </a:prstGeom>
                  </pic:spPr>
                </pic:pic>
              </a:graphicData>
            </a:graphic>
          </wp:inline>
        </w:drawing>
      </w:r>
    </w:p>
    <w:sectPr>
      <w:pgSz w:w="16838" w:h="11906" w:orient="landscape"/>
      <w:pgMar w:top="1361" w:right="1474" w:bottom="1134" w:left="1587" w:header="851" w:footer="85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7307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730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7.25pt;mso-position-horizontal:outside;mso-position-horizontal-relative:margin;z-index:251659264;mso-width-relative:page;mso-height-relative:page;" filled="f" stroked="f" coordsize="21600,21600" o:gfxdata="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ALwLsQ1AAAAAQBAAAPAAAAAAAA&#10;AAEAIAAAADgAAABkcnMvZG93bnJldi54bWxQSwECFAAUAAAACACHTuJAj2n5eDkCAABiBAAADgAA&#10;AAAAAAABACAAAAA5AQAAZHJzL2Uyb0RvYy54bWxQSwUGAAAAAAYABgBZAQAA5AU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1MjJmOWI4ZGI5OWQyOWQ2Zjk1NjA0ZDc5N2I3YjQifQ=="/>
  </w:docVars>
  <w:rsids>
    <w:rsidRoot w:val="0074540A"/>
    <w:rsid w:val="000037AA"/>
    <w:rsid w:val="00006F26"/>
    <w:rsid w:val="000177F6"/>
    <w:rsid w:val="00021A1F"/>
    <w:rsid w:val="00024C54"/>
    <w:rsid w:val="00027359"/>
    <w:rsid w:val="00032340"/>
    <w:rsid w:val="00035D7D"/>
    <w:rsid w:val="0003639E"/>
    <w:rsid w:val="00044DD5"/>
    <w:rsid w:val="00051FE1"/>
    <w:rsid w:val="00055CBF"/>
    <w:rsid w:val="00062CFD"/>
    <w:rsid w:val="000650DE"/>
    <w:rsid w:val="00081606"/>
    <w:rsid w:val="00081FC6"/>
    <w:rsid w:val="00082177"/>
    <w:rsid w:val="000841E3"/>
    <w:rsid w:val="000845F0"/>
    <w:rsid w:val="000857F5"/>
    <w:rsid w:val="00087B9A"/>
    <w:rsid w:val="00087F0A"/>
    <w:rsid w:val="0009041D"/>
    <w:rsid w:val="00096716"/>
    <w:rsid w:val="000A3F2F"/>
    <w:rsid w:val="000A4006"/>
    <w:rsid w:val="000A44B8"/>
    <w:rsid w:val="000B1EF6"/>
    <w:rsid w:val="000B4054"/>
    <w:rsid w:val="000B596B"/>
    <w:rsid w:val="000B69CF"/>
    <w:rsid w:val="000C3EBB"/>
    <w:rsid w:val="000C4CB8"/>
    <w:rsid w:val="000C65F6"/>
    <w:rsid w:val="000C6AB4"/>
    <w:rsid w:val="000C6F52"/>
    <w:rsid w:val="000D03EA"/>
    <w:rsid w:val="000E1823"/>
    <w:rsid w:val="000E2808"/>
    <w:rsid w:val="000E5D08"/>
    <w:rsid w:val="000F31E2"/>
    <w:rsid w:val="001008A3"/>
    <w:rsid w:val="00103C73"/>
    <w:rsid w:val="00104456"/>
    <w:rsid w:val="001051CC"/>
    <w:rsid w:val="001065BB"/>
    <w:rsid w:val="0011052E"/>
    <w:rsid w:val="0011484D"/>
    <w:rsid w:val="00123A4D"/>
    <w:rsid w:val="001248E7"/>
    <w:rsid w:val="00131FF2"/>
    <w:rsid w:val="0013284C"/>
    <w:rsid w:val="001363E8"/>
    <w:rsid w:val="00137834"/>
    <w:rsid w:val="001429A7"/>
    <w:rsid w:val="00144D42"/>
    <w:rsid w:val="00151A75"/>
    <w:rsid w:val="001528FF"/>
    <w:rsid w:val="00152E7F"/>
    <w:rsid w:val="0015326C"/>
    <w:rsid w:val="0015396F"/>
    <w:rsid w:val="001571C6"/>
    <w:rsid w:val="00160937"/>
    <w:rsid w:val="001636F0"/>
    <w:rsid w:val="00166AA7"/>
    <w:rsid w:val="001749A0"/>
    <w:rsid w:val="001773CF"/>
    <w:rsid w:val="00177BE2"/>
    <w:rsid w:val="00184D8D"/>
    <w:rsid w:val="00185AB6"/>
    <w:rsid w:val="00187BCD"/>
    <w:rsid w:val="001942B9"/>
    <w:rsid w:val="00194FD4"/>
    <w:rsid w:val="00196990"/>
    <w:rsid w:val="001A434A"/>
    <w:rsid w:val="001A4EAB"/>
    <w:rsid w:val="001B2CEC"/>
    <w:rsid w:val="001B535D"/>
    <w:rsid w:val="001C051D"/>
    <w:rsid w:val="001C25EA"/>
    <w:rsid w:val="001C44CB"/>
    <w:rsid w:val="001C44F4"/>
    <w:rsid w:val="001D182B"/>
    <w:rsid w:val="001D3413"/>
    <w:rsid w:val="001D5BEF"/>
    <w:rsid w:val="001D6FB4"/>
    <w:rsid w:val="001D7371"/>
    <w:rsid w:val="001E3193"/>
    <w:rsid w:val="00201DCB"/>
    <w:rsid w:val="00210D08"/>
    <w:rsid w:val="00215FE3"/>
    <w:rsid w:val="00233848"/>
    <w:rsid w:val="00234953"/>
    <w:rsid w:val="00234CB4"/>
    <w:rsid w:val="002356F4"/>
    <w:rsid w:val="002364FE"/>
    <w:rsid w:val="00242092"/>
    <w:rsid w:val="00242D5B"/>
    <w:rsid w:val="00253E6B"/>
    <w:rsid w:val="002572CC"/>
    <w:rsid w:val="00262E56"/>
    <w:rsid w:val="00263347"/>
    <w:rsid w:val="0027177B"/>
    <w:rsid w:val="0027283A"/>
    <w:rsid w:val="00272D18"/>
    <w:rsid w:val="002744D0"/>
    <w:rsid w:val="00274B27"/>
    <w:rsid w:val="0027599E"/>
    <w:rsid w:val="00275E6F"/>
    <w:rsid w:val="002764C4"/>
    <w:rsid w:val="002806DF"/>
    <w:rsid w:val="002814E4"/>
    <w:rsid w:val="00281708"/>
    <w:rsid w:val="002830F3"/>
    <w:rsid w:val="00285564"/>
    <w:rsid w:val="00292D60"/>
    <w:rsid w:val="00295473"/>
    <w:rsid w:val="002A24D4"/>
    <w:rsid w:val="002A39C8"/>
    <w:rsid w:val="002A3EB8"/>
    <w:rsid w:val="002A725E"/>
    <w:rsid w:val="002B3D7D"/>
    <w:rsid w:val="002B6A9C"/>
    <w:rsid w:val="002C2BF7"/>
    <w:rsid w:val="002C46D6"/>
    <w:rsid w:val="002C6B88"/>
    <w:rsid w:val="002D29AC"/>
    <w:rsid w:val="002E7112"/>
    <w:rsid w:val="002E79B5"/>
    <w:rsid w:val="00300BCE"/>
    <w:rsid w:val="0030167B"/>
    <w:rsid w:val="00301ED2"/>
    <w:rsid w:val="00302B43"/>
    <w:rsid w:val="003055D3"/>
    <w:rsid w:val="0030752C"/>
    <w:rsid w:val="003151E2"/>
    <w:rsid w:val="00315BF0"/>
    <w:rsid w:val="003160D9"/>
    <w:rsid w:val="00321CF4"/>
    <w:rsid w:val="0032238B"/>
    <w:rsid w:val="003252AD"/>
    <w:rsid w:val="00327271"/>
    <w:rsid w:val="00337EF3"/>
    <w:rsid w:val="003420F8"/>
    <w:rsid w:val="00344241"/>
    <w:rsid w:val="00344764"/>
    <w:rsid w:val="00347D69"/>
    <w:rsid w:val="00357067"/>
    <w:rsid w:val="0036141F"/>
    <w:rsid w:val="00366A8B"/>
    <w:rsid w:val="00366F0C"/>
    <w:rsid w:val="0037321E"/>
    <w:rsid w:val="003745FA"/>
    <w:rsid w:val="00375108"/>
    <w:rsid w:val="00376CC3"/>
    <w:rsid w:val="003820FE"/>
    <w:rsid w:val="00382342"/>
    <w:rsid w:val="003866DA"/>
    <w:rsid w:val="00390E37"/>
    <w:rsid w:val="00393845"/>
    <w:rsid w:val="00393CC0"/>
    <w:rsid w:val="00393F41"/>
    <w:rsid w:val="00394780"/>
    <w:rsid w:val="003A331D"/>
    <w:rsid w:val="003A3BFA"/>
    <w:rsid w:val="003A6C70"/>
    <w:rsid w:val="003B0244"/>
    <w:rsid w:val="003B0A96"/>
    <w:rsid w:val="003B3CFF"/>
    <w:rsid w:val="003C0FA7"/>
    <w:rsid w:val="003C106E"/>
    <w:rsid w:val="003C5F48"/>
    <w:rsid w:val="003C6933"/>
    <w:rsid w:val="003C7148"/>
    <w:rsid w:val="003D22E6"/>
    <w:rsid w:val="003D5FCC"/>
    <w:rsid w:val="003F0A46"/>
    <w:rsid w:val="003F0C25"/>
    <w:rsid w:val="003F1570"/>
    <w:rsid w:val="003F40A5"/>
    <w:rsid w:val="003F43E9"/>
    <w:rsid w:val="00400D7A"/>
    <w:rsid w:val="00405121"/>
    <w:rsid w:val="00413C5B"/>
    <w:rsid w:val="0041603E"/>
    <w:rsid w:val="0041636A"/>
    <w:rsid w:val="004208EB"/>
    <w:rsid w:val="00421F3A"/>
    <w:rsid w:val="004237DE"/>
    <w:rsid w:val="0042687C"/>
    <w:rsid w:val="00427702"/>
    <w:rsid w:val="00432B09"/>
    <w:rsid w:val="00434235"/>
    <w:rsid w:val="004365B9"/>
    <w:rsid w:val="00437CCC"/>
    <w:rsid w:val="00440AF2"/>
    <w:rsid w:val="00442055"/>
    <w:rsid w:val="004430C6"/>
    <w:rsid w:val="00445735"/>
    <w:rsid w:val="00446957"/>
    <w:rsid w:val="004470E0"/>
    <w:rsid w:val="00451314"/>
    <w:rsid w:val="00457333"/>
    <w:rsid w:val="00465170"/>
    <w:rsid w:val="004659A6"/>
    <w:rsid w:val="00466752"/>
    <w:rsid w:val="00466C2A"/>
    <w:rsid w:val="00470453"/>
    <w:rsid w:val="00475C69"/>
    <w:rsid w:val="00477E8D"/>
    <w:rsid w:val="00481B78"/>
    <w:rsid w:val="00482B8D"/>
    <w:rsid w:val="004836D7"/>
    <w:rsid w:val="00484292"/>
    <w:rsid w:val="0049484D"/>
    <w:rsid w:val="00497D76"/>
    <w:rsid w:val="004A07C4"/>
    <w:rsid w:val="004A538D"/>
    <w:rsid w:val="004A7F5B"/>
    <w:rsid w:val="004B0408"/>
    <w:rsid w:val="004B0F1D"/>
    <w:rsid w:val="004B33BE"/>
    <w:rsid w:val="004B4095"/>
    <w:rsid w:val="004B51DC"/>
    <w:rsid w:val="004B5772"/>
    <w:rsid w:val="004B651D"/>
    <w:rsid w:val="004C0183"/>
    <w:rsid w:val="004C4DA5"/>
    <w:rsid w:val="004C6427"/>
    <w:rsid w:val="004D0D6B"/>
    <w:rsid w:val="004D1F8D"/>
    <w:rsid w:val="004D25B5"/>
    <w:rsid w:val="004D7267"/>
    <w:rsid w:val="004E63BC"/>
    <w:rsid w:val="004F0E99"/>
    <w:rsid w:val="004F1338"/>
    <w:rsid w:val="004F3CEE"/>
    <w:rsid w:val="004F407D"/>
    <w:rsid w:val="004F5488"/>
    <w:rsid w:val="00501FF9"/>
    <w:rsid w:val="00502D1E"/>
    <w:rsid w:val="00512102"/>
    <w:rsid w:val="005128C3"/>
    <w:rsid w:val="005152D4"/>
    <w:rsid w:val="00517A3A"/>
    <w:rsid w:val="0052351A"/>
    <w:rsid w:val="005267DB"/>
    <w:rsid w:val="005304D5"/>
    <w:rsid w:val="005324D9"/>
    <w:rsid w:val="005337F8"/>
    <w:rsid w:val="00533FB8"/>
    <w:rsid w:val="00537261"/>
    <w:rsid w:val="005441FE"/>
    <w:rsid w:val="00544315"/>
    <w:rsid w:val="00544EEE"/>
    <w:rsid w:val="00551851"/>
    <w:rsid w:val="00552030"/>
    <w:rsid w:val="00564AE3"/>
    <w:rsid w:val="0056606B"/>
    <w:rsid w:val="005719B8"/>
    <w:rsid w:val="00573F44"/>
    <w:rsid w:val="005861E0"/>
    <w:rsid w:val="00587F43"/>
    <w:rsid w:val="00590712"/>
    <w:rsid w:val="00591692"/>
    <w:rsid w:val="005970D0"/>
    <w:rsid w:val="005A2B30"/>
    <w:rsid w:val="005A2BC3"/>
    <w:rsid w:val="005A4465"/>
    <w:rsid w:val="005B0A2D"/>
    <w:rsid w:val="005B44EA"/>
    <w:rsid w:val="005C01FE"/>
    <w:rsid w:val="005C2AD6"/>
    <w:rsid w:val="005C641C"/>
    <w:rsid w:val="005C6D1A"/>
    <w:rsid w:val="005C73E7"/>
    <w:rsid w:val="005D3B2E"/>
    <w:rsid w:val="005D5EAA"/>
    <w:rsid w:val="005D6BA1"/>
    <w:rsid w:val="005E1C2F"/>
    <w:rsid w:val="005E7A50"/>
    <w:rsid w:val="005F08CF"/>
    <w:rsid w:val="00606FF4"/>
    <w:rsid w:val="0061072C"/>
    <w:rsid w:val="006108B4"/>
    <w:rsid w:val="00614640"/>
    <w:rsid w:val="006169E8"/>
    <w:rsid w:val="00631666"/>
    <w:rsid w:val="006319D4"/>
    <w:rsid w:val="006359CB"/>
    <w:rsid w:val="006372E6"/>
    <w:rsid w:val="0063743F"/>
    <w:rsid w:val="00637BAF"/>
    <w:rsid w:val="00637D2B"/>
    <w:rsid w:val="00640711"/>
    <w:rsid w:val="006445E8"/>
    <w:rsid w:val="00645FE8"/>
    <w:rsid w:val="00651185"/>
    <w:rsid w:val="00654155"/>
    <w:rsid w:val="00654A3E"/>
    <w:rsid w:val="0065564D"/>
    <w:rsid w:val="00656D20"/>
    <w:rsid w:val="0066073E"/>
    <w:rsid w:val="00663100"/>
    <w:rsid w:val="0066347E"/>
    <w:rsid w:val="006713B0"/>
    <w:rsid w:val="006742FB"/>
    <w:rsid w:val="00675746"/>
    <w:rsid w:val="00676293"/>
    <w:rsid w:val="00676E55"/>
    <w:rsid w:val="00690EEE"/>
    <w:rsid w:val="00692C6A"/>
    <w:rsid w:val="006938B4"/>
    <w:rsid w:val="00694178"/>
    <w:rsid w:val="00695860"/>
    <w:rsid w:val="006976EB"/>
    <w:rsid w:val="006978C9"/>
    <w:rsid w:val="006979FF"/>
    <w:rsid w:val="006A04DB"/>
    <w:rsid w:val="006A1328"/>
    <w:rsid w:val="006A189B"/>
    <w:rsid w:val="006A3AA4"/>
    <w:rsid w:val="006A5B09"/>
    <w:rsid w:val="006A652E"/>
    <w:rsid w:val="006B2EC4"/>
    <w:rsid w:val="006C03F6"/>
    <w:rsid w:val="006C169E"/>
    <w:rsid w:val="006C176C"/>
    <w:rsid w:val="006C5B3F"/>
    <w:rsid w:val="006D0A24"/>
    <w:rsid w:val="006D5FFB"/>
    <w:rsid w:val="006D62C2"/>
    <w:rsid w:val="006E1DDF"/>
    <w:rsid w:val="006E5ADA"/>
    <w:rsid w:val="006F1792"/>
    <w:rsid w:val="006F3832"/>
    <w:rsid w:val="006F3EA7"/>
    <w:rsid w:val="00703A09"/>
    <w:rsid w:val="0071387D"/>
    <w:rsid w:val="00714A66"/>
    <w:rsid w:val="00716217"/>
    <w:rsid w:val="007166CA"/>
    <w:rsid w:val="00716DB4"/>
    <w:rsid w:val="00717154"/>
    <w:rsid w:val="00722D51"/>
    <w:rsid w:val="00726406"/>
    <w:rsid w:val="00727449"/>
    <w:rsid w:val="0073175F"/>
    <w:rsid w:val="00732D6C"/>
    <w:rsid w:val="00733793"/>
    <w:rsid w:val="007410FF"/>
    <w:rsid w:val="00744923"/>
    <w:rsid w:val="00745360"/>
    <w:rsid w:val="0074540A"/>
    <w:rsid w:val="00751A81"/>
    <w:rsid w:val="007572E7"/>
    <w:rsid w:val="00760C63"/>
    <w:rsid w:val="00764535"/>
    <w:rsid w:val="00766FDD"/>
    <w:rsid w:val="0077494F"/>
    <w:rsid w:val="00774B5A"/>
    <w:rsid w:val="0077741D"/>
    <w:rsid w:val="00780CE2"/>
    <w:rsid w:val="007815B6"/>
    <w:rsid w:val="007835F6"/>
    <w:rsid w:val="007839FA"/>
    <w:rsid w:val="007857B5"/>
    <w:rsid w:val="00785D3A"/>
    <w:rsid w:val="0078606C"/>
    <w:rsid w:val="00787371"/>
    <w:rsid w:val="00793E32"/>
    <w:rsid w:val="00797E8F"/>
    <w:rsid w:val="007A3494"/>
    <w:rsid w:val="007B2311"/>
    <w:rsid w:val="007B56A1"/>
    <w:rsid w:val="007C18C3"/>
    <w:rsid w:val="007C560D"/>
    <w:rsid w:val="007C5640"/>
    <w:rsid w:val="007C6C89"/>
    <w:rsid w:val="007D52AF"/>
    <w:rsid w:val="007E023C"/>
    <w:rsid w:val="007E064E"/>
    <w:rsid w:val="007F00D0"/>
    <w:rsid w:val="007F4E1A"/>
    <w:rsid w:val="007F79C2"/>
    <w:rsid w:val="00803ADF"/>
    <w:rsid w:val="00803C63"/>
    <w:rsid w:val="0080470B"/>
    <w:rsid w:val="00806A6B"/>
    <w:rsid w:val="00806D03"/>
    <w:rsid w:val="00812D00"/>
    <w:rsid w:val="00815139"/>
    <w:rsid w:val="008207D8"/>
    <w:rsid w:val="00831327"/>
    <w:rsid w:val="00831654"/>
    <w:rsid w:val="00834CAC"/>
    <w:rsid w:val="00834EBA"/>
    <w:rsid w:val="0084344B"/>
    <w:rsid w:val="00843ED0"/>
    <w:rsid w:val="0085409E"/>
    <w:rsid w:val="00854246"/>
    <w:rsid w:val="008575EC"/>
    <w:rsid w:val="00876E25"/>
    <w:rsid w:val="008841D4"/>
    <w:rsid w:val="00892B3D"/>
    <w:rsid w:val="008A04B8"/>
    <w:rsid w:val="008A2008"/>
    <w:rsid w:val="008A3133"/>
    <w:rsid w:val="008A3FE5"/>
    <w:rsid w:val="008A4A77"/>
    <w:rsid w:val="008A5B22"/>
    <w:rsid w:val="008A7540"/>
    <w:rsid w:val="008B200E"/>
    <w:rsid w:val="008B34B8"/>
    <w:rsid w:val="008B3768"/>
    <w:rsid w:val="008B447C"/>
    <w:rsid w:val="008C6C26"/>
    <w:rsid w:val="008D204F"/>
    <w:rsid w:val="008D474C"/>
    <w:rsid w:val="008D4BFE"/>
    <w:rsid w:val="008D5571"/>
    <w:rsid w:val="008D6ECD"/>
    <w:rsid w:val="008E2D38"/>
    <w:rsid w:val="008E4DCF"/>
    <w:rsid w:val="008E5E9B"/>
    <w:rsid w:val="008E7AE0"/>
    <w:rsid w:val="008F0FD9"/>
    <w:rsid w:val="008F4E3D"/>
    <w:rsid w:val="008F6377"/>
    <w:rsid w:val="00905F5C"/>
    <w:rsid w:val="009068A3"/>
    <w:rsid w:val="00907F67"/>
    <w:rsid w:val="00910B2C"/>
    <w:rsid w:val="00912EB1"/>
    <w:rsid w:val="009132A9"/>
    <w:rsid w:val="00923D24"/>
    <w:rsid w:val="0092546A"/>
    <w:rsid w:val="00926F46"/>
    <w:rsid w:val="009308F7"/>
    <w:rsid w:val="00932510"/>
    <w:rsid w:val="00936894"/>
    <w:rsid w:val="00946072"/>
    <w:rsid w:val="0094644E"/>
    <w:rsid w:val="0094726F"/>
    <w:rsid w:val="00947F84"/>
    <w:rsid w:val="009506D4"/>
    <w:rsid w:val="0095199F"/>
    <w:rsid w:val="00952B48"/>
    <w:rsid w:val="00955299"/>
    <w:rsid w:val="009574D3"/>
    <w:rsid w:val="00970F9D"/>
    <w:rsid w:val="0097756C"/>
    <w:rsid w:val="00977A37"/>
    <w:rsid w:val="009801BE"/>
    <w:rsid w:val="00984693"/>
    <w:rsid w:val="0099631A"/>
    <w:rsid w:val="0099782D"/>
    <w:rsid w:val="009A13AD"/>
    <w:rsid w:val="009A52A8"/>
    <w:rsid w:val="009A7644"/>
    <w:rsid w:val="009B0EFF"/>
    <w:rsid w:val="009B2800"/>
    <w:rsid w:val="009C6797"/>
    <w:rsid w:val="009D76A8"/>
    <w:rsid w:val="009E18A0"/>
    <w:rsid w:val="009E1F8B"/>
    <w:rsid w:val="009E47B8"/>
    <w:rsid w:val="009E59E8"/>
    <w:rsid w:val="009F04A1"/>
    <w:rsid w:val="009F252C"/>
    <w:rsid w:val="00A00E5A"/>
    <w:rsid w:val="00A0348C"/>
    <w:rsid w:val="00A12149"/>
    <w:rsid w:val="00A1580D"/>
    <w:rsid w:val="00A17F89"/>
    <w:rsid w:val="00A22A26"/>
    <w:rsid w:val="00A22FAE"/>
    <w:rsid w:val="00A245B6"/>
    <w:rsid w:val="00A26946"/>
    <w:rsid w:val="00A27270"/>
    <w:rsid w:val="00A359C1"/>
    <w:rsid w:val="00A37FB8"/>
    <w:rsid w:val="00A45C5C"/>
    <w:rsid w:val="00A506A5"/>
    <w:rsid w:val="00A5473A"/>
    <w:rsid w:val="00A56DE1"/>
    <w:rsid w:val="00A600EA"/>
    <w:rsid w:val="00A60F04"/>
    <w:rsid w:val="00A624FE"/>
    <w:rsid w:val="00A63154"/>
    <w:rsid w:val="00A6485D"/>
    <w:rsid w:val="00A66174"/>
    <w:rsid w:val="00A664C7"/>
    <w:rsid w:val="00A8024C"/>
    <w:rsid w:val="00A80C69"/>
    <w:rsid w:val="00A81E06"/>
    <w:rsid w:val="00A825A9"/>
    <w:rsid w:val="00A82B0B"/>
    <w:rsid w:val="00A8506D"/>
    <w:rsid w:val="00A8542B"/>
    <w:rsid w:val="00A91FC0"/>
    <w:rsid w:val="00A96302"/>
    <w:rsid w:val="00AA20A6"/>
    <w:rsid w:val="00AB08A7"/>
    <w:rsid w:val="00AB40C1"/>
    <w:rsid w:val="00AC064A"/>
    <w:rsid w:val="00AC66D8"/>
    <w:rsid w:val="00AD0874"/>
    <w:rsid w:val="00AD2F7D"/>
    <w:rsid w:val="00AD3390"/>
    <w:rsid w:val="00AD4E57"/>
    <w:rsid w:val="00AD5227"/>
    <w:rsid w:val="00AF1542"/>
    <w:rsid w:val="00AF289E"/>
    <w:rsid w:val="00AF7B6C"/>
    <w:rsid w:val="00B0036F"/>
    <w:rsid w:val="00B00E96"/>
    <w:rsid w:val="00B021F5"/>
    <w:rsid w:val="00B06034"/>
    <w:rsid w:val="00B115FF"/>
    <w:rsid w:val="00B141F1"/>
    <w:rsid w:val="00B14696"/>
    <w:rsid w:val="00B16062"/>
    <w:rsid w:val="00B16B8B"/>
    <w:rsid w:val="00B2555B"/>
    <w:rsid w:val="00B352F3"/>
    <w:rsid w:val="00B36F64"/>
    <w:rsid w:val="00B408F4"/>
    <w:rsid w:val="00B4302E"/>
    <w:rsid w:val="00B471E1"/>
    <w:rsid w:val="00B47BB6"/>
    <w:rsid w:val="00B50907"/>
    <w:rsid w:val="00B520CC"/>
    <w:rsid w:val="00B62A09"/>
    <w:rsid w:val="00B7029B"/>
    <w:rsid w:val="00B758EA"/>
    <w:rsid w:val="00B81C31"/>
    <w:rsid w:val="00B83C64"/>
    <w:rsid w:val="00B84668"/>
    <w:rsid w:val="00B850AB"/>
    <w:rsid w:val="00B85193"/>
    <w:rsid w:val="00B87466"/>
    <w:rsid w:val="00B91FEF"/>
    <w:rsid w:val="00B97DAD"/>
    <w:rsid w:val="00BA2A6F"/>
    <w:rsid w:val="00BB2228"/>
    <w:rsid w:val="00BB29C3"/>
    <w:rsid w:val="00BB394D"/>
    <w:rsid w:val="00BB3B0B"/>
    <w:rsid w:val="00BB3F18"/>
    <w:rsid w:val="00BB463C"/>
    <w:rsid w:val="00BB5E11"/>
    <w:rsid w:val="00BB66FC"/>
    <w:rsid w:val="00BC058A"/>
    <w:rsid w:val="00BC5BF0"/>
    <w:rsid w:val="00BC6471"/>
    <w:rsid w:val="00BD1CAF"/>
    <w:rsid w:val="00BD360E"/>
    <w:rsid w:val="00BD634A"/>
    <w:rsid w:val="00BD6D64"/>
    <w:rsid w:val="00BE24AA"/>
    <w:rsid w:val="00BE3597"/>
    <w:rsid w:val="00BF15E2"/>
    <w:rsid w:val="00BF51B9"/>
    <w:rsid w:val="00BF751B"/>
    <w:rsid w:val="00C05664"/>
    <w:rsid w:val="00C16079"/>
    <w:rsid w:val="00C16595"/>
    <w:rsid w:val="00C16F4F"/>
    <w:rsid w:val="00C20A08"/>
    <w:rsid w:val="00C32891"/>
    <w:rsid w:val="00C335F3"/>
    <w:rsid w:val="00C34E8A"/>
    <w:rsid w:val="00C35D4C"/>
    <w:rsid w:val="00C361D9"/>
    <w:rsid w:val="00C47901"/>
    <w:rsid w:val="00C50A4B"/>
    <w:rsid w:val="00C51D7A"/>
    <w:rsid w:val="00C53B22"/>
    <w:rsid w:val="00C60146"/>
    <w:rsid w:val="00C629BB"/>
    <w:rsid w:val="00C6415A"/>
    <w:rsid w:val="00C65F9A"/>
    <w:rsid w:val="00C664FD"/>
    <w:rsid w:val="00C85FD8"/>
    <w:rsid w:val="00C86600"/>
    <w:rsid w:val="00C8781A"/>
    <w:rsid w:val="00C91336"/>
    <w:rsid w:val="00C91B70"/>
    <w:rsid w:val="00C93EC0"/>
    <w:rsid w:val="00CA3EF6"/>
    <w:rsid w:val="00CA604E"/>
    <w:rsid w:val="00CA6678"/>
    <w:rsid w:val="00CB0C60"/>
    <w:rsid w:val="00CB14E0"/>
    <w:rsid w:val="00CB19A4"/>
    <w:rsid w:val="00CB4D4B"/>
    <w:rsid w:val="00CB5176"/>
    <w:rsid w:val="00CC26C9"/>
    <w:rsid w:val="00CC3974"/>
    <w:rsid w:val="00CC57EC"/>
    <w:rsid w:val="00CC6718"/>
    <w:rsid w:val="00CC72BD"/>
    <w:rsid w:val="00CD0418"/>
    <w:rsid w:val="00CD0F7C"/>
    <w:rsid w:val="00CD1D6E"/>
    <w:rsid w:val="00CD2221"/>
    <w:rsid w:val="00CE4B1E"/>
    <w:rsid w:val="00CE4C0F"/>
    <w:rsid w:val="00CE4F23"/>
    <w:rsid w:val="00CE6392"/>
    <w:rsid w:val="00CF14E0"/>
    <w:rsid w:val="00CF1C69"/>
    <w:rsid w:val="00CF3DBF"/>
    <w:rsid w:val="00D0610D"/>
    <w:rsid w:val="00D07027"/>
    <w:rsid w:val="00D10157"/>
    <w:rsid w:val="00D11AA7"/>
    <w:rsid w:val="00D12936"/>
    <w:rsid w:val="00D12EDD"/>
    <w:rsid w:val="00D15EE3"/>
    <w:rsid w:val="00D178F7"/>
    <w:rsid w:val="00D21EFA"/>
    <w:rsid w:val="00D24D13"/>
    <w:rsid w:val="00D266B4"/>
    <w:rsid w:val="00D326C2"/>
    <w:rsid w:val="00D400C1"/>
    <w:rsid w:val="00D42C4C"/>
    <w:rsid w:val="00D531BA"/>
    <w:rsid w:val="00D53FB2"/>
    <w:rsid w:val="00D547DE"/>
    <w:rsid w:val="00D548B3"/>
    <w:rsid w:val="00D56BEB"/>
    <w:rsid w:val="00D62656"/>
    <w:rsid w:val="00D6359C"/>
    <w:rsid w:val="00D64285"/>
    <w:rsid w:val="00D738CB"/>
    <w:rsid w:val="00D73C31"/>
    <w:rsid w:val="00D81A46"/>
    <w:rsid w:val="00D823BA"/>
    <w:rsid w:val="00D9000C"/>
    <w:rsid w:val="00D902BA"/>
    <w:rsid w:val="00D93F67"/>
    <w:rsid w:val="00DA1915"/>
    <w:rsid w:val="00DB07FF"/>
    <w:rsid w:val="00DB41A1"/>
    <w:rsid w:val="00DC024B"/>
    <w:rsid w:val="00DC3F87"/>
    <w:rsid w:val="00DC6235"/>
    <w:rsid w:val="00DD7869"/>
    <w:rsid w:val="00DE0D70"/>
    <w:rsid w:val="00DF3386"/>
    <w:rsid w:val="00DF382B"/>
    <w:rsid w:val="00DF72B1"/>
    <w:rsid w:val="00E002F9"/>
    <w:rsid w:val="00E006F2"/>
    <w:rsid w:val="00E01133"/>
    <w:rsid w:val="00E02B89"/>
    <w:rsid w:val="00E04318"/>
    <w:rsid w:val="00E05507"/>
    <w:rsid w:val="00E05F19"/>
    <w:rsid w:val="00E10A7D"/>
    <w:rsid w:val="00E12AC4"/>
    <w:rsid w:val="00E1330B"/>
    <w:rsid w:val="00E159F4"/>
    <w:rsid w:val="00E17262"/>
    <w:rsid w:val="00E23F0C"/>
    <w:rsid w:val="00E242DA"/>
    <w:rsid w:val="00E257FE"/>
    <w:rsid w:val="00E27AA8"/>
    <w:rsid w:val="00E33027"/>
    <w:rsid w:val="00E36274"/>
    <w:rsid w:val="00E50424"/>
    <w:rsid w:val="00E50783"/>
    <w:rsid w:val="00E5234E"/>
    <w:rsid w:val="00E52728"/>
    <w:rsid w:val="00E53007"/>
    <w:rsid w:val="00E57A30"/>
    <w:rsid w:val="00E6427C"/>
    <w:rsid w:val="00E64EC6"/>
    <w:rsid w:val="00E67127"/>
    <w:rsid w:val="00E71F9E"/>
    <w:rsid w:val="00E75639"/>
    <w:rsid w:val="00E8155E"/>
    <w:rsid w:val="00E92304"/>
    <w:rsid w:val="00E93A49"/>
    <w:rsid w:val="00E94303"/>
    <w:rsid w:val="00E95565"/>
    <w:rsid w:val="00EA07FD"/>
    <w:rsid w:val="00EA4024"/>
    <w:rsid w:val="00EA5E3E"/>
    <w:rsid w:val="00EB1586"/>
    <w:rsid w:val="00EC00AE"/>
    <w:rsid w:val="00EC143C"/>
    <w:rsid w:val="00ED3811"/>
    <w:rsid w:val="00ED7214"/>
    <w:rsid w:val="00EE154A"/>
    <w:rsid w:val="00EE5367"/>
    <w:rsid w:val="00EE5608"/>
    <w:rsid w:val="00EF2EB4"/>
    <w:rsid w:val="00EF7B6C"/>
    <w:rsid w:val="00F02CAE"/>
    <w:rsid w:val="00F04D39"/>
    <w:rsid w:val="00F0556A"/>
    <w:rsid w:val="00F05740"/>
    <w:rsid w:val="00F15309"/>
    <w:rsid w:val="00F20BF1"/>
    <w:rsid w:val="00F23201"/>
    <w:rsid w:val="00F30D21"/>
    <w:rsid w:val="00F3192F"/>
    <w:rsid w:val="00F45B43"/>
    <w:rsid w:val="00F47931"/>
    <w:rsid w:val="00F524CA"/>
    <w:rsid w:val="00F572D1"/>
    <w:rsid w:val="00F57859"/>
    <w:rsid w:val="00F677B9"/>
    <w:rsid w:val="00F760AA"/>
    <w:rsid w:val="00F81EE1"/>
    <w:rsid w:val="00F915A5"/>
    <w:rsid w:val="00F91F9D"/>
    <w:rsid w:val="00F949B4"/>
    <w:rsid w:val="00F968F5"/>
    <w:rsid w:val="00F977F5"/>
    <w:rsid w:val="00FA26CF"/>
    <w:rsid w:val="00FA3FAC"/>
    <w:rsid w:val="00FA6CA9"/>
    <w:rsid w:val="00FC0F30"/>
    <w:rsid w:val="00FC3A5B"/>
    <w:rsid w:val="00FC6A3B"/>
    <w:rsid w:val="00FC6CC7"/>
    <w:rsid w:val="00FD49DC"/>
    <w:rsid w:val="00FD7AB2"/>
    <w:rsid w:val="00FE0B96"/>
    <w:rsid w:val="00FE0FCD"/>
    <w:rsid w:val="00FE1DA7"/>
    <w:rsid w:val="00FE582B"/>
    <w:rsid w:val="00FE5CC0"/>
    <w:rsid w:val="00FF2A6D"/>
    <w:rsid w:val="00FF609B"/>
    <w:rsid w:val="00FF7B2A"/>
    <w:rsid w:val="04206198"/>
    <w:rsid w:val="074F7566"/>
    <w:rsid w:val="07F43D1B"/>
    <w:rsid w:val="08DD6040"/>
    <w:rsid w:val="098362C3"/>
    <w:rsid w:val="0AC76C77"/>
    <w:rsid w:val="0BFA3147"/>
    <w:rsid w:val="0C682F83"/>
    <w:rsid w:val="0C8E37C1"/>
    <w:rsid w:val="0DC41F38"/>
    <w:rsid w:val="0E5C05EF"/>
    <w:rsid w:val="0EA1080D"/>
    <w:rsid w:val="0F5106A6"/>
    <w:rsid w:val="0F9B5112"/>
    <w:rsid w:val="0FBC1346"/>
    <w:rsid w:val="114207F9"/>
    <w:rsid w:val="115E4DF9"/>
    <w:rsid w:val="11A75608"/>
    <w:rsid w:val="11E17D39"/>
    <w:rsid w:val="13B62A69"/>
    <w:rsid w:val="141350F3"/>
    <w:rsid w:val="154D25EA"/>
    <w:rsid w:val="15A42B2E"/>
    <w:rsid w:val="16C1616F"/>
    <w:rsid w:val="187A2E35"/>
    <w:rsid w:val="19246B6C"/>
    <w:rsid w:val="196960E4"/>
    <w:rsid w:val="19AF6EA9"/>
    <w:rsid w:val="1AEB3981"/>
    <w:rsid w:val="1B1C4762"/>
    <w:rsid w:val="211A2370"/>
    <w:rsid w:val="212A0809"/>
    <w:rsid w:val="21D23140"/>
    <w:rsid w:val="24100720"/>
    <w:rsid w:val="274141C4"/>
    <w:rsid w:val="278B636C"/>
    <w:rsid w:val="27CB6172"/>
    <w:rsid w:val="29102CA0"/>
    <w:rsid w:val="29E03702"/>
    <w:rsid w:val="2B5B024F"/>
    <w:rsid w:val="2D8963CF"/>
    <w:rsid w:val="2F3A598B"/>
    <w:rsid w:val="30EE2ED1"/>
    <w:rsid w:val="32120CDE"/>
    <w:rsid w:val="337C38F7"/>
    <w:rsid w:val="33817E8E"/>
    <w:rsid w:val="367B626C"/>
    <w:rsid w:val="37153987"/>
    <w:rsid w:val="397207BE"/>
    <w:rsid w:val="3AE856DE"/>
    <w:rsid w:val="3B593243"/>
    <w:rsid w:val="41C53FE0"/>
    <w:rsid w:val="42AA1C9A"/>
    <w:rsid w:val="43331449"/>
    <w:rsid w:val="47186590"/>
    <w:rsid w:val="47D64BB7"/>
    <w:rsid w:val="4912109D"/>
    <w:rsid w:val="4A4F73A6"/>
    <w:rsid w:val="4A5303DD"/>
    <w:rsid w:val="4D7E5E5E"/>
    <w:rsid w:val="4EBF7157"/>
    <w:rsid w:val="4F541C48"/>
    <w:rsid w:val="4F965105"/>
    <w:rsid w:val="52B70F1D"/>
    <w:rsid w:val="570A4280"/>
    <w:rsid w:val="573E401C"/>
    <w:rsid w:val="580F062C"/>
    <w:rsid w:val="581666E6"/>
    <w:rsid w:val="589B0525"/>
    <w:rsid w:val="5ABA5A4E"/>
    <w:rsid w:val="5B2B3E2A"/>
    <w:rsid w:val="5BDF0E07"/>
    <w:rsid w:val="5D3D4932"/>
    <w:rsid w:val="5D6A5670"/>
    <w:rsid w:val="605B390A"/>
    <w:rsid w:val="61831142"/>
    <w:rsid w:val="62F20F3A"/>
    <w:rsid w:val="6406473E"/>
    <w:rsid w:val="643B7A90"/>
    <w:rsid w:val="669F3D94"/>
    <w:rsid w:val="66C739CD"/>
    <w:rsid w:val="675C5CD2"/>
    <w:rsid w:val="6C8760E9"/>
    <w:rsid w:val="6DE25953"/>
    <w:rsid w:val="700E257C"/>
    <w:rsid w:val="706C06D6"/>
    <w:rsid w:val="70EE1830"/>
    <w:rsid w:val="71C1739E"/>
    <w:rsid w:val="729901DD"/>
    <w:rsid w:val="73C62B81"/>
    <w:rsid w:val="763914E0"/>
    <w:rsid w:val="76B16A0C"/>
    <w:rsid w:val="76E07A82"/>
    <w:rsid w:val="7B973168"/>
    <w:rsid w:val="7C232FFC"/>
    <w:rsid w:val="7C544FFF"/>
    <w:rsid w:val="7C826FE4"/>
    <w:rsid w:val="7EE40535"/>
    <w:rsid w:val="7EFABEB9"/>
    <w:rsid w:val="7F6C7510"/>
    <w:rsid w:val="AFDB7C4A"/>
    <w:rsid w:val="FF9BE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keepNext w:val="0"/>
      <w:keepLines w:val="0"/>
      <w:spacing w:before="100" w:beforeLines="100" w:beforeAutospacing="0" w:after="100" w:afterLines="100" w:afterAutospacing="0" w:line="360" w:lineRule="auto"/>
      <w:ind w:firstLine="0" w:firstLineChars="0"/>
      <w:jc w:val="center"/>
      <w:outlineLvl w:val="0"/>
    </w:pPr>
    <w:rPr>
      <w:rFonts w:eastAsia="黑体" w:cs="Times New Roman"/>
      <w:b/>
      <w:kern w:val="44"/>
      <w:sz w:val="36"/>
    </w:rPr>
  </w:style>
  <w:style w:type="paragraph" w:styleId="3">
    <w:name w:val="heading 2"/>
    <w:basedOn w:val="1"/>
    <w:next w:val="1"/>
    <w:autoRedefine/>
    <w:unhideWhenUsed/>
    <w:qFormat/>
    <w:uiPriority w:val="9"/>
    <w:pPr>
      <w:keepNext w:val="0"/>
      <w:keepLines w:val="0"/>
      <w:spacing w:before="50" w:beforeLines="50" w:after="50" w:afterLines="50" w:line="240" w:lineRule="auto"/>
      <w:outlineLvl w:val="1"/>
    </w:pPr>
    <w:rPr>
      <w:rFonts w:eastAsia="黑体" w:cstheme="majorBidi"/>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Cs w:val="21"/>
      <w:lang w:eastAsia="en-US"/>
    </w:rPr>
  </w:style>
  <w:style w:type="paragraph" w:styleId="5">
    <w:name w:val="Balloon Text"/>
    <w:basedOn w:val="1"/>
    <w:link w:val="15"/>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列出段落1"/>
    <w:basedOn w:val="1"/>
    <w:qFormat/>
    <w:uiPriority w:val="34"/>
    <w:pPr>
      <w:ind w:firstLine="420" w:firstLineChars="200"/>
    </w:pPr>
  </w:style>
  <w:style w:type="paragraph" w:customStyle="1" w:styleId="12">
    <w:name w:val="修订1"/>
    <w:hidden/>
    <w:semiHidden/>
    <w:qFormat/>
    <w:uiPriority w:val="99"/>
    <w:rPr>
      <w:rFonts w:ascii="Times New Roman" w:hAnsi="Times New Roman" w:eastAsia="宋体" w:cs="Times New Roman"/>
      <w:kern w:val="2"/>
      <w:sz w:val="21"/>
      <w:lang w:val="en-US" w:eastAsia="zh-CN" w:bidi="ar-SA"/>
    </w:rPr>
  </w:style>
  <w:style w:type="character" w:customStyle="1" w:styleId="13">
    <w:name w:val="页眉 字符"/>
    <w:basedOn w:val="10"/>
    <w:link w:val="7"/>
    <w:qFormat/>
    <w:uiPriority w:val="99"/>
    <w:rPr>
      <w:rFonts w:ascii="Times New Roman" w:hAnsi="Times New Roman" w:eastAsia="宋体" w:cs="Times New Roman"/>
      <w:sz w:val="18"/>
      <w:szCs w:val="18"/>
    </w:rPr>
  </w:style>
  <w:style w:type="character" w:customStyle="1" w:styleId="14">
    <w:name w:val="页脚 字符"/>
    <w:basedOn w:val="10"/>
    <w:link w:val="6"/>
    <w:qFormat/>
    <w:uiPriority w:val="99"/>
    <w:rPr>
      <w:rFonts w:ascii="Times New Roman" w:hAnsi="Times New Roman" w:eastAsia="宋体" w:cs="Times New Roman"/>
      <w:sz w:val="18"/>
      <w:szCs w:val="18"/>
    </w:rPr>
  </w:style>
  <w:style w:type="character" w:customStyle="1" w:styleId="15">
    <w:name w:val="批注框文本 字符"/>
    <w:basedOn w:val="10"/>
    <w:link w:val="5"/>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4910</Words>
  <Characters>4927</Characters>
  <Lines>1</Lines>
  <Paragraphs>1</Paragraphs>
  <TotalTime>0</TotalTime>
  <ScaleCrop>false</ScaleCrop>
  <LinksUpToDate>false</LinksUpToDate>
  <CharactersWithSpaces>5018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2023-04-12T13:55:00Z</dcterms:created>
  <dc:creator>hu yueqin</dc:creator>
  <cp:lastModifiedBy>雷伊</cp:lastModifiedBy>
  <cp:lastPrinted>2025-01-14T16:07:00Z</cp:lastPrinted>
  <dcterms:modified xsi:type="dcterms:W3CDTF">2025-02-07T16:38:58Z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466B6D31EBFB431AA77CDDBCB6ED84D8_13</vt:lpwstr>
  </property>
  <property fmtid="{D5CDD505-2E9C-101B-9397-08002B2CF9AE}" pid="4" name="KSOTemplateDocerSaveRecord">
    <vt:lpwstr>eyJoZGlkIjoiZDI1MjJmOWI4ZGI5OWQyOWQ2Zjk1NjA0ZDc5N2I3YjQiLCJ1c2VySWQiOiI2OTgxMTAyOTcifQ==</vt:lpwstr>
  </property>
</Properties>
</file>