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A23EA">
      <w:pPr>
        <w:pStyle w:val="2"/>
        <w:spacing w:line="255" w:lineRule="auto"/>
      </w:pPr>
    </w:p>
    <w:p w14:paraId="1032E256">
      <w:pPr>
        <w:pStyle w:val="2"/>
        <w:spacing w:line="255" w:lineRule="auto"/>
      </w:pPr>
    </w:p>
    <w:p w14:paraId="4C2027E2">
      <w:pPr>
        <w:pStyle w:val="2"/>
        <w:spacing w:line="256" w:lineRule="auto"/>
      </w:pPr>
    </w:p>
    <w:p w14:paraId="6B544F32">
      <w:pPr>
        <w:pStyle w:val="2"/>
        <w:spacing w:line="256" w:lineRule="auto"/>
      </w:pPr>
    </w:p>
    <w:p w14:paraId="33FB331F">
      <w:pPr>
        <w:pStyle w:val="2"/>
        <w:spacing w:line="256" w:lineRule="auto"/>
      </w:pPr>
    </w:p>
    <w:p w14:paraId="040FD876">
      <w:pPr>
        <w:pStyle w:val="2"/>
        <w:spacing w:line="256" w:lineRule="auto"/>
      </w:pPr>
    </w:p>
    <w:p w14:paraId="01930C80">
      <w:pPr>
        <w:pStyle w:val="2"/>
        <w:spacing w:line="256" w:lineRule="auto"/>
      </w:pPr>
    </w:p>
    <w:p w14:paraId="51C07C4B">
      <w:pPr>
        <w:pStyle w:val="2"/>
        <w:spacing w:line="256" w:lineRule="auto"/>
      </w:pPr>
    </w:p>
    <w:p w14:paraId="5D2B5407">
      <w:pPr>
        <w:pStyle w:val="2"/>
        <w:spacing w:line="256" w:lineRule="auto"/>
      </w:pPr>
    </w:p>
    <w:p w14:paraId="0A777CA0">
      <w:pPr>
        <w:pStyle w:val="2"/>
        <w:spacing w:line="256" w:lineRule="auto"/>
      </w:pPr>
    </w:p>
    <w:p w14:paraId="4C38D896">
      <w:pPr>
        <w:spacing w:before="169" w:line="277" w:lineRule="auto"/>
        <w:ind w:left="1368" w:right="719" w:hanging="510"/>
        <w:outlineLvl w:val="0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spacing w:val="-6"/>
          <w:sz w:val="52"/>
          <w:szCs w:val="52"/>
        </w:rPr>
        <w:t>开化县中心城区声环境功能区</w:t>
      </w:r>
      <w:r>
        <w:rPr>
          <w:rFonts w:ascii="黑体" w:hAnsi="黑体" w:eastAsia="黑体" w:cs="黑体"/>
          <w:spacing w:val="2"/>
          <w:sz w:val="52"/>
          <w:szCs w:val="52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52"/>
          <w:szCs w:val="52"/>
        </w:rPr>
        <w:t>划分方案（征求意见稿）</w:t>
      </w:r>
    </w:p>
    <w:p w14:paraId="52B273F5">
      <w:pPr>
        <w:pStyle w:val="2"/>
        <w:spacing w:line="249" w:lineRule="auto"/>
      </w:pPr>
    </w:p>
    <w:p w14:paraId="4D5EE08A">
      <w:pPr>
        <w:pStyle w:val="2"/>
        <w:spacing w:line="249" w:lineRule="auto"/>
      </w:pPr>
    </w:p>
    <w:p w14:paraId="6B6ADC1B">
      <w:pPr>
        <w:pStyle w:val="2"/>
        <w:spacing w:line="249" w:lineRule="auto"/>
      </w:pPr>
    </w:p>
    <w:p w14:paraId="6040B3BE">
      <w:pPr>
        <w:pStyle w:val="2"/>
        <w:spacing w:line="249" w:lineRule="auto"/>
      </w:pPr>
    </w:p>
    <w:p w14:paraId="0F6E314E">
      <w:pPr>
        <w:pStyle w:val="2"/>
        <w:spacing w:line="249" w:lineRule="auto"/>
      </w:pPr>
    </w:p>
    <w:p w14:paraId="2ECBDB51">
      <w:pPr>
        <w:pStyle w:val="2"/>
        <w:spacing w:line="249" w:lineRule="auto"/>
      </w:pPr>
    </w:p>
    <w:p w14:paraId="36F285AE">
      <w:pPr>
        <w:pStyle w:val="2"/>
        <w:spacing w:line="249" w:lineRule="auto"/>
      </w:pPr>
    </w:p>
    <w:p w14:paraId="527D3CF8">
      <w:pPr>
        <w:pStyle w:val="2"/>
        <w:spacing w:line="249" w:lineRule="auto"/>
      </w:pPr>
    </w:p>
    <w:p w14:paraId="430B9996">
      <w:pPr>
        <w:pStyle w:val="2"/>
        <w:spacing w:line="249" w:lineRule="auto"/>
      </w:pPr>
    </w:p>
    <w:p w14:paraId="56EF8B88">
      <w:pPr>
        <w:pStyle w:val="2"/>
        <w:spacing w:line="250" w:lineRule="auto"/>
      </w:pPr>
    </w:p>
    <w:p w14:paraId="616FFAAC">
      <w:pPr>
        <w:pStyle w:val="2"/>
        <w:spacing w:line="250" w:lineRule="auto"/>
      </w:pPr>
    </w:p>
    <w:p w14:paraId="3C2A5756">
      <w:pPr>
        <w:pStyle w:val="2"/>
        <w:spacing w:line="250" w:lineRule="auto"/>
      </w:pPr>
    </w:p>
    <w:p w14:paraId="5671F38B">
      <w:pPr>
        <w:pStyle w:val="2"/>
        <w:spacing w:line="250" w:lineRule="auto"/>
      </w:pPr>
    </w:p>
    <w:p w14:paraId="11FF09BF">
      <w:pPr>
        <w:pStyle w:val="2"/>
        <w:spacing w:line="250" w:lineRule="auto"/>
      </w:pPr>
    </w:p>
    <w:p w14:paraId="6DB6A480">
      <w:pPr>
        <w:pStyle w:val="2"/>
        <w:spacing w:line="250" w:lineRule="auto"/>
      </w:pPr>
    </w:p>
    <w:p w14:paraId="1A28DCA2">
      <w:pPr>
        <w:pStyle w:val="2"/>
        <w:spacing w:line="250" w:lineRule="auto"/>
      </w:pPr>
    </w:p>
    <w:p w14:paraId="1135AAFC">
      <w:pPr>
        <w:pStyle w:val="2"/>
        <w:spacing w:line="250" w:lineRule="auto"/>
      </w:pPr>
    </w:p>
    <w:p w14:paraId="57060C36">
      <w:pPr>
        <w:pStyle w:val="2"/>
        <w:spacing w:line="250" w:lineRule="auto"/>
      </w:pPr>
    </w:p>
    <w:p w14:paraId="4E347472">
      <w:pPr>
        <w:pStyle w:val="2"/>
        <w:spacing w:line="250" w:lineRule="auto"/>
      </w:pPr>
    </w:p>
    <w:p w14:paraId="4660B28E">
      <w:pPr>
        <w:pStyle w:val="2"/>
        <w:spacing w:line="250" w:lineRule="auto"/>
      </w:pPr>
    </w:p>
    <w:p w14:paraId="1C6D2C27">
      <w:pPr>
        <w:pStyle w:val="2"/>
        <w:spacing w:line="250" w:lineRule="auto"/>
      </w:pPr>
    </w:p>
    <w:p w14:paraId="1D6BD810">
      <w:pPr>
        <w:pStyle w:val="2"/>
        <w:spacing w:line="250" w:lineRule="auto"/>
      </w:pPr>
    </w:p>
    <w:p w14:paraId="34E0E9E8">
      <w:pPr>
        <w:pStyle w:val="2"/>
        <w:spacing w:line="250" w:lineRule="auto"/>
      </w:pPr>
    </w:p>
    <w:p w14:paraId="77FA4880">
      <w:pPr>
        <w:spacing w:before="101" w:line="357" w:lineRule="auto"/>
        <w:ind w:left="3115" w:right="298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5"/>
          <w:sz w:val="31"/>
          <w:szCs w:val="31"/>
        </w:rPr>
        <w:t>开化县人民政府</w:t>
      </w:r>
      <w:r>
        <w:rPr>
          <w:rFonts w:ascii="黑体" w:hAnsi="黑体" w:eastAsia="黑体" w:cs="黑体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5"/>
          <w:sz w:val="31"/>
          <w:szCs w:val="31"/>
        </w:rPr>
        <w:t>二〇二五年四月</w:t>
      </w:r>
    </w:p>
    <w:p w14:paraId="3DD0D6D2">
      <w:pPr>
        <w:spacing w:line="357" w:lineRule="auto"/>
        <w:rPr>
          <w:rFonts w:ascii="黑体" w:hAnsi="黑体" w:eastAsia="黑体" w:cs="黑体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54BAE91">
      <w:pPr>
        <w:pStyle w:val="2"/>
        <w:spacing w:line="247" w:lineRule="auto"/>
      </w:pPr>
    </w:p>
    <w:p w14:paraId="54D90625">
      <w:pPr>
        <w:pStyle w:val="2"/>
        <w:spacing w:line="248" w:lineRule="auto"/>
      </w:pPr>
    </w:p>
    <w:p w14:paraId="3CA3A89C">
      <w:pPr>
        <w:pStyle w:val="2"/>
        <w:spacing w:line="248" w:lineRule="auto"/>
      </w:pPr>
    </w:p>
    <w:p w14:paraId="33B3705E">
      <w:pPr>
        <w:spacing w:before="91" w:line="220" w:lineRule="auto"/>
        <w:ind w:left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主持单位：衢州市生态环境局开化分局</w:t>
      </w:r>
    </w:p>
    <w:p w14:paraId="5B0479C0">
      <w:pPr>
        <w:pStyle w:val="2"/>
        <w:spacing w:line="257" w:lineRule="auto"/>
      </w:pPr>
    </w:p>
    <w:p w14:paraId="53184D7C">
      <w:pPr>
        <w:pStyle w:val="2"/>
        <w:spacing w:line="257" w:lineRule="auto"/>
      </w:pPr>
    </w:p>
    <w:p w14:paraId="6F81A6E9">
      <w:pPr>
        <w:pStyle w:val="2"/>
        <w:spacing w:line="257" w:lineRule="auto"/>
      </w:pPr>
    </w:p>
    <w:p w14:paraId="13DCF72C">
      <w:pPr>
        <w:pStyle w:val="2"/>
        <w:spacing w:line="257" w:lineRule="auto"/>
      </w:pPr>
    </w:p>
    <w:p w14:paraId="770814FC">
      <w:pPr>
        <w:pStyle w:val="2"/>
        <w:spacing w:line="257" w:lineRule="auto"/>
      </w:pPr>
    </w:p>
    <w:p w14:paraId="1A4137E9">
      <w:pPr>
        <w:pStyle w:val="2"/>
        <w:spacing w:line="257" w:lineRule="auto"/>
      </w:pPr>
    </w:p>
    <w:p w14:paraId="32613663">
      <w:pPr>
        <w:pStyle w:val="2"/>
        <w:spacing w:line="258" w:lineRule="auto"/>
      </w:pPr>
    </w:p>
    <w:p w14:paraId="1116FAF3">
      <w:pPr>
        <w:pStyle w:val="2"/>
        <w:spacing w:line="258" w:lineRule="auto"/>
      </w:pPr>
    </w:p>
    <w:p w14:paraId="1E9C0359">
      <w:pPr>
        <w:spacing w:before="91" w:line="221" w:lineRule="auto"/>
        <w:ind w:left="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项目负责人：赖龙辉</w:t>
      </w:r>
    </w:p>
    <w:p w14:paraId="004B187B">
      <w:pPr>
        <w:spacing w:before="289" w:line="219" w:lineRule="auto"/>
        <w:ind w:left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专题报告编写：赖龙辉  李颜政  程超  江初明</w:t>
      </w:r>
    </w:p>
    <w:p w14:paraId="45B8E43D">
      <w:pPr>
        <w:spacing w:before="291" w:line="221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图集制作：赖龙辉</w:t>
      </w:r>
    </w:p>
    <w:p w14:paraId="1CF4933A">
      <w:pPr>
        <w:pStyle w:val="2"/>
        <w:spacing w:line="272" w:lineRule="auto"/>
      </w:pPr>
    </w:p>
    <w:p w14:paraId="0B4A9C37">
      <w:pPr>
        <w:pStyle w:val="2"/>
        <w:spacing w:line="272" w:lineRule="auto"/>
      </w:pPr>
    </w:p>
    <w:p w14:paraId="21CD5A63">
      <w:pPr>
        <w:pStyle w:val="2"/>
        <w:spacing w:line="273" w:lineRule="auto"/>
      </w:pPr>
    </w:p>
    <w:p w14:paraId="483C226A">
      <w:pPr>
        <w:spacing w:before="91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课题组主要成员： 赖龙辉  李颜政  陈超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</w:rPr>
        <w:t>江初明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</w:rPr>
        <w:t>葛嘉</w:t>
      </w:r>
    </w:p>
    <w:p w14:paraId="2002632F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1431" w:right="1785" w:bottom="0" w:left="1596" w:header="0" w:footer="0" w:gutter="0"/>
          <w:cols w:space="720" w:num="1"/>
        </w:sectPr>
      </w:pPr>
    </w:p>
    <w:p w14:paraId="70C6E0DD">
      <w:pPr>
        <w:pStyle w:val="2"/>
        <w:spacing w:line="357" w:lineRule="auto"/>
      </w:pPr>
    </w:p>
    <w:p w14:paraId="7C6670EF">
      <w:pPr>
        <w:pStyle w:val="2"/>
        <w:spacing w:line="357" w:lineRule="auto"/>
      </w:pPr>
    </w:p>
    <w:sdt>
      <w:sdtPr>
        <w:rPr>
          <w:rFonts w:ascii="宋体" w:hAnsi="宋体" w:eastAsia="宋体" w:cs="宋体"/>
          <w:sz w:val="31"/>
          <w:szCs w:val="31"/>
        </w:rPr>
        <w:id w:val="147459583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position w:val="1"/>
          <w:sz w:val="20"/>
          <w:szCs w:val="20"/>
        </w:rPr>
      </w:sdtEndPr>
      <w:sdtContent>
        <w:p w14:paraId="7333D551">
          <w:pPr>
            <w:spacing w:before="101" w:line="228" w:lineRule="auto"/>
            <w:ind w:left="4171"/>
            <w:rPr>
              <w:rFonts w:ascii="宋体" w:hAnsi="宋体" w:eastAsia="宋体" w:cs="宋体"/>
              <w:sz w:val="31"/>
              <w:szCs w:val="31"/>
            </w:rPr>
          </w:pPr>
          <w:bookmarkStart w:id="0" w:name="bookmark1"/>
          <w:bookmarkEnd w:id="0"/>
          <w:r>
            <w:rPr>
              <w:rFonts w:ascii="宋体" w:hAnsi="宋体" w:eastAsia="宋体" w:cs="宋体"/>
              <w:b/>
              <w:bCs/>
              <w:spacing w:val="-30"/>
              <w:sz w:val="31"/>
              <w:szCs w:val="31"/>
            </w:rPr>
            <w:t>目录</w:t>
          </w:r>
        </w:p>
        <w:p w14:paraId="1B81488B">
          <w:pPr>
            <w:tabs>
              <w:tab w:val="right" w:leader="dot" w:pos="8840"/>
            </w:tabs>
            <w:spacing w:before="138" w:line="194" w:lineRule="auto"/>
            <w:ind w:left="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" w:name="bookmark2"/>
          <w:bookmarkEnd w:id="1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sz w:val="20"/>
              <w:szCs w:val="20"/>
            </w:rPr>
            <w:t>1</w:t>
          </w:r>
          <w:r>
            <w:rPr>
              <w:rFonts w:ascii="Times New Roman" w:hAnsi="Times New Roman" w:eastAsia="Times New Roman" w:cs="Times New Roman"/>
              <w:spacing w:val="15"/>
              <w:w w:val="101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pacing w:val="-5"/>
              <w:sz w:val="20"/>
              <w:szCs w:val="20"/>
            </w:rPr>
            <w:t>总论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50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0"/>
              <w:sz w:val="20"/>
              <w:szCs w:val="20"/>
            </w:rPr>
            <w:t>1</w:t>
          </w:r>
          <w:r>
            <w:rPr>
              <w:rFonts w:ascii="Times New Roman" w:hAnsi="Times New Roman" w:eastAsia="Times New Roman" w:cs="Times New Roman"/>
              <w:spacing w:val="-20"/>
              <w:sz w:val="20"/>
              <w:szCs w:val="20"/>
            </w:rPr>
            <w:fldChar w:fldCharType="end"/>
          </w:r>
        </w:p>
        <w:p w14:paraId="19956C43">
          <w:pPr>
            <w:tabs>
              <w:tab w:val="right" w:leader="dot" w:pos="8840"/>
            </w:tabs>
            <w:spacing w:before="101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" w:name="bookmark4"/>
          <w:bookmarkEnd w:id="2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3"/>
              <w:sz w:val="20"/>
              <w:szCs w:val="20"/>
            </w:rPr>
            <w:t xml:space="preserve">1.1  </w:t>
          </w:r>
          <w:r>
            <w:rPr>
              <w:rFonts w:ascii="宋体" w:hAnsi="宋体" w:eastAsia="宋体" w:cs="宋体"/>
              <w:spacing w:val="3"/>
              <w:sz w:val="20"/>
              <w:szCs w:val="20"/>
            </w:rPr>
            <w:t>任务由来</w:t>
          </w:r>
          <w:r>
            <w:rPr>
              <w:rFonts w:ascii="宋体" w:hAnsi="宋体" w:eastAsia="宋体" w:cs="宋体"/>
              <w:spacing w:val="-5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t>1</w:t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fldChar w:fldCharType="end"/>
          </w:r>
        </w:p>
        <w:p w14:paraId="2E5ABA95">
          <w:pPr>
            <w:tabs>
              <w:tab w:val="right" w:leader="dot" w:pos="8840"/>
            </w:tabs>
            <w:spacing w:before="102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" w:name="bookmark6"/>
          <w:bookmarkEnd w:id="3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t>1.2</w:t>
          </w:r>
          <w:r>
            <w:rPr>
              <w:rFonts w:ascii="Times New Roman" w:hAnsi="Times New Roman" w:eastAsia="Times New Roman" w:cs="Times New Roman"/>
              <w:spacing w:val="15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2"/>
              <w:sz w:val="20"/>
              <w:szCs w:val="20"/>
            </w:rPr>
            <w:t>区划基本原则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5"/>
              <w:sz w:val="20"/>
              <w:szCs w:val="20"/>
            </w:rPr>
            <w:t>2</w:t>
          </w:r>
          <w:r>
            <w:rPr>
              <w:rFonts w:ascii="Times New Roman" w:hAnsi="Times New Roman" w:eastAsia="Times New Roman" w:cs="Times New Roman"/>
              <w:spacing w:val="15"/>
              <w:sz w:val="20"/>
              <w:szCs w:val="20"/>
            </w:rPr>
            <w:fldChar w:fldCharType="end"/>
          </w:r>
        </w:p>
        <w:p w14:paraId="376B7D17">
          <w:pPr>
            <w:tabs>
              <w:tab w:val="right" w:leader="dot" w:pos="8840"/>
            </w:tabs>
            <w:spacing w:before="101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" w:name="bookmark8"/>
          <w:bookmarkEnd w:id="4"/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1.3</w:t>
          </w:r>
          <w:r>
            <w:rPr>
              <w:rFonts w:ascii="Times New Roman" w:hAnsi="Times New Roman" w:eastAsia="Times New Roman" w:cs="Times New Roman"/>
              <w:spacing w:val="14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z w:val="20"/>
              <w:szCs w:val="20"/>
            </w:rPr>
            <w:t>区划依据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t>2</w:t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fldChar w:fldCharType="end"/>
          </w:r>
        </w:p>
        <w:p w14:paraId="52E27A63">
          <w:pPr>
            <w:tabs>
              <w:tab w:val="right" w:leader="dot" w:pos="8840"/>
            </w:tabs>
            <w:spacing w:before="102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5" w:name="bookmark1"/>
          <w:bookmarkEnd w:id="5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t>1.4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2"/>
              <w:sz w:val="20"/>
              <w:szCs w:val="20"/>
            </w:rPr>
            <w:t>工作原则</w:t>
          </w:r>
          <w:r>
            <w:rPr>
              <w:rFonts w:ascii="宋体" w:hAnsi="宋体" w:eastAsia="宋体" w:cs="宋体"/>
              <w:spacing w:val="-56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t>3</w:t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fldChar w:fldCharType="end"/>
          </w:r>
        </w:p>
        <w:p w14:paraId="52AE17DA">
          <w:pPr>
            <w:tabs>
              <w:tab w:val="right" w:leader="dot" w:pos="8840"/>
            </w:tabs>
            <w:spacing w:before="102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6" w:name="bookmark11"/>
          <w:bookmarkEnd w:id="6"/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3"/>
              <w:sz w:val="20"/>
              <w:szCs w:val="20"/>
            </w:rPr>
            <w:t>1.5</w:t>
          </w:r>
          <w:r>
            <w:rPr>
              <w:rFonts w:ascii="Times New Roman" w:hAnsi="Times New Roman" w:eastAsia="Times New Roman" w:cs="Times New Roman"/>
              <w:spacing w:val="18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3"/>
              <w:sz w:val="20"/>
              <w:szCs w:val="20"/>
            </w:rPr>
            <w:t>区划工作基本程序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t>5</w:t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fldChar w:fldCharType="end"/>
          </w:r>
        </w:p>
        <w:p w14:paraId="167EF8F4">
          <w:pPr>
            <w:tabs>
              <w:tab w:val="right" w:leader="dot" w:pos="8840"/>
            </w:tabs>
            <w:spacing w:before="102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7" w:name="bookmark13"/>
          <w:bookmarkEnd w:id="7"/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1.6</w:t>
          </w:r>
          <w:r>
            <w:rPr>
              <w:rFonts w:ascii="Times New Roman" w:hAnsi="Times New Roman" w:eastAsia="Times New Roman" w:cs="Times New Roman"/>
              <w:spacing w:val="14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z w:val="20"/>
              <w:szCs w:val="20"/>
            </w:rPr>
            <w:t>区划范围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t>7</w:t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fldChar w:fldCharType="end"/>
          </w:r>
        </w:p>
        <w:p w14:paraId="6BC10E2C">
          <w:pPr>
            <w:tabs>
              <w:tab w:val="right" w:leader="dot" w:pos="8840"/>
            </w:tabs>
            <w:spacing w:before="102" w:line="194" w:lineRule="auto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8" w:name="bookmark15"/>
          <w:bookmarkEnd w:id="8"/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t>1.7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2"/>
              <w:sz w:val="20"/>
              <w:szCs w:val="20"/>
            </w:rPr>
            <w:t>适用时间</w:t>
          </w:r>
          <w:r>
            <w:rPr>
              <w:rFonts w:ascii="宋体" w:hAnsi="宋体" w:eastAsia="宋体" w:cs="宋体"/>
              <w:spacing w:val="-56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t>7</w:t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fldChar w:fldCharType="end"/>
          </w:r>
        </w:p>
        <w:p w14:paraId="343D4A7B">
          <w:pPr>
            <w:tabs>
              <w:tab w:val="right" w:leader="dot" w:pos="8840"/>
            </w:tabs>
            <w:spacing w:before="102" w:line="194" w:lineRule="auto"/>
            <w:ind w:left="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9" w:name="bookmark17"/>
          <w:bookmarkEnd w:id="9"/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>2</w:t>
          </w:r>
          <w:r>
            <w:rPr>
              <w:rFonts w:ascii="Times New Roman" w:hAnsi="Times New Roman" w:eastAsia="Times New Roman" w:cs="Times New Roman"/>
              <w:spacing w:val="15"/>
              <w:w w:val="101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pacing w:val="5"/>
              <w:sz w:val="20"/>
              <w:szCs w:val="20"/>
            </w:rPr>
            <w:t>基本概况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5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9"/>
              <w:sz w:val="20"/>
              <w:szCs w:val="20"/>
            </w:rPr>
            <w:t>8</w:t>
          </w:r>
          <w:r>
            <w:rPr>
              <w:rFonts w:ascii="Times New Roman" w:hAnsi="Times New Roman" w:eastAsia="Times New Roman" w:cs="Times New Roman"/>
              <w:spacing w:val="-9"/>
              <w:sz w:val="20"/>
              <w:szCs w:val="20"/>
            </w:rPr>
            <w:fldChar w:fldCharType="end"/>
          </w:r>
        </w:p>
        <w:p w14:paraId="64C5F2FF">
          <w:pPr>
            <w:tabs>
              <w:tab w:val="right" w:leader="dot" w:pos="8840"/>
            </w:tabs>
            <w:spacing w:before="101" w:line="194" w:lineRule="auto"/>
            <w:ind w:left="4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0" w:name="bookmark19"/>
          <w:bookmarkEnd w:id="10"/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 xml:space="preserve">2.1  </w:t>
          </w:r>
          <w:r>
            <w:rPr>
              <w:rFonts w:ascii="宋体" w:hAnsi="宋体" w:eastAsia="宋体" w:cs="宋体"/>
              <w:spacing w:val="5"/>
              <w:sz w:val="20"/>
              <w:szCs w:val="20"/>
            </w:rPr>
            <w:t>城市概况</w:t>
          </w:r>
          <w:r>
            <w:rPr>
              <w:rFonts w:ascii="宋体" w:hAnsi="宋体" w:eastAsia="宋体" w:cs="宋体"/>
              <w:spacing w:val="-5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t>8</w:t>
          </w:r>
          <w:r>
            <w:rPr>
              <w:rFonts w:ascii="Times New Roman" w:hAnsi="Times New Roman" w:eastAsia="Times New Roman" w:cs="Times New Roman"/>
              <w:spacing w:val="19"/>
              <w:sz w:val="20"/>
              <w:szCs w:val="20"/>
            </w:rPr>
            <w:fldChar w:fldCharType="end"/>
          </w:r>
        </w:p>
        <w:p w14:paraId="56F532B7">
          <w:pPr>
            <w:tabs>
              <w:tab w:val="right" w:leader="dot" w:pos="8840"/>
            </w:tabs>
            <w:spacing w:before="102" w:line="194" w:lineRule="auto"/>
            <w:ind w:left="4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1" w:name="bookmark21"/>
          <w:bookmarkEnd w:id="11"/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 xml:space="preserve">2.2  </w:t>
          </w:r>
          <w:r>
            <w:rPr>
              <w:rFonts w:ascii="宋体" w:hAnsi="宋体" w:eastAsia="宋体" w:cs="宋体"/>
              <w:spacing w:val="5"/>
              <w:sz w:val="20"/>
              <w:szCs w:val="20"/>
            </w:rPr>
            <w:t>地理位置</w:t>
          </w:r>
          <w:r>
            <w:rPr>
              <w:rFonts w:ascii="宋体" w:hAnsi="宋体" w:eastAsia="宋体" w:cs="宋体"/>
              <w:spacing w:val="-5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t>10</w:t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fldChar w:fldCharType="end"/>
          </w:r>
        </w:p>
        <w:p w14:paraId="6D426DDA">
          <w:pPr>
            <w:tabs>
              <w:tab w:val="right" w:leader="dot" w:pos="8840"/>
            </w:tabs>
            <w:spacing w:before="102" w:line="194" w:lineRule="auto"/>
            <w:ind w:left="4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2" w:name="bookmark23"/>
          <w:bookmarkEnd w:id="12"/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t>2.3</w:t>
          </w:r>
          <w:r>
            <w:rPr>
              <w:rFonts w:ascii="Times New Roman" w:hAnsi="Times New Roman" w:eastAsia="Times New Roman" w:cs="Times New Roman"/>
              <w:spacing w:val="25"/>
              <w:w w:val="101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2"/>
              <w:sz w:val="20"/>
              <w:szCs w:val="20"/>
            </w:rPr>
            <w:t>自然资源条件</w:t>
          </w:r>
          <w:r>
            <w:rPr>
              <w:rFonts w:ascii="宋体" w:hAnsi="宋体" w:eastAsia="宋体" w:cs="宋体"/>
              <w:spacing w:val="-56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12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 w14:paraId="55CC34B4">
          <w:pPr>
            <w:tabs>
              <w:tab w:val="right" w:leader="dot" w:pos="8840"/>
            </w:tabs>
            <w:spacing w:before="102" w:line="194" w:lineRule="auto"/>
            <w:ind w:left="4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3" w:name="bookmark25"/>
          <w:bookmarkEnd w:id="13"/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2.4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人口与城镇化</w:t>
          </w:r>
          <w:r>
            <w:rPr>
              <w:rFonts w:ascii="宋体" w:hAnsi="宋体" w:eastAsia="宋体" w:cs="宋体"/>
              <w:spacing w:val="-53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13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 w14:paraId="4E6961D4">
          <w:pPr>
            <w:tabs>
              <w:tab w:val="right" w:leader="dot" w:pos="8840"/>
            </w:tabs>
            <w:spacing w:before="102" w:line="194" w:lineRule="auto"/>
            <w:ind w:left="4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4" w:name="bookmark27"/>
          <w:bookmarkEnd w:id="14"/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2.5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经济发展情况</w:t>
          </w:r>
          <w:r>
            <w:rPr>
              <w:rFonts w:ascii="宋体" w:hAnsi="宋体" w:eastAsia="宋体" w:cs="宋体"/>
              <w:spacing w:val="-53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14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 w14:paraId="4F048DC2">
          <w:pPr>
            <w:tabs>
              <w:tab w:val="right" w:leader="dot" w:pos="8840"/>
            </w:tabs>
            <w:spacing w:before="102" w:line="194" w:lineRule="auto"/>
            <w:ind w:left="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5" w:name="bookmark29"/>
          <w:bookmarkEnd w:id="15"/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3 </w:t>
          </w:r>
          <w:r>
            <w:rPr>
              <w:rFonts w:ascii="宋体" w:hAnsi="宋体" w:eastAsia="宋体" w:cs="宋体"/>
              <w:spacing w:val="8"/>
              <w:sz w:val="20"/>
              <w:szCs w:val="20"/>
            </w:rPr>
            <w:t>开化县中心城区城市规划分析</w:t>
          </w:r>
          <w:r>
            <w:rPr>
              <w:rFonts w:ascii="宋体" w:hAnsi="宋体" w:eastAsia="宋体" w:cs="宋体"/>
              <w:spacing w:val="-5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>20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fldChar w:fldCharType="end"/>
          </w:r>
        </w:p>
        <w:p w14:paraId="5FB0BF35">
          <w:pPr>
            <w:tabs>
              <w:tab w:val="right" w:leader="dot" w:pos="8840"/>
            </w:tabs>
            <w:spacing w:before="101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6" w:name="bookmark31"/>
          <w:bookmarkEnd w:id="16"/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3.1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空间结构与用地布局</w:t>
          </w:r>
          <w:r>
            <w:rPr>
              <w:rFonts w:ascii="宋体" w:hAnsi="宋体" w:eastAsia="宋体" w:cs="宋体"/>
              <w:spacing w:val="-4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20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fldChar w:fldCharType="end"/>
          </w:r>
        </w:p>
        <w:p w14:paraId="5B0700F4">
          <w:pPr>
            <w:tabs>
              <w:tab w:val="right" w:leader="dot" w:pos="8840"/>
            </w:tabs>
            <w:spacing w:before="102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7" w:name="bookmark33"/>
          <w:bookmarkEnd w:id="17"/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t>3.2</w:t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4"/>
              <w:sz w:val="20"/>
              <w:szCs w:val="20"/>
            </w:rPr>
            <w:t>综合交通</w:t>
          </w:r>
          <w:r>
            <w:rPr>
              <w:rFonts w:ascii="宋体" w:hAnsi="宋体" w:eastAsia="宋体" w:cs="宋体"/>
              <w:spacing w:val="-56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t>25</w:t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fldChar w:fldCharType="end"/>
          </w:r>
        </w:p>
        <w:p w14:paraId="22798C35">
          <w:pPr>
            <w:tabs>
              <w:tab w:val="right" w:leader="dot" w:pos="8840"/>
            </w:tabs>
            <w:spacing w:before="102" w:line="194" w:lineRule="auto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8" w:name="bookmark35"/>
          <w:bookmarkEnd w:id="18"/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4 </w:t>
          </w:r>
          <w:r>
            <w:rPr>
              <w:rFonts w:ascii="宋体" w:hAnsi="宋体" w:eastAsia="宋体" w:cs="宋体"/>
              <w:spacing w:val="8"/>
              <w:sz w:val="20"/>
              <w:szCs w:val="20"/>
            </w:rPr>
            <w:t>现声环境功能区划简介及分析</w:t>
          </w:r>
          <w:r>
            <w:rPr>
              <w:rFonts w:ascii="宋体" w:hAnsi="宋体" w:eastAsia="宋体" w:cs="宋体"/>
              <w:spacing w:val="-46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>27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fldChar w:fldCharType="end"/>
          </w:r>
        </w:p>
        <w:p w14:paraId="57F2DE98">
          <w:pPr>
            <w:tabs>
              <w:tab w:val="right" w:leader="dot" w:pos="8840"/>
            </w:tabs>
            <w:spacing w:before="102" w:line="194" w:lineRule="auto"/>
            <w:ind w:left="420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19" w:name="bookmark37"/>
          <w:bookmarkEnd w:id="19"/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4.1 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现声环境功能区划基本情况</w:t>
          </w:r>
          <w:r>
            <w:rPr>
              <w:rFonts w:ascii="宋体" w:hAnsi="宋体" w:eastAsia="宋体" w:cs="宋体"/>
              <w:spacing w:val="-4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6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t>27</w:t>
          </w:r>
          <w:r>
            <w:rPr>
              <w:rFonts w:ascii="Times New Roman" w:hAnsi="Times New Roman" w:eastAsia="Times New Roman" w:cs="Times New Roman"/>
              <w:spacing w:val="2"/>
              <w:sz w:val="20"/>
              <w:szCs w:val="20"/>
            </w:rPr>
            <w:fldChar w:fldCharType="end"/>
          </w:r>
        </w:p>
        <w:p w14:paraId="225F226E">
          <w:pPr>
            <w:tabs>
              <w:tab w:val="right" w:leader="dot" w:pos="8840"/>
            </w:tabs>
            <w:spacing w:before="102" w:line="194" w:lineRule="auto"/>
            <w:ind w:left="420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0" w:name="bookmark39"/>
          <w:bookmarkEnd w:id="20"/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4.2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声环境质量现状</w:t>
          </w:r>
          <w:r>
            <w:rPr>
              <w:rFonts w:ascii="宋体" w:hAnsi="宋体" w:eastAsia="宋体" w:cs="宋体"/>
              <w:spacing w:val="-50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29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 w14:paraId="657BE4AE">
          <w:pPr>
            <w:tabs>
              <w:tab w:val="right" w:leader="dot" w:pos="8840"/>
            </w:tabs>
            <w:spacing w:before="102" w:line="194" w:lineRule="auto"/>
            <w:ind w:left="6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1" w:name="bookmark41"/>
          <w:bookmarkEnd w:id="21"/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5</w:t>
          </w:r>
          <w:r>
            <w:rPr>
              <w:rFonts w:ascii="Times New Roman" w:hAnsi="Times New Roman" w:eastAsia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声环境功能区划工作方法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33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fldChar w:fldCharType="end"/>
          </w:r>
        </w:p>
        <w:p w14:paraId="412EDF7A">
          <w:pPr>
            <w:tabs>
              <w:tab w:val="right" w:leader="dot" w:pos="8840"/>
            </w:tabs>
            <w:spacing w:before="101" w:line="194" w:lineRule="auto"/>
            <w:ind w:left="426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2" w:name="bookmark43"/>
          <w:bookmarkEnd w:id="22"/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5.1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声环境功能区的分类</w:t>
          </w:r>
          <w:r>
            <w:rPr>
              <w:rFonts w:ascii="宋体" w:hAnsi="宋体" w:eastAsia="宋体" w:cs="宋体"/>
              <w:spacing w:val="-4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33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fldChar w:fldCharType="end"/>
          </w:r>
        </w:p>
        <w:p w14:paraId="4A132291">
          <w:pPr>
            <w:tabs>
              <w:tab w:val="right" w:leader="dot" w:pos="8840"/>
            </w:tabs>
            <w:spacing w:before="102" w:line="194" w:lineRule="auto"/>
            <w:ind w:left="426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3" w:name="bookmark45"/>
          <w:bookmarkEnd w:id="23"/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5.2 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声环境功能区划分次序及方法</w:t>
          </w:r>
          <w:r>
            <w:rPr>
              <w:rFonts w:ascii="宋体" w:hAnsi="宋体" w:eastAsia="宋体" w:cs="宋体"/>
              <w:spacing w:val="-50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3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t>34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end"/>
          </w:r>
        </w:p>
        <w:p w14:paraId="5EA08882">
          <w:pPr>
            <w:tabs>
              <w:tab w:val="right" w:leader="dot" w:pos="8840"/>
            </w:tabs>
            <w:spacing w:before="102" w:line="194" w:lineRule="auto"/>
            <w:ind w:left="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4" w:name="bookmark47"/>
          <w:bookmarkEnd w:id="24"/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6 </w:t>
          </w:r>
          <w:r>
            <w:rPr>
              <w:rFonts w:ascii="宋体" w:hAnsi="宋体" w:eastAsia="宋体" w:cs="宋体"/>
              <w:spacing w:val="8"/>
              <w:sz w:val="20"/>
              <w:szCs w:val="20"/>
            </w:rPr>
            <w:t>开化县声环境功能区划调整方案</w:t>
          </w:r>
          <w:r>
            <w:rPr>
              <w:rFonts w:ascii="宋体" w:hAnsi="宋体" w:eastAsia="宋体" w:cs="宋体"/>
              <w:spacing w:val="-51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>43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fldChar w:fldCharType="end"/>
          </w:r>
        </w:p>
        <w:p w14:paraId="585BEE48">
          <w:pPr>
            <w:tabs>
              <w:tab w:val="right" w:leader="dot" w:pos="8840"/>
            </w:tabs>
            <w:spacing w:before="102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5" w:name="bookmark49"/>
          <w:bookmarkEnd w:id="25"/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>6.1</w:t>
          </w:r>
          <w:r>
            <w:rPr>
              <w:rFonts w:ascii="Times New Roman" w:hAnsi="Times New Roman" w:eastAsia="Times New Roman" w:cs="Times New Roman"/>
              <w:spacing w:val="31"/>
              <w:w w:val="101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 xml:space="preserve">1 </w:t>
          </w:r>
          <w:r>
            <w:rPr>
              <w:rFonts w:ascii="宋体" w:hAnsi="宋体" w:eastAsia="宋体" w:cs="宋体"/>
              <w:spacing w:val="5"/>
              <w:sz w:val="20"/>
              <w:szCs w:val="20"/>
            </w:rPr>
            <w:t>类声环境功能区划分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43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 w14:paraId="6F0F37CC">
          <w:pPr>
            <w:tabs>
              <w:tab w:val="right" w:leader="dot" w:pos="8840"/>
            </w:tabs>
            <w:spacing w:before="102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6" w:name="bookmark51"/>
          <w:bookmarkEnd w:id="26"/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6.2 2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类声环境功能区划分</w:t>
          </w:r>
          <w:r>
            <w:rPr>
              <w:rFonts w:ascii="宋体" w:hAnsi="宋体" w:eastAsia="宋体" w:cs="宋体"/>
              <w:spacing w:val="-4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53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 w14:paraId="08B80418">
          <w:pPr>
            <w:tabs>
              <w:tab w:val="right" w:leader="dot" w:pos="8840"/>
            </w:tabs>
            <w:spacing w:before="102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7" w:name="bookmark53"/>
          <w:bookmarkEnd w:id="27"/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6.3 3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类声环境功能区划分</w:t>
          </w:r>
          <w:r>
            <w:rPr>
              <w:rFonts w:ascii="宋体" w:hAnsi="宋体" w:eastAsia="宋体" w:cs="宋体"/>
              <w:spacing w:val="-4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64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 w14:paraId="38464A23">
          <w:pPr>
            <w:tabs>
              <w:tab w:val="right" w:leader="dot" w:pos="8840"/>
            </w:tabs>
            <w:spacing w:before="101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8" w:name="bookmark55"/>
          <w:bookmarkEnd w:id="28"/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6.4 4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类声环境功能区划分</w:t>
          </w:r>
          <w:r>
            <w:rPr>
              <w:rFonts w:ascii="宋体" w:hAnsi="宋体" w:eastAsia="宋体" w:cs="宋体"/>
              <w:spacing w:val="-4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>69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fldChar w:fldCharType="end"/>
          </w:r>
        </w:p>
        <w:p w14:paraId="6413C722">
          <w:pPr>
            <w:tabs>
              <w:tab w:val="right" w:leader="dot" w:pos="8840"/>
            </w:tabs>
            <w:spacing w:before="102" w:line="194" w:lineRule="auto"/>
            <w:ind w:left="425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29" w:name="bookmark57"/>
          <w:bookmarkEnd w:id="29"/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6.5</w:t>
          </w:r>
          <w:r>
            <w:rPr>
              <w:rFonts w:ascii="Times New Roman" w:hAnsi="Times New Roman" w:eastAsia="Times New Roman" w:cs="Times New Roman"/>
              <w:spacing w:val="10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小结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sz w:val="20"/>
              <w:szCs w:val="20"/>
            </w:rPr>
            <w:t>72</w:t>
          </w:r>
          <w:r>
            <w:rPr>
              <w:rFonts w:ascii="Times New Roman" w:hAnsi="Times New Roman" w:eastAsia="Times New Roman" w:cs="Times New Roman"/>
              <w:spacing w:val="13"/>
              <w:sz w:val="20"/>
              <w:szCs w:val="20"/>
            </w:rPr>
            <w:fldChar w:fldCharType="end"/>
          </w:r>
        </w:p>
        <w:p w14:paraId="4814B6DE">
          <w:pPr>
            <w:tabs>
              <w:tab w:val="right" w:leader="dot" w:pos="8840"/>
            </w:tabs>
            <w:spacing w:before="102" w:line="194" w:lineRule="auto"/>
            <w:ind w:left="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0" w:name="bookmark59"/>
          <w:bookmarkEnd w:id="30"/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7 </w:t>
          </w:r>
          <w:r>
            <w:rPr>
              <w:rFonts w:ascii="宋体" w:hAnsi="宋体" w:eastAsia="宋体" w:cs="宋体"/>
              <w:spacing w:val="8"/>
              <w:sz w:val="20"/>
              <w:szCs w:val="20"/>
            </w:rPr>
            <w:t>开化县声环境功能区划调整方案可行性分析</w:t>
          </w:r>
          <w:r>
            <w:rPr>
              <w:rFonts w:ascii="宋体" w:hAnsi="宋体" w:eastAsia="宋体" w:cs="宋体"/>
              <w:spacing w:val="-3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51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77</w:t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fldChar w:fldCharType="end"/>
          </w:r>
        </w:p>
        <w:p w14:paraId="64807EBC">
          <w:pPr>
            <w:tabs>
              <w:tab w:val="right" w:leader="dot" w:pos="8840"/>
            </w:tabs>
            <w:spacing w:before="102" w:line="194" w:lineRule="auto"/>
            <w:ind w:left="42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1" w:name="bookmark61"/>
          <w:bookmarkEnd w:id="31"/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7.1 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与城市总体规划的协调性分析</w:t>
          </w:r>
          <w:r>
            <w:rPr>
              <w:rFonts w:ascii="宋体" w:hAnsi="宋体" w:eastAsia="宋体" w:cs="宋体"/>
              <w:spacing w:val="-48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4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77</w:t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fldChar w:fldCharType="end"/>
          </w:r>
        </w:p>
        <w:p w14:paraId="6D3E7DA6">
          <w:pPr>
            <w:tabs>
              <w:tab w:val="right" w:leader="dot" w:pos="8840"/>
            </w:tabs>
            <w:spacing w:before="102" w:line="194" w:lineRule="auto"/>
            <w:ind w:left="42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2" w:name="bookmark63"/>
          <w:bookmarkEnd w:id="32"/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7.2 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环境管理的可操作性分析</w:t>
          </w:r>
          <w:r>
            <w:rPr>
              <w:rFonts w:ascii="宋体" w:hAnsi="宋体" w:eastAsia="宋体" w:cs="宋体"/>
              <w:spacing w:val="-5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>77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fldChar w:fldCharType="end"/>
          </w:r>
        </w:p>
        <w:p w14:paraId="743BA2E5">
          <w:pPr>
            <w:tabs>
              <w:tab w:val="right" w:leader="dot" w:pos="8840"/>
            </w:tabs>
            <w:spacing w:before="102" w:line="194" w:lineRule="auto"/>
            <w:ind w:left="42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3" w:name="bookmark65"/>
          <w:bookmarkEnd w:id="33"/>
          <w:r>
            <w:fldChar w:fldCharType="begin"/>
          </w:r>
          <w:r>
            <w:instrText xml:space="preserve"> HYPERLINK \l "bookmark66"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7.3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可行性分析的结论</w:t>
          </w:r>
          <w:r>
            <w:rPr>
              <w:rFonts w:ascii="宋体" w:hAnsi="宋体" w:eastAsia="宋体" w:cs="宋体"/>
              <w:spacing w:val="-4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77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fldChar w:fldCharType="end"/>
          </w:r>
        </w:p>
        <w:p w14:paraId="39D1579C">
          <w:pPr>
            <w:tabs>
              <w:tab w:val="right" w:leader="dot" w:pos="8840"/>
            </w:tabs>
            <w:spacing w:before="101" w:line="194" w:lineRule="auto"/>
            <w:ind w:left="9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4" w:name="bookmark67"/>
          <w:bookmarkEnd w:id="34"/>
          <w:r>
            <w:fldChar w:fldCharType="begin"/>
          </w:r>
          <w:r>
            <w:instrText xml:space="preserve"> HYPERLINK \l "bookmark68"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8 </w:t>
          </w:r>
          <w:r>
            <w:rPr>
              <w:rFonts w:ascii="宋体" w:hAnsi="宋体" w:eastAsia="宋体" w:cs="宋体"/>
              <w:spacing w:val="8"/>
              <w:sz w:val="20"/>
              <w:szCs w:val="20"/>
            </w:rPr>
            <w:t>城市噪声控制措施及对策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79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fldChar w:fldCharType="end"/>
          </w:r>
        </w:p>
        <w:p w14:paraId="24DCDCDB">
          <w:pPr>
            <w:tabs>
              <w:tab w:val="right" w:leader="dot" w:pos="8840"/>
            </w:tabs>
            <w:spacing w:before="102" w:line="194" w:lineRule="auto"/>
            <w:ind w:left="429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5" w:name="bookmark69"/>
          <w:bookmarkEnd w:id="35"/>
          <w:r>
            <w:fldChar w:fldCharType="begin"/>
          </w:r>
          <w:r>
            <w:instrText xml:space="preserve"> HYPERLINK \l "bookmark70"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8.1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控制对策及措施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79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 w14:paraId="556ECC76">
          <w:pPr>
            <w:tabs>
              <w:tab w:val="right" w:leader="dot" w:pos="8840"/>
            </w:tabs>
            <w:spacing w:before="102" w:line="194" w:lineRule="auto"/>
            <w:ind w:left="429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6" w:name="bookmark71"/>
          <w:bookmarkEnd w:id="36"/>
          <w:r>
            <w:fldChar w:fldCharType="begin"/>
          </w:r>
          <w:r>
            <w:instrText xml:space="preserve"> HYPERLINK \l "bookmark72"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20"/>
              <w:szCs w:val="20"/>
            </w:rPr>
            <w:t>8.2</w:t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spacing w:val="1"/>
              <w:sz w:val="20"/>
              <w:szCs w:val="20"/>
            </w:rPr>
            <w:t>建议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sz w:val="20"/>
              <w:szCs w:val="20"/>
            </w:rPr>
            <w:t>82</w:t>
          </w:r>
          <w:r>
            <w:rPr>
              <w:rFonts w:ascii="Times New Roman" w:hAnsi="Times New Roman" w:eastAsia="Times New Roman" w:cs="Times New Roman"/>
              <w:spacing w:val="13"/>
              <w:sz w:val="20"/>
              <w:szCs w:val="20"/>
            </w:rPr>
            <w:fldChar w:fldCharType="end"/>
          </w:r>
        </w:p>
        <w:p w14:paraId="2FDF8F66">
          <w:pPr>
            <w:tabs>
              <w:tab w:val="right" w:leader="dot" w:pos="8840"/>
            </w:tabs>
            <w:spacing w:before="102" w:line="194" w:lineRule="auto"/>
            <w:ind w:left="2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7" w:name="bookmark73"/>
          <w:bookmarkEnd w:id="37"/>
          <w:r>
            <w:fldChar w:fldCharType="begin"/>
          </w:r>
          <w:r>
            <w:instrText xml:space="preserve"> HYPERLINK \l "bookmark74"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4"/>
              <w:sz w:val="20"/>
              <w:szCs w:val="20"/>
            </w:rPr>
            <w:t>附录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63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83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  <w:p w14:paraId="65CFCC7A">
          <w:pPr>
            <w:tabs>
              <w:tab w:val="right" w:leader="dot" w:pos="8840"/>
            </w:tabs>
            <w:spacing w:before="72" w:line="274" w:lineRule="exact"/>
            <w:ind w:left="441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8" w:name="bookmark75"/>
          <w:bookmarkEnd w:id="38"/>
          <w:r>
            <w:fldChar w:fldCharType="begin"/>
          </w:r>
          <w:r>
            <w:instrText xml:space="preserve"> HYPERLINK \l "bookmark76"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附图</w:t>
          </w:r>
          <w:r>
            <w:rPr>
              <w:rFonts w:ascii="宋体" w:hAnsi="宋体" w:eastAsia="宋体" w:cs="宋体"/>
              <w:spacing w:val="-20"/>
              <w:position w:val="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1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：《开化县国土空间总体规划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 xml:space="preserve">(2021-2035 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年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)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》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-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县域国土空</w:t>
          </w:r>
          <w:r>
            <w:rPr>
              <w:rFonts w:ascii="宋体" w:hAnsi="宋体" w:eastAsia="宋体" w:cs="宋体"/>
              <w:spacing w:val="6"/>
              <w:position w:val="2"/>
              <w:sz w:val="20"/>
              <w:szCs w:val="20"/>
            </w:rPr>
            <w:t>间控制性规划图</w:t>
          </w:r>
          <w:r>
            <w:rPr>
              <w:rFonts w:ascii="宋体" w:hAnsi="宋体" w:eastAsia="宋体" w:cs="宋体"/>
              <w:spacing w:val="-57"/>
              <w:position w:val="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position w:val="2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5"/>
              <w:position w:val="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2"/>
              <w:sz w:val="20"/>
              <w:szCs w:val="20"/>
            </w:rPr>
            <w:t>83</w:t>
          </w:r>
          <w:r>
            <w:rPr>
              <w:rFonts w:ascii="Times New Roman" w:hAnsi="Times New Roman" w:eastAsia="Times New Roman" w:cs="Times New Roman"/>
              <w:spacing w:val="-2"/>
              <w:position w:val="2"/>
              <w:sz w:val="20"/>
              <w:szCs w:val="20"/>
            </w:rPr>
            <w:fldChar w:fldCharType="end"/>
          </w:r>
        </w:p>
      </w:sdtContent>
    </w:sdt>
    <w:p w14:paraId="2462790B">
      <w:pPr>
        <w:spacing w:line="274" w:lineRule="exact"/>
        <w:rPr>
          <w:rFonts w:ascii="Times New Roman" w:hAnsi="Times New Roman" w:eastAsia="Times New Roman" w:cs="Times New Roman"/>
          <w:sz w:val="20"/>
          <w:szCs w:val="20"/>
        </w:rPr>
        <w:sectPr>
          <w:pgSz w:w="11906" w:h="16839"/>
          <w:pgMar w:top="1431" w:right="1474" w:bottom="0" w:left="1589" w:header="0" w:footer="0" w:gutter="0"/>
          <w:cols w:space="720" w:num="1"/>
        </w:sectPr>
      </w:pPr>
    </w:p>
    <w:p w14:paraId="3F63F296">
      <w:pPr>
        <w:pStyle w:val="2"/>
        <w:spacing w:line="309" w:lineRule="auto"/>
      </w:pPr>
    </w:p>
    <w:p w14:paraId="7A2186C1">
      <w:pPr>
        <w:pStyle w:val="2"/>
        <w:spacing w:line="309" w:lineRule="auto"/>
      </w:pPr>
    </w:p>
    <w:sdt>
      <w:sdtPr>
        <w:rPr>
          <w:rFonts w:ascii="宋体" w:hAnsi="宋体" w:eastAsia="宋体" w:cs="宋体"/>
          <w:sz w:val="20"/>
          <w:szCs w:val="20"/>
        </w:rPr>
        <w:id w:val="147481824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0"/>
          <w:szCs w:val="20"/>
        </w:rPr>
      </w:sdtEndPr>
      <w:sdtContent>
        <w:p w14:paraId="49D61527">
          <w:pPr>
            <w:tabs>
              <w:tab w:val="right" w:leader="dot" w:pos="8645"/>
            </w:tabs>
            <w:spacing w:before="65" w:line="274" w:lineRule="exact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39" w:name="bookmark77"/>
          <w:bookmarkEnd w:id="39"/>
          <w:r>
            <w:fldChar w:fldCharType="begin"/>
          </w:r>
          <w:r>
            <w:instrText xml:space="preserve"> HYPERLINK \l "bookmark78"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附图</w:t>
          </w:r>
          <w:r>
            <w:rPr>
              <w:rFonts w:ascii="宋体" w:hAnsi="宋体" w:eastAsia="宋体" w:cs="宋体"/>
              <w:spacing w:val="-23"/>
              <w:position w:val="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2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：《开化县国土空间总体规划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 xml:space="preserve">(2021-2035 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年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)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》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-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乡级行政主体功能定位分布图</w:t>
          </w:r>
          <w:r>
            <w:rPr>
              <w:rFonts w:ascii="宋体" w:hAnsi="宋体" w:eastAsia="宋体" w:cs="宋体"/>
              <w:spacing w:val="-57"/>
              <w:position w:val="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position w:val="2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8"/>
              <w:position w:val="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2"/>
              <w:sz w:val="20"/>
              <w:szCs w:val="20"/>
            </w:rPr>
            <w:t>84</w:t>
          </w:r>
          <w:r>
            <w:rPr>
              <w:rFonts w:ascii="Times New Roman" w:hAnsi="Times New Roman" w:eastAsia="Times New Roman" w:cs="Times New Roman"/>
              <w:spacing w:val="-2"/>
              <w:position w:val="2"/>
              <w:sz w:val="20"/>
              <w:szCs w:val="20"/>
            </w:rPr>
            <w:fldChar w:fldCharType="end"/>
          </w:r>
        </w:p>
        <w:p w14:paraId="6AE3225E">
          <w:pPr>
            <w:tabs>
              <w:tab w:val="right" w:leader="dot" w:pos="8645"/>
            </w:tabs>
            <w:spacing w:before="37" w:line="274" w:lineRule="exact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0" w:name="bookmark79"/>
          <w:bookmarkEnd w:id="40"/>
          <w:r>
            <w:fldChar w:fldCharType="begin"/>
          </w:r>
          <w:r>
            <w:instrText xml:space="preserve"> HYPERLINK \l "bookmark80"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附图</w:t>
          </w:r>
          <w:r>
            <w:rPr>
              <w:rFonts w:ascii="宋体" w:hAnsi="宋体" w:eastAsia="宋体" w:cs="宋体"/>
              <w:spacing w:val="-29"/>
              <w:position w:val="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3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：《开化县国土空间总体规划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 xml:space="preserve">(2021-2035 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年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)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》</w:t>
          </w:r>
          <w:r>
            <w:rPr>
              <w:rFonts w:ascii="Times New Roman" w:hAnsi="Times New Roman" w:eastAsia="Times New Roman" w:cs="Times New Roman"/>
              <w:spacing w:val="7"/>
              <w:position w:val="2"/>
              <w:sz w:val="20"/>
              <w:szCs w:val="20"/>
            </w:rPr>
            <w:t>-</w:t>
          </w:r>
          <w:r>
            <w:rPr>
              <w:rFonts w:ascii="宋体" w:hAnsi="宋体" w:eastAsia="宋体" w:cs="宋体"/>
              <w:spacing w:val="7"/>
              <w:position w:val="2"/>
              <w:sz w:val="20"/>
              <w:szCs w:val="20"/>
            </w:rPr>
            <w:t>中心城区土地使用规划图</w:t>
          </w:r>
          <w:r>
            <w:rPr>
              <w:rFonts w:ascii="宋体" w:hAnsi="宋体" w:eastAsia="宋体" w:cs="宋体"/>
              <w:spacing w:val="-57"/>
              <w:position w:val="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position w:val="2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4"/>
              <w:position w:val="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2"/>
              <w:sz w:val="20"/>
              <w:szCs w:val="20"/>
            </w:rPr>
            <w:t>85</w:t>
          </w:r>
          <w:r>
            <w:rPr>
              <w:rFonts w:ascii="Times New Roman" w:hAnsi="Times New Roman" w:eastAsia="Times New Roman" w:cs="Times New Roman"/>
              <w:spacing w:val="-2"/>
              <w:position w:val="2"/>
              <w:sz w:val="20"/>
              <w:szCs w:val="20"/>
            </w:rPr>
            <w:fldChar w:fldCharType="end"/>
          </w:r>
        </w:p>
        <w:p w14:paraId="60BEDC4A">
          <w:pPr>
            <w:tabs>
              <w:tab w:val="right" w:leader="dot" w:pos="8645"/>
            </w:tabs>
            <w:spacing w:before="67" w:line="194" w:lineRule="auto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1" w:name="bookmark81"/>
          <w:bookmarkEnd w:id="41"/>
          <w:r>
            <w:fldChar w:fldCharType="begin"/>
          </w:r>
          <w:r>
            <w:instrText xml:space="preserve"> HYPERLINK \l "bookmark82"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附图</w:t>
          </w:r>
          <w:r>
            <w:rPr>
              <w:rFonts w:ascii="宋体" w:hAnsi="宋体" w:eastAsia="宋体" w:cs="宋体"/>
              <w:spacing w:val="-35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>4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：开化县声环境功能区划图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39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86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  <w:p w14:paraId="40A07845">
          <w:pPr>
            <w:tabs>
              <w:tab w:val="right" w:leader="dot" w:pos="8645"/>
            </w:tabs>
            <w:spacing w:before="102" w:line="194" w:lineRule="auto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2" w:name="bookmark83"/>
          <w:bookmarkEnd w:id="42"/>
          <w:r>
            <w:fldChar w:fldCharType="begin"/>
          </w:r>
          <w:r>
            <w:instrText xml:space="preserve"> HYPERLINK \l "bookmark84"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附表</w:t>
          </w:r>
          <w:r>
            <w:rPr>
              <w:rFonts w:ascii="宋体" w:hAnsi="宋体" w:eastAsia="宋体" w:cs="宋体"/>
              <w:spacing w:val="-15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1  </w:t>
          </w:r>
          <w:r>
            <w:rPr>
              <w:rFonts w:ascii="宋体" w:hAnsi="宋体" w:eastAsia="宋体" w:cs="宋体"/>
              <w:spacing w:val="6"/>
              <w:sz w:val="20"/>
              <w:szCs w:val="20"/>
            </w:rPr>
            <w:t>功能区声环境监测点位基础信息表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87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  <w:p w14:paraId="10768BEC">
          <w:pPr>
            <w:tabs>
              <w:tab w:val="right" w:leader="dot" w:pos="8645"/>
            </w:tabs>
            <w:spacing w:before="102" w:line="194" w:lineRule="auto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3" w:name="bookmark85"/>
          <w:bookmarkEnd w:id="43"/>
          <w:r>
            <w:fldChar w:fldCharType="begin"/>
          </w:r>
          <w:r>
            <w:instrText xml:space="preserve"> HYPERLINK \l "bookmark86"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附表</w:t>
          </w:r>
          <w:r>
            <w:rPr>
              <w:rFonts w:ascii="宋体" w:hAnsi="宋体" w:eastAsia="宋体" w:cs="宋体"/>
              <w:spacing w:val="-35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2  </w:t>
          </w:r>
          <w:r>
            <w:rPr>
              <w:rFonts w:ascii="宋体" w:hAnsi="宋体" w:eastAsia="宋体" w:cs="宋体"/>
              <w:spacing w:val="7"/>
              <w:sz w:val="20"/>
              <w:szCs w:val="20"/>
            </w:rPr>
            <w:t>功能区声环境监测点位基础信息表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宋体" w:hAnsi="宋体" w:eastAsia="宋体" w:cs="宋体"/>
              <w:spacing w:val="-4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t>88</w:t>
          </w:r>
          <w:r>
            <w:rPr>
              <w:rFonts w:ascii="Times New Roman" w:hAnsi="Times New Roman" w:eastAsia="Times New Roman" w:cs="Times New Roman"/>
              <w:spacing w:val="-2"/>
              <w:sz w:val="20"/>
              <w:szCs w:val="20"/>
            </w:rPr>
            <w:fldChar w:fldCharType="end"/>
          </w:r>
        </w:p>
        <w:p w14:paraId="5145821A">
          <w:pPr>
            <w:tabs>
              <w:tab w:val="right" w:leader="dot" w:pos="8645"/>
            </w:tabs>
            <w:spacing w:before="102" w:line="194" w:lineRule="auto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4" w:name="bookmark87"/>
          <w:bookmarkEnd w:id="44"/>
          <w:r>
            <w:fldChar w:fldCharType="begin"/>
          </w:r>
          <w:r>
            <w:instrText xml:space="preserve"> HYPERLINK \l "bookmark88"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4"/>
              <w:sz w:val="20"/>
              <w:szCs w:val="20"/>
            </w:rPr>
            <w:t>附件</w:t>
          </w:r>
          <w:r>
            <w:rPr>
              <w:rFonts w:ascii="宋体" w:hAnsi="宋体" w:eastAsia="宋体" w:cs="宋体"/>
              <w:spacing w:val="-33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t>3</w:t>
          </w:r>
          <w:r>
            <w:rPr>
              <w:rFonts w:ascii="宋体" w:hAnsi="宋体" w:eastAsia="宋体" w:cs="宋体"/>
              <w:spacing w:val="4"/>
              <w:sz w:val="20"/>
              <w:szCs w:val="20"/>
            </w:rPr>
            <w:t>：专家意见</w:t>
          </w:r>
          <w:r>
            <w:rPr>
              <w:rFonts w:ascii="宋体" w:hAnsi="宋体" w:eastAsia="宋体" w:cs="宋体"/>
              <w:spacing w:val="-57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t>95</w:t>
          </w:r>
          <w:r>
            <w:rPr>
              <w:rFonts w:ascii="Times New Roman" w:hAnsi="Times New Roman" w:eastAsia="Times New Roman" w:cs="Times New Roman"/>
              <w:spacing w:val="9"/>
              <w:sz w:val="20"/>
              <w:szCs w:val="20"/>
            </w:rPr>
            <w:fldChar w:fldCharType="end"/>
          </w:r>
        </w:p>
        <w:p w14:paraId="4C8C8480">
          <w:pPr>
            <w:tabs>
              <w:tab w:val="right" w:leader="dot" w:pos="8645"/>
            </w:tabs>
            <w:spacing w:before="102" w:line="228" w:lineRule="auto"/>
            <w:ind w:left="244"/>
            <w:rPr>
              <w:rFonts w:ascii="Times New Roman" w:hAnsi="Times New Roman" w:eastAsia="Times New Roman" w:cs="Times New Roman"/>
              <w:sz w:val="20"/>
              <w:szCs w:val="20"/>
            </w:rPr>
          </w:pPr>
          <w:bookmarkStart w:id="45" w:name="bookmark89"/>
          <w:bookmarkEnd w:id="45"/>
          <w:r>
            <w:fldChar w:fldCharType="begin"/>
          </w:r>
          <w:r>
            <w:instrText xml:space="preserve"> HYPERLINK \l "bookmark90" </w:instrText>
          </w:r>
          <w:r>
            <w:fldChar w:fldCharType="separate"/>
          </w:r>
          <w:r>
            <w:rPr>
              <w:rFonts w:ascii="宋体" w:hAnsi="宋体" w:eastAsia="宋体" w:cs="宋体"/>
              <w:spacing w:val="4"/>
              <w:sz w:val="20"/>
              <w:szCs w:val="20"/>
            </w:rPr>
            <w:t>附件</w:t>
          </w:r>
          <w:r>
            <w:rPr>
              <w:rFonts w:ascii="宋体" w:hAnsi="宋体" w:eastAsia="宋体" w:cs="宋体"/>
              <w:spacing w:val="-38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4"/>
              <w:sz w:val="20"/>
              <w:szCs w:val="20"/>
            </w:rPr>
            <w:t>4</w:t>
          </w:r>
          <w:r>
            <w:rPr>
              <w:rFonts w:ascii="宋体" w:hAnsi="宋体" w:eastAsia="宋体" w:cs="宋体"/>
              <w:spacing w:val="4"/>
              <w:sz w:val="20"/>
              <w:szCs w:val="20"/>
            </w:rPr>
            <w:t>：修改单</w:t>
          </w:r>
          <w:r>
            <w:rPr>
              <w:rFonts w:ascii="宋体" w:hAnsi="宋体" w:eastAsia="宋体" w:cs="宋体"/>
              <w:spacing w:val="-59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t>98</w:t>
          </w:r>
          <w:r>
            <w:rPr>
              <w:rFonts w:ascii="Times New Roman" w:hAnsi="Times New Roman" w:eastAsia="Times New Roman" w:cs="Times New Roman"/>
              <w:spacing w:val="11"/>
              <w:sz w:val="20"/>
              <w:szCs w:val="20"/>
            </w:rPr>
            <w:fldChar w:fldCharType="end"/>
          </w:r>
        </w:p>
      </w:sdtContent>
    </w:sdt>
    <w:p w14:paraId="476456AE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pgSz w:w="11906" w:h="16839"/>
          <w:pgMar w:top="1431" w:right="1474" w:bottom="0" w:left="1785" w:header="0" w:footer="0" w:gutter="0"/>
          <w:cols w:space="720" w:num="1"/>
        </w:sectPr>
      </w:pPr>
    </w:p>
    <w:p w14:paraId="6A945B43">
      <w:pPr>
        <w:pStyle w:val="2"/>
        <w:spacing w:line="271" w:lineRule="auto"/>
      </w:pPr>
    </w:p>
    <w:p w14:paraId="3D5A0164">
      <w:pPr>
        <w:pStyle w:val="2"/>
        <w:spacing w:line="272" w:lineRule="auto"/>
      </w:pPr>
    </w:p>
    <w:p w14:paraId="27CAE3D2">
      <w:pPr>
        <w:pStyle w:val="2"/>
        <w:spacing w:line="272" w:lineRule="auto"/>
      </w:pPr>
    </w:p>
    <w:p w14:paraId="04A40B2E">
      <w:pPr>
        <w:spacing w:before="100" w:line="233" w:lineRule="auto"/>
        <w:ind w:left="665"/>
        <w:outlineLvl w:val="0"/>
        <w:rPr>
          <w:rFonts w:ascii="宋体" w:hAnsi="宋体" w:eastAsia="宋体" w:cs="宋体"/>
          <w:sz w:val="31"/>
          <w:szCs w:val="31"/>
        </w:rPr>
      </w:pPr>
      <w:bookmarkStart w:id="46" w:name="bookmark2"/>
      <w:bookmarkEnd w:id="46"/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1"/>
          <w:sz w:val="31"/>
          <w:szCs w:val="31"/>
        </w:rPr>
        <w:t>总论</w:t>
      </w:r>
    </w:p>
    <w:p w14:paraId="11864963">
      <w:pPr>
        <w:spacing w:before="270" w:line="225" w:lineRule="auto"/>
        <w:ind w:left="649"/>
        <w:outlineLvl w:val="1"/>
        <w:rPr>
          <w:rFonts w:ascii="宋体" w:hAnsi="宋体" w:eastAsia="宋体" w:cs="宋体"/>
          <w:sz w:val="31"/>
          <w:szCs w:val="31"/>
        </w:rPr>
      </w:pPr>
      <w:bookmarkStart w:id="47" w:name="bookmark3"/>
      <w:bookmarkEnd w:id="47"/>
      <w:bookmarkStart w:id="48" w:name="bookmark5"/>
      <w:bookmarkEnd w:id="48"/>
      <w:bookmarkStart w:id="49" w:name="bookmark4"/>
      <w:bookmarkEnd w:id="49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 xml:space="preserve">1.1 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任务由来</w:t>
      </w:r>
    </w:p>
    <w:p w14:paraId="5B68C046">
      <w:pPr>
        <w:spacing w:before="199" w:line="331" w:lineRule="auto"/>
        <w:ind w:firstLine="6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声环境功能区是加强环境噪声污染防治、强</w:t>
      </w:r>
      <w:r>
        <w:rPr>
          <w:rFonts w:ascii="宋体" w:hAnsi="宋体" w:eastAsia="宋体" w:cs="宋体"/>
          <w:spacing w:val="4"/>
          <w:sz w:val="31"/>
          <w:szCs w:val="31"/>
        </w:rPr>
        <w:t>化噪声源监督管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理和环境执法、改善声环境质量的重要依据和手段</w:t>
      </w:r>
      <w:r>
        <w:rPr>
          <w:rFonts w:ascii="宋体" w:hAnsi="宋体" w:eastAsia="宋体" w:cs="宋体"/>
          <w:spacing w:val="12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12"/>
          <w:sz w:val="31"/>
          <w:szCs w:val="31"/>
        </w:rPr>
        <w:t>年生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态环境部等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16 </w:t>
      </w:r>
      <w:r>
        <w:rPr>
          <w:rFonts w:ascii="宋体" w:hAnsi="宋体" w:eastAsia="宋体" w:cs="宋体"/>
          <w:spacing w:val="10"/>
          <w:sz w:val="31"/>
          <w:szCs w:val="31"/>
        </w:rPr>
        <w:t>个部门和单位联合印发的《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宋体" w:hAnsi="宋体" w:eastAsia="宋体" w:cs="宋体"/>
          <w:spacing w:val="10"/>
          <w:sz w:val="31"/>
          <w:szCs w:val="31"/>
        </w:rPr>
        <w:t>十四五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宋体" w:hAnsi="宋体" w:eastAsia="宋体" w:cs="宋体"/>
          <w:spacing w:val="10"/>
          <w:sz w:val="31"/>
          <w:szCs w:val="31"/>
        </w:rPr>
        <w:t>噪</w:t>
      </w:r>
      <w:r>
        <w:rPr>
          <w:rFonts w:ascii="宋体" w:hAnsi="宋体" w:eastAsia="宋体" w:cs="宋体"/>
          <w:spacing w:val="9"/>
          <w:sz w:val="31"/>
          <w:szCs w:val="31"/>
        </w:rPr>
        <w:t>声污染防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治行动计划》</w:t>
      </w:r>
      <w:r>
        <w:rPr>
          <w:rFonts w:ascii="宋体" w:hAnsi="宋体" w:eastAsia="宋体" w:cs="宋体"/>
          <w:spacing w:val="-1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（环大气〔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2023</w:t>
      </w:r>
      <w:r>
        <w:rPr>
          <w:rFonts w:ascii="宋体" w:hAnsi="宋体" w:eastAsia="宋体" w:cs="宋体"/>
          <w:spacing w:val="11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3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号）提出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宋体" w:hAnsi="宋体" w:eastAsia="宋体" w:cs="宋体"/>
          <w:spacing w:val="11"/>
          <w:sz w:val="31"/>
          <w:szCs w:val="31"/>
        </w:rPr>
        <w:t>科学划定声环境功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能区。指导地方根据国家声环境质量标准和国土空间规划以及用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地现状，及时划定、调整声环境功能区</w:t>
      </w:r>
      <w:r>
        <w:rPr>
          <w:rFonts w:ascii="Times New Roman" w:hAnsi="Times New Roman" w:eastAsia="Times New Roman" w:cs="Times New Roman"/>
          <w:sz w:val="31"/>
          <w:szCs w:val="31"/>
        </w:rPr>
        <w:t>”</w:t>
      </w:r>
      <w:r>
        <w:rPr>
          <w:rFonts w:ascii="宋体" w:hAnsi="宋体" w:eastAsia="宋体" w:cs="宋体"/>
          <w:sz w:val="31"/>
          <w:szCs w:val="31"/>
        </w:rPr>
        <w:t>。浙江省为贯彻落实《中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华人民共和国噪声污染防治法》、《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十四五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噪声污染防治行动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计划》</w:t>
      </w:r>
      <w:r>
        <w:rPr>
          <w:rFonts w:ascii="宋体" w:hAnsi="宋体" w:eastAsia="宋体" w:cs="宋体"/>
          <w:spacing w:val="-1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（环大气〔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2023</w:t>
      </w:r>
      <w:r>
        <w:rPr>
          <w:rFonts w:ascii="宋体" w:hAnsi="宋体" w:eastAsia="宋体" w:cs="宋体"/>
          <w:spacing w:val="7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号）</w:t>
      </w:r>
      <w:r>
        <w:rPr>
          <w:rFonts w:ascii="宋体" w:hAnsi="宋体" w:eastAsia="宋体" w:cs="宋体"/>
          <w:spacing w:val="-8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以及浙江省生态环境厅</w:t>
      </w:r>
      <w:r>
        <w:rPr>
          <w:rFonts w:ascii="宋体" w:hAnsi="宋体" w:eastAsia="宋体" w:cs="宋体"/>
          <w:spacing w:val="6"/>
          <w:sz w:val="31"/>
          <w:szCs w:val="31"/>
        </w:rPr>
        <w:t>等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17 </w:t>
      </w:r>
      <w:r>
        <w:rPr>
          <w:rFonts w:ascii="宋体" w:hAnsi="宋体" w:eastAsia="宋体" w:cs="宋体"/>
          <w:spacing w:val="6"/>
          <w:sz w:val="31"/>
          <w:szCs w:val="31"/>
        </w:rPr>
        <w:t>个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部门发布《浙江省噪声污染防治行动计划（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2023-2025 </w:t>
      </w:r>
      <w:r>
        <w:rPr>
          <w:rFonts w:ascii="宋体" w:hAnsi="宋体" w:eastAsia="宋体" w:cs="宋体"/>
          <w:spacing w:val="9"/>
          <w:sz w:val="31"/>
          <w:szCs w:val="31"/>
        </w:rPr>
        <w:t>年）》，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文件中明确各市、县〔市、区〕政府完善声环境功能区管理工作，</w:t>
      </w:r>
      <w:r>
        <w:rPr>
          <w:rFonts w:ascii="宋体" w:hAnsi="宋体" w:eastAsia="宋体" w:cs="宋体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根据技术规范要求，进行声环境功能区划定或调</w:t>
      </w:r>
      <w:r>
        <w:rPr>
          <w:rFonts w:ascii="宋体" w:hAnsi="宋体" w:eastAsia="宋体" w:cs="宋体"/>
          <w:spacing w:val="8"/>
          <w:sz w:val="31"/>
          <w:szCs w:val="31"/>
        </w:rPr>
        <w:t>整。</w:t>
      </w:r>
    </w:p>
    <w:p w14:paraId="60E41116">
      <w:pPr>
        <w:spacing w:before="53" w:line="334" w:lineRule="auto"/>
        <w:ind w:left="1" w:right="85" w:firstLine="640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开化县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2019 </w:t>
      </w:r>
      <w:r>
        <w:rPr>
          <w:rFonts w:ascii="宋体" w:hAnsi="宋体" w:eastAsia="宋体" w:cs="宋体"/>
          <w:spacing w:val="10"/>
          <w:sz w:val="31"/>
          <w:szCs w:val="31"/>
        </w:rPr>
        <w:t>年发布的《开化县中心城区</w:t>
      </w:r>
      <w:r>
        <w:rPr>
          <w:rFonts w:ascii="宋体" w:hAnsi="宋体" w:eastAsia="宋体" w:cs="宋体"/>
          <w:spacing w:val="9"/>
          <w:sz w:val="31"/>
          <w:szCs w:val="31"/>
        </w:rPr>
        <w:t>声环境功能区划分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方案（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2018-2023 </w:t>
      </w:r>
      <w:r>
        <w:rPr>
          <w:rFonts w:ascii="宋体" w:hAnsi="宋体" w:eastAsia="宋体" w:cs="宋体"/>
          <w:spacing w:val="8"/>
          <w:sz w:val="31"/>
          <w:szCs w:val="31"/>
        </w:rPr>
        <w:t>年）》至今已满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8"/>
          <w:sz w:val="31"/>
          <w:szCs w:val="31"/>
        </w:rPr>
        <w:t>年</w:t>
      </w:r>
      <w:r>
        <w:rPr>
          <w:rFonts w:ascii="宋体" w:hAnsi="宋体" w:eastAsia="宋体" w:cs="宋体"/>
          <w:spacing w:val="7"/>
          <w:sz w:val="31"/>
          <w:szCs w:val="31"/>
        </w:rPr>
        <w:t>，满足《声环境功能区划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分技术规范》（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/T15190-2014</w:t>
      </w:r>
      <w:r>
        <w:rPr>
          <w:rFonts w:ascii="宋体" w:hAnsi="宋体" w:eastAsia="宋体" w:cs="宋体"/>
          <w:spacing w:val="3"/>
          <w:sz w:val="31"/>
          <w:szCs w:val="31"/>
        </w:rPr>
        <w:t>）中区划调整年限要求，按照国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9"/>
          <w:sz w:val="31"/>
          <w:szCs w:val="31"/>
        </w:rPr>
        <w:t>家和省厅发布的文件要求，当前《开化县国土空间总体规划</w:t>
      </w:r>
      <w:r>
        <w:rPr>
          <w:rFonts w:ascii="宋体" w:hAnsi="宋体" w:eastAsia="宋体" w:cs="宋体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2021-2035 </w:t>
      </w:r>
      <w:r>
        <w:rPr>
          <w:rFonts w:ascii="宋体" w:hAnsi="宋体" w:eastAsia="宋体" w:cs="宋体"/>
          <w:spacing w:val="8"/>
          <w:sz w:val="31"/>
          <w:szCs w:val="31"/>
        </w:rPr>
        <w:t>年）》已获省政府批复，中心城区范围内的用地性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质发生了较大改变，现行的声环境功能区划分方案已不能全面反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sz w:val="31"/>
          <w:szCs w:val="31"/>
        </w:rPr>
        <w:t>映开化县中心城区声环境质量，需要依据《声环境质量标准》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（</w:t>
      </w:r>
      <w:r>
        <w:rPr>
          <w:rFonts w:ascii="宋体" w:hAnsi="宋体" w:eastAsia="宋体" w:cs="宋体"/>
          <w:spacing w:val="-3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GB3096-2008</w:t>
      </w:r>
      <w:r>
        <w:rPr>
          <w:rFonts w:ascii="Times New Roman" w:hAnsi="Times New Roman" w:eastAsia="Times New Roman" w:cs="Times New Roman"/>
          <w:spacing w:val="6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）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及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《 声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环</w:t>
      </w:r>
      <w:r>
        <w:rPr>
          <w:rFonts w:ascii="宋体" w:hAnsi="宋体" w:eastAsia="宋体" w:cs="宋体"/>
          <w:spacing w:val="-4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境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功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能 区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划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分</w:t>
      </w:r>
      <w:r>
        <w:rPr>
          <w:rFonts w:ascii="宋体" w:hAnsi="宋体" w:eastAsia="宋体" w:cs="宋体"/>
          <w:spacing w:val="-4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技</w:t>
      </w:r>
      <w:r>
        <w:rPr>
          <w:rFonts w:ascii="宋体" w:hAnsi="宋体" w:eastAsia="宋体" w:cs="宋体"/>
          <w:spacing w:val="-4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术</w:t>
      </w:r>
      <w:r>
        <w:rPr>
          <w:rFonts w:ascii="宋体" w:hAnsi="宋体" w:eastAsia="宋体" w:cs="宋体"/>
          <w:spacing w:val="-4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规</w:t>
      </w:r>
      <w:r>
        <w:rPr>
          <w:rFonts w:ascii="宋体" w:hAnsi="宋体" w:eastAsia="宋体" w:cs="宋体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范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/T15190-2014</w:t>
      </w:r>
      <w:r>
        <w:rPr>
          <w:rFonts w:ascii="宋体" w:hAnsi="宋体" w:eastAsia="宋体" w:cs="宋体"/>
          <w:spacing w:val="-63"/>
          <w:w w:val="77"/>
          <w:sz w:val="31"/>
          <w:szCs w:val="31"/>
        </w:rPr>
        <w:t>），</w:t>
      </w:r>
      <w:r>
        <w:rPr>
          <w:rFonts w:ascii="宋体" w:hAnsi="宋体" w:eastAsia="宋体" w:cs="宋体"/>
          <w:spacing w:val="2"/>
          <w:sz w:val="31"/>
          <w:szCs w:val="31"/>
        </w:rPr>
        <w:t>结合开化县国土空间总体规划（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2021—2035</w:t>
      </w:r>
    </w:p>
    <w:p w14:paraId="01483342">
      <w:pPr>
        <w:spacing w:line="334" w:lineRule="auto"/>
        <w:rPr>
          <w:rFonts w:ascii="Times New Roman" w:hAnsi="Times New Roman" w:eastAsia="Times New Roman" w:cs="Times New Roman"/>
          <w:sz w:val="31"/>
          <w:szCs w:val="31"/>
        </w:rPr>
        <w:sectPr>
          <w:footerReference r:id="rId5" w:type="default"/>
          <w:pgSz w:w="11906" w:h="16839"/>
          <w:pgMar w:top="1431" w:right="1388" w:bottom="1151" w:left="1598" w:header="0" w:footer="989" w:gutter="0"/>
          <w:cols w:space="720" w:num="1"/>
        </w:sectPr>
      </w:pPr>
    </w:p>
    <w:p w14:paraId="0310059E">
      <w:pPr>
        <w:pStyle w:val="2"/>
        <w:spacing w:line="245" w:lineRule="auto"/>
      </w:pPr>
    </w:p>
    <w:p w14:paraId="7D17237B">
      <w:pPr>
        <w:pStyle w:val="2"/>
        <w:spacing w:line="245" w:lineRule="auto"/>
      </w:pPr>
    </w:p>
    <w:p w14:paraId="769D2A7B">
      <w:pPr>
        <w:pStyle w:val="2"/>
        <w:spacing w:line="245" w:lineRule="auto"/>
      </w:pPr>
    </w:p>
    <w:p w14:paraId="1FD9C944">
      <w:pPr>
        <w:spacing w:before="101" w:line="324" w:lineRule="auto"/>
        <w:ind w:left="7" w:right="14" w:firstLine="1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年）和用地现状，对开化县规划范围内中心城区建设区范围的声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环境功能区进行优化调整，以适应中心城区建设发展和人民对声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环境质量的要求。</w:t>
      </w:r>
    </w:p>
    <w:p w14:paraId="5CB31739">
      <w:pPr>
        <w:spacing w:before="127" w:line="225" w:lineRule="auto"/>
        <w:ind w:left="656"/>
        <w:outlineLvl w:val="1"/>
        <w:rPr>
          <w:rFonts w:ascii="宋体" w:hAnsi="宋体" w:eastAsia="宋体" w:cs="宋体"/>
          <w:sz w:val="31"/>
          <w:szCs w:val="31"/>
        </w:rPr>
      </w:pPr>
      <w:bookmarkStart w:id="50" w:name="bookmark7"/>
      <w:bookmarkEnd w:id="50"/>
      <w:bookmarkStart w:id="51" w:name="bookmark6"/>
      <w:bookmarkEnd w:id="51"/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1.2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区划基本原则</w:t>
      </w:r>
    </w:p>
    <w:p w14:paraId="3F3ED0CB">
      <w:pPr>
        <w:spacing w:before="204" w:line="318" w:lineRule="auto"/>
        <w:ind w:left="8" w:right="14" w:firstLine="66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区划以有效地控制噪声污染的程度与范围，有利于提高声环</w:t>
      </w:r>
      <w:r>
        <w:rPr>
          <w:rFonts w:ascii="宋体" w:hAnsi="宋体" w:eastAsia="宋体" w:cs="宋体"/>
          <w:spacing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境质量为宗旨。区划应遵循以下基本原则：</w:t>
      </w:r>
    </w:p>
    <w:p w14:paraId="19914AE6">
      <w:pPr>
        <w:spacing w:before="49" w:line="280" w:lineRule="auto"/>
        <w:ind w:left="19" w:right="14" w:firstLine="641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）区划应以空间规划为指导，按区域规划用地的主导功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能、用地现状确定。应覆盖整个城市规划区面积</w:t>
      </w:r>
      <w:r>
        <w:rPr>
          <w:rFonts w:ascii="MS PGothic" w:hAnsi="MS PGothic" w:eastAsia="MS PGothic" w:cs="MS PGothic"/>
          <w:spacing w:val="8"/>
          <w:sz w:val="31"/>
          <w:szCs w:val="31"/>
        </w:rPr>
        <w:t>｡</w:t>
      </w:r>
    </w:p>
    <w:p w14:paraId="1F74A5A1">
      <w:pPr>
        <w:spacing w:before="180" w:line="225" w:lineRule="auto"/>
        <w:ind w:left="661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</w:t>
      </w:r>
      <w:r>
        <w:rPr>
          <w:rFonts w:ascii="宋体" w:hAnsi="宋体" w:eastAsia="宋体" w:cs="宋体"/>
          <w:spacing w:val="8"/>
          <w:sz w:val="31"/>
          <w:szCs w:val="31"/>
        </w:rPr>
        <w:t>）区划应便于城市环境噪声管理和促进噪声治理</w:t>
      </w:r>
      <w:r>
        <w:rPr>
          <w:rFonts w:ascii="MS PGothic" w:hAnsi="MS PGothic" w:eastAsia="MS PGothic" w:cs="MS PGothic"/>
          <w:spacing w:val="8"/>
          <w:sz w:val="31"/>
          <w:szCs w:val="31"/>
        </w:rPr>
        <w:t>｡</w:t>
      </w:r>
    </w:p>
    <w:p w14:paraId="0A9C4D16">
      <w:pPr>
        <w:spacing w:before="134" w:line="294" w:lineRule="auto"/>
        <w:ind w:left="7" w:firstLine="629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-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3</w:t>
      </w:r>
      <w:r>
        <w:rPr>
          <w:rFonts w:ascii="宋体" w:hAnsi="宋体" w:eastAsia="宋体" w:cs="宋体"/>
          <w:spacing w:val="-6"/>
          <w:sz w:val="31"/>
          <w:szCs w:val="31"/>
        </w:rPr>
        <w:t>）单块的声环境功能区面积，原则上不小于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0.5km</w:t>
      </w:r>
      <w:r>
        <w:rPr>
          <w:rFonts w:ascii="Times New Roman" w:hAnsi="Times New Roman" w:eastAsia="Times New Roman" w:cs="Times New Roman"/>
          <w:spacing w:val="-6"/>
          <w:position w:val="10"/>
          <w:sz w:val="20"/>
          <w:szCs w:val="20"/>
        </w:rPr>
        <w:t>2</w:t>
      </w:r>
      <w:r>
        <w:rPr>
          <w:rFonts w:ascii="MS PGothic" w:hAnsi="MS PGothic" w:eastAsia="MS PGothic" w:cs="MS PGothic"/>
          <w:spacing w:val="-6"/>
          <w:sz w:val="31"/>
          <w:szCs w:val="31"/>
        </w:rPr>
        <w:t>｡</w:t>
      </w:r>
      <w:r>
        <w:rPr>
          <w:rFonts w:ascii="宋体" w:hAnsi="宋体" w:eastAsia="宋体" w:cs="宋体"/>
          <w:spacing w:val="-6"/>
          <w:sz w:val="31"/>
          <w:szCs w:val="31"/>
        </w:rPr>
        <w:t>山区等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地形特殊的城市，可根据城市的地形特征确定适宜的区域面积</w:t>
      </w:r>
      <w:r>
        <w:rPr>
          <w:rFonts w:ascii="MS PGothic" w:hAnsi="MS PGothic" w:eastAsia="MS PGothic" w:cs="MS PGothic"/>
          <w:spacing w:val="-2"/>
          <w:sz w:val="31"/>
          <w:szCs w:val="31"/>
        </w:rPr>
        <w:t>｡</w:t>
      </w:r>
    </w:p>
    <w:p w14:paraId="6451A009">
      <w:pPr>
        <w:spacing w:before="182" w:line="225" w:lineRule="auto"/>
        <w:ind w:left="66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4</w:t>
      </w:r>
      <w:r>
        <w:rPr>
          <w:rFonts w:ascii="宋体" w:hAnsi="宋体" w:eastAsia="宋体" w:cs="宋体"/>
          <w:spacing w:val="9"/>
          <w:sz w:val="31"/>
          <w:szCs w:val="31"/>
        </w:rPr>
        <w:t>）调整声环境功能区类别需进行充分的说</w:t>
      </w:r>
      <w:r>
        <w:rPr>
          <w:rFonts w:ascii="宋体" w:hAnsi="宋体" w:eastAsia="宋体" w:cs="宋体"/>
          <w:spacing w:val="8"/>
          <w:sz w:val="31"/>
          <w:szCs w:val="31"/>
        </w:rPr>
        <w:t>明。严格控制</w:t>
      </w:r>
    </w:p>
    <w:p w14:paraId="633BDDFB">
      <w:pPr>
        <w:spacing w:before="181" w:line="225" w:lineRule="auto"/>
        <w:rPr>
          <w:rFonts w:ascii="MS PGothic" w:hAnsi="MS PGothic" w:eastAsia="MS PGothic" w:cs="MS PGothic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8"/>
          <w:sz w:val="31"/>
          <w:szCs w:val="31"/>
        </w:rPr>
        <w:t>类声环境功能区范围</w:t>
      </w:r>
      <w:r>
        <w:rPr>
          <w:rFonts w:ascii="MS PGothic" w:hAnsi="MS PGothic" w:eastAsia="MS PGothic" w:cs="MS PGothic"/>
          <w:spacing w:val="8"/>
          <w:sz w:val="31"/>
          <w:szCs w:val="31"/>
        </w:rPr>
        <w:t>｡</w:t>
      </w:r>
    </w:p>
    <w:p w14:paraId="2F868E82">
      <w:pPr>
        <w:spacing w:before="184" w:line="279" w:lineRule="auto"/>
        <w:ind w:left="22" w:right="14" w:firstLine="638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</w:t>
      </w:r>
      <w:r>
        <w:rPr>
          <w:rFonts w:ascii="宋体" w:hAnsi="宋体" w:eastAsia="宋体" w:cs="宋体"/>
          <w:spacing w:val="10"/>
          <w:sz w:val="31"/>
          <w:szCs w:val="31"/>
        </w:rPr>
        <w:t>）根据城市规模和用地变化情况，声环境功能区划可适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时调整，原则上不超过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6"/>
          <w:sz w:val="31"/>
          <w:szCs w:val="31"/>
        </w:rPr>
        <w:t>年调整一次</w:t>
      </w:r>
      <w:r>
        <w:rPr>
          <w:rFonts w:ascii="MS PGothic" w:hAnsi="MS PGothic" w:eastAsia="MS PGothic" w:cs="MS PGothic"/>
          <w:spacing w:val="6"/>
          <w:sz w:val="31"/>
          <w:szCs w:val="31"/>
        </w:rPr>
        <w:t>｡</w:t>
      </w:r>
    </w:p>
    <w:p w14:paraId="579F9BB4">
      <w:pPr>
        <w:spacing w:before="262" w:line="225" w:lineRule="auto"/>
        <w:ind w:left="656"/>
        <w:outlineLvl w:val="1"/>
        <w:rPr>
          <w:rFonts w:ascii="宋体" w:hAnsi="宋体" w:eastAsia="宋体" w:cs="宋体"/>
          <w:sz w:val="31"/>
          <w:szCs w:val="31"/>
        </w:rPr>
      </w:pPr>
      <w:bookmarkStart w:id="52" w:name="bookmark9"/>
      <w:bookmarkEnd w:id="52"/>
      <w:bookmarkStart w:id="53" w:name="bookmark8"/>
      <w:bookmarkEnd w:id="53"/>
      <w:r>
        <w:rPr>
          <w:rFonts w:ascii="Times New Roman" w:hAnsi="Times New Roman" w:eastAsia="Times New Roman" w:cs="Times New Roman"/>
          <w:b/>
          <w:bCs/>
          <w:spacing w:val="-3"/>
          <w:sz w:val="31"/>
          <w:szCs w:val="31"/>
        </w:rPr>
        <w:t>1.3</w:t>
      </w:r>
      <w:r>
        <w:rPr>
          <w:rFonts w:ascii="Times New Roman" w:hAnsi="Times New Roman" w:eastAsia="Times New Roman" w:cs="Times New Roman"/>
          <w:b/>
          <w:bCs/>
          <w:spacing w:val="23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31"/>
          <w:szCs w:val="31"/>
        </w:rPr>
        <w:t>区划依据</w:t>
      </w:r>
    </w:p>
    <w:p w14:paraId="36F9C591">
      <w:pPr>
        <w:spacing w:before="282" w:line="225" w:lineRule="auto"/>
        <w:ind w:left="672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1.3.1  </w:t>
      </w:r>
      <w:r>
        <w:rPr>
          <w:rFonts w:ascii="宋体" w:hAnsi="宋体" w:eastAsia="宋体" w:cs="宋体"/>
          <w:spacing w:val="2"/>
          <w:sz w:val="31"/>
          <w:szCs w:val="31"/>
        </w:rPr>
        <w:t>法律依据</w:t>
      </w:r>
    </w:p>
    <w:p w14:paraId="3FBCFA5D">
      <w:pPr>
        <w:spacing w:before="201" w:line="280" w:lineRule="auto"/>
        <w:ind w:left="7" w:right="14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</w:t>
      </w:r>
      <w:r>
        <w:rPr>
          <w:rFonts w:ascii="宋体" w:hAnsi="宋体" w:eastAsia="宋体" w:cs="宋体"/>
          <w:spacing w:val="5"/>
          <w:sz w:val="31"/>
          <w:szCs w:val="31"/>
        </w:rPr>
        <w:t>）</w:t>
      </w:r>
      <w:r>
        <w:rPr>
          <w:rFonts w:ascii="宋体" w:hAnsi="宋体" w:eastAsia="宋体" w:cs="宋体"/>
          <w:spacing w:val="-12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《中华人民共和国环境保护法》</w:t>
      </w:r>
      <w:r>
        <w:rPr>
          <w:rFonts w:ascii="宋体" w:hAnsi="宋体" w:eastAsia="宋体" w:cs="宋体"/>
          <w:spacing w:val="-1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2014</w:t>
      </w:r>
      <w:r>
        <w:rPr>
          <w:rFonts w:ascii="Times New Roman" w:hAnsi="Times New Roman" w:eastAsia="Times New Roman" w:cs="Times New Roman"/>
          <w:spacing w:val="2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年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28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月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24</w:t>
      </w:r>
      <w:r>
        <w:rPr>
          <w:rFonts w:ascii="Times New Roman" w:hAnsi="Times New Roman" w:eastAsia="Times New Roman" w:cs="Times New Roman"/>
          <w:spacing w:val="7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日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修订）</w:t>
      </w:r>
    </w:p>
    <w:p w14:paraId="35E6D25F">
      <w:pPr>
        <w:spacing w:before="180" w:line="282" w:lineRule="auto"/>
        <w:ind w:left="62" w:right="58" w:firstLine="59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</w:t>
      </w:r>
      <w:r>
        <w:rPr>
          <w:rFonts w:ascii="宋体" w:hAnsi="宋体" w:eastAsia="宋体" w:cs="宋体"/>
          <w:spacing w:val="6"/>
          <w:sz w:val="31"/>
          <w:szCs w:val="31"/>
        </w:rPr>
        <w:t>）《中华人民共和国噪声污染防治法》（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202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5"/>
          <w:sz w:val="31"/>
          <w:szCs w:val="31"/>
        </w:rPr>
        <w:t>年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月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0"/>
          <w:sz w:val="31"/>
          <w:szCs w:val="31"/>
        </w:rPr>
        <w:t>日）</w:t>
      </w:r>
    </w:p>
    <w:p w14:paraId="22F6D676">
      <w:pPr>
        <w:spacing w:line="282" w:lineRule="auto"/>
        <w:rPr>
          <w:rFonts w:ascii="宋体" w:hAnsi="宋体" w:eastAsia="宋体" w:cs="宋体"/>
          <w:sz w:val="31"/>
          <w:szCs w:val="31"/>
        </w:rPr>
        <w:sectPr>
          <w:footerReference r:id="rId6" w:type="default"/>
          <w:pgSz w:w="11906" w:h="16839"/>
          <w:pgMar w:top="1431" w:right="1461" w:bottom="1151" w:left="1591" w:header="0" w:footer="989" w:gutter="0"/>
          <w:cols w:space="720" w:num="1"/>
        </w:sectPr>
      </w:pPr>
    </w:p>
    <w:p w14:paraId="35DE5411">
      <w:pPr>
        <w:pStyle w:val="2"/>
        <w:spacing w:line="272" w:lineRule="auto"/>
      </w:pPr>
    </w:p>
    <w:p w14:paraId="748CD481">
      <w:pPr>
        <w:pStyle w:val="2"/>
        <w:spacing w:line="272" w:lineRule="auto"/>
      </w:pPr>
    </w:p>
    <w:p w14:paraId="7A6CC440">
      <w:pPr>
        <w:pStyle w:val="2"/>
        <w:spacing w:line="272" w:lineRule="auto"/>
      </w:pPr>
    </w:p>
    <w:p w14:paraId="01E8CDE2">
      <w:pPr>
        <w:spacing w:before="101" w:line="225" w:lineRule="auto"/>
        <w:ind w:left="665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1.3.2  </w:t>
      </w:r>
      <w:r>
        <w:rPr>
          <w:rFonts w:ascii="宋体" w:hAnsi="宋体" w:eastAsia="宋体" w:cs="宋体"/>
          <w:spacing w:val="4"/>
          <w:sz w:val="31"/>
          <w:szCs w:val="31"/>
        </w:rPr>
        <w:t>相关标准及技术规范</w:t>
      </w:r>
    </w:p>
    <w:p w14:paraId="50164085">
      <w:pPr>
        <w:spacing w:before="202" w:line="226" w:lineRule="auto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</w:t>
      </w:r>
      <w:r>
        <w:rPr>
          <w:rFonts w:ascii="宋体" w:hAnsi="宋体" w:eastAsia="宋体" w:cs="宋体"/>
          <w:spacing w:val="6"/>
          <w:sz w:val="31"/>
          <w:szCs w:val="31"/>
        </w:rPr>
        <w:t>）《声环境质量标准》（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3096-2008</w:t>
      </w:r>
      <w:r>
        <w:rPr>
          <w:rFonts w:ascii="宋体" w:hAnsi="宋体" w:eastAsia="宋体" w:cs="宋体"/>
          <w:spacing w:val="6"/>
          <w:sz w:val="31"/>
          <w:szCs w:val="31"/>
        </w:rPr>
        <w:t>）</w:t>
      </w:r>
    </w:p>
    <w:p w14:paraId="20676B94">
      <w:pPr>
        <w:spacing w:before="132" w:line="419" w:lineRule="exact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position w:val="1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position w:val="1"/>
          <w:sz w:val="31"/>
          <w:szCs w:val="31"/>
        </w:rPr>
        <w:t>2</w:t>
      </w:r>
      <w:r>
        <w:rPr>
          <w:rFonts w:ascii="宋体" w:hAnsi="宋体" w:eastAsia="宋体" w:cs="宋体"/>
          <w:spacing w:val="7"/>
          <w:position w:val="1"/>
          <w:sz w:val="31"/>
          <w:szCs w:val="31"/>
        </w:rPr>
        <w:t>）《声环境功能区划分技术规范》（</w:t>
      </w:r>
      <w:r>
        <w:rPr>
          <w:rFonts w:ascii="Times New Roman" w:hAnsi="Times New Roman" w:eastAsia="Times New Roman" w:cs="Times New Roman"/>
          <w:position w:val="1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7"/>
          <w:position w:val="1"/>
          <w:sz w:val="31"/>
          <w:szCs w:val="31"/>
        </w:rPr>
        <w:t>/T15190-2014</w:t>
      </w:r>
      <w:r>
        <w:rPr>
          <w:rFonts w:ascii="宋体" w:hAnsi="宋体" w:eastAsia="宋体" w:cs="宋体"/>
          <w:spacing w:val="7"/>
          <w:position w:val="1"/>
          <w:sz w:val="31"/>
          <w:szCs w:val="31"/>
        </w:rPr>
        <w:t>）</w:t>
      </w:r>
    </w:p>
    <w:p w14:paraId="6C6F46CE">
      <w:pPr>
        <w:spacing w:before="187" w:line="280" w:lineRule="auto"/>
        <w:ind w:left="653" w:right="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3</w:t>
      </w:r>
      <w:r>
        <w:rPr>
          <w:rFonts w:ascii="宋体" w:hAnsi="宋体" w:eastAsia="宋体" w:cs="宋体"/>
          <w:spacing w:val="-8"/>
          <w:sz w:val="31"/>
          <w:szCs w:val="31"/>
        </w:rPr>
        <w:t>）《城市用地分类与规划建设用地标准》（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50137-2011</w:t>
      </w:r>
      <w:r>
        <w:rPr>
          <w:rFonts w:ascii="宋体" w:hAnsi="宋体" w:eastAsia="宋体" w:cs="宋体"/>
          <w:spacing w:val="-9"/>
          <w:sz w:val="31"/>
          <w:szCs w:val="31"/>
        </w:rPr>
        <w:t>）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30"/>
          <w:sz w:val="31"/>
          <w:szCs w:val="31"/>
        </w:rPr>
        <w:t>）</w:t>
      </w:r>
      <w:r>
        <w:rPr>
          <w:rFonts w:ascii="宋体" w:hAnsi="宋体" w:eastAsia="宋体" w:cs="宋体"/>
          <w:spacing w:val="-10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0"/>
          <w:sz w:val="31"/>
          <w:szCs w:val="31"/>
        </w:rPr>
        <w:t>《环境噪声监测技术规范城市声环境常规监测》</w:t>
      </w:r>
    </w:p>
    <w:p w14:paraId="1CA1FB78">
      <w:pPr>
        <w:spacing w:before="133" w:line="419" w:lineRule="exact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position w:val="5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position w:val="5"/>
          <w:sz w:val="31"/>
          <w:szCs w:val="31"/>
        </w:rPr>
        <w:t>HJ</w:t>
      </w:r>
      <w:r>
        <w:rPr>
          <w:rFonts w:ascii="Times New Roman" w:hAnsi="Times New Roman" w:eastAsia="Times New Roman" w:cs="Times New Roman"/>
          <w:spacing w:val="4"/>
          <w:position w:val="5"/>
          <w:sz w:val="31"/>
          <w:szCs w:val="31"/>
        </w:rPr>
        <w:t>640-2012)</w:t>
      </w:r>
    </w:p>
    <w:p w14:paraId="5629151A">
      <w:pPr>
        <w:spacing w:before="187" w:line="226" w:lineRule="auto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宋体" w:hAnsi="宋体" w:eastAsia="宋体" w:cs="宋体"/>
          <w:spacing w:val="1"/>
          <w:sz w:val="31"/>
          <w:szCs w:val="31"/>
        </w:rPr>
        <w:t>）《工业企业厂界环境噪声排放标准》（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12348-2</w:t>
      </w:r>
      <w:r>
        <w:rPr>
          <w:rFonts w:ascii="Times New Roman" w:hAnsi="Times New Roman" w:eastAsia="Times New Roman" w:cs="Times New Roman"/>
          <w:sz w:val="31"/>
          <w:szCs w:val="31"/>
        </w:rPr>
        <w:t>008</w:t>
      </w:r>
      <w:r>
        <w:rPr>
          <w:rFonts w:ascii="宋体" w:hAnsi="宋体" w:eastAsia="宋体" w:cs="宋体"/>
          <w:sz w:val="31"/>
          <w:szCs w:val="31"/>
        </w:rPr>
        <w:t>）</w:t>
      </w:r>
    </w:p>
    <w:p w14:paraId="6A9E6560">
      <w:pPr>
        <w:spacing w:before="181" w:line="225" w:lineRule="auto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6</w:t>
      </w:r>
      <w:r>
        <w:rPr>
          <w:rFonts w:ascii="宋体" w:hAnsi="宋体" w:eastAsia="宋体" w:cs="宋体"/>
          <w:spacing w:val="7"/>
          <w:sz w:val="31"/>
          <w:szCs w:val="31"/>
        </w:rPr>
        <w:t>）《社会生活环境噪声排放标准》（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22337-2008</w:t>
      </w:r>
      <w:r>
        <w:rPr>
          <w:rFonts w:ascii="宋体" w:hAnsi="宋体" w:eastAsia="宋体" w:cs="宋体"/>
          <w:spacing w:val="7"/>
          <w:sz w:val="31"/>
          <w:szCs w:val="31"/>
        </w:rPr>
        <w:t>）</w:t>
      </w:r>
    </w:p>
    <w:p w14:paraId="49733710">
      <w:pPr>
        <w:spacing w:before="183" w:line="285" w:lineRule="auto"/>
        <w:ind w:left="13" w:right="169" w:firstLine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7</w:t>
      </w:r>
      <w:r>
        <w:rPr>
          <w:rFonts w:ascii="宋体" w:hAnsi="宋体" w:eastAsia="宋体" w:cs="宋体"/>
          <w:spacing w:val="18"/>
          <w:sz w:val="31"/>
          <w:szCs w:val="31"/>
        </w:rPr>
        <w:t>）</w:t>
      </w:r>
      <w:r>
        <w:rPr>
          <w:rFonts w:ascii="宋体" w:hAnsi="宋体" w:eastAsia="宋体" w:cs="宋体"/>
          <w:spacing w:val="-9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8"/>
          <w:sz w:val="31"/>
          <w:szCs w:val="31"/>
        </w:rPr>
        <w:t>《铁路边界噪声限值及其测量方法》</w:t>
      </w:r>
      <w:r>
        <w:rPr>
          <w:rFonts w:ascii="宋体" w:hAnsi="宋体" w:eastAsia="宋体" w:cs="宋体"/>
          <w:spacing w:val="-10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8"/>
          <w:sz w:val="31"/>
          <w:szCs w:val="31"/>
        </w:rPr>
        <w:t>（含修改单）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12525-90</w:t>
      </w:r>
      <w:r>
        <w:rPr>
          <w:rFonts w:ascii="宋体" w:hAnsi="宋体" w:eastAsia="宋体" w:cs="宋体"/>
          <w:spacing w:val="3"/>
          <w:sz w:val="31"/>
          <w:szCs w:val="31"/>
        </w:rPr>
        <w:t>）</w:t>
      </w:r>
    </w:p>
    <w:p w14:paraId="415E0E89">
      <w:pPr>
        <w:spacing w:before="241" w:line="225" w:lineRule="auto"/>
        <w:ind w:left="665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1.3.3  </w:t>
      </w:r>
      <w:r>
        <w:rPr>
          <w:rFonts w:ascii="宋体" w:hAnsi="宋体" w:eastAsia="宋体" w:cs="宋体"/>
          <w:spacing w:val="2"/>
          <w:sz w:val="31"/>
          <w:szCs w:val="31"/>
        </w:rPr>
        <w:t>其他依据</w:t>
      </w:r>
    </w:p>
    <w:p w14:paraId="10808A84">
      <w:pPr>
        <w:spacing w:before="205" w:line="279" w:lineRule="auto"/>
        <w:ind w:left="13" w:firstLine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</w:t>
      </w:r>
      <w:r>
        <w:rPr>
          <w:rFonts w:ascii="宋体" w:hAnsi="宋体" w:eastAsia="宋体" w:cs="宋体"/>
          <w:spacing w:val="4"/>
          <w:sz w:val="31"/>
          <w:szCs w:val="31"/>
        </w:rPr>
        <w:t>）《关于加强和规范声环境功能区划分管理工作的</w:t>
      </w:r>
      <w:r>
        <w:rPr>
          <w:rFonts w:ascii="宋体" w:hAnsi="宋体" w:eastAsia="宋体" w:cs="宋体"/>
          <w:spacing w:val="3"/>
          <w:sz w:val="31"/>
          <w:szCs w:val="31"/>
        </w:rPr>
        <w:t>通知》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（环办大气函〔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2017</w:t>
      </w:r>
      <w:r>
        <w:rPr>
          <w:rFonts w:ascii="宋体" w:hAnsi="宋体" w:eastAsia="宋体" w:cs="宋体"/>
          <w:spacing w:val="4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1709</w:t>
      </w:r>
      <w:r>
        <w:rPr>
          <w:rFonts w:ascii="Times New Roman" w:hAnsi="Times New Roman" w:eastAsia="Times New Roman" w:cs="Times New Roman"/>
          <w:spacing w:val="3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号）</w:t>
      </w:r>
    </w:p>
    <w:p w14:paraId="048C8ACC">
      <w:pPr>
        <w:spacing w:before="180" w:line="226" w:lineRule="auto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）《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宋体" w:hAnsi="宋体" w:eastAsia="宋体" w:cs="宋体"/>
          <w:spacing w:val="3"/>
          <w:sz w:val="31"/>
          <w:szCs w:val="31"/>
        </w:rPr>
        <w:t>十四五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宋体" w:hAnsi="宋体" w:eastAsia="宋体" w:cs="宋体"/>
          <w:spacing w:val="3"/>
          <w:sz w:val="31"/>
          <w:szCs w:val="31"/>
        </w:rPr>
        <w:t>噪声污染防治行动计划》（环大气〔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2023</w:t>
      </w:r>
      <w:r>
        <w:rPr>
          <w:rFonts w:ascii="宋体" w:hAnsi="宋体" w:eastAsia="宋体" w:cs="宋体"/>
          <w:spacing w:val="3"/>
          <w:sz w:val="31"/>
          <w:szCs w:val="31"/>
        </w:rPr>
        <w:t>〕</w:t>
      </w:r>
    </w:p>
    <w:p w14:paraId="6250C3B7">
      <w:pPr>
        <w:spacing w:before="182" w:line="227" w:lineRule="auto"/>
        <w:ind w:left="24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15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5"/>
          <w:sz w:val="31"/>
          <w:szCs w:val="31"/>
        </w:rPr>
        <w:t>号）</w:t>
      </w:r>
    </w:p>
    <w:p w14:paraId="75C81991">
      <w:pPr>
        <w:spacing w:before="177" w:line="280" w:lineRule="auto"/>
        <w:ind w:right="143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3</w:t>
      </w:r>
      <w:r>
        <w:rPr>
          <w:rFonts w:ascii="宋体" w:hAnsi="宋体" w:eastAsia="宋体" w:cs="宋体"/>
          <w:spacing w:val="-7"/>
          <w:sz w:val="31"/>
          <w:szCs w:val="31"/>
        </w:rPr>
        <w:t>）《浙江省噪声污染防治行动计划（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 xml:space="preserve">2023-2025 </w:t>
      </w:r>
      <w:r>
        <w:rPr>
          <w:rFonts w:ascii="宋体" w:hAnsi="宋体" w:eastAsia="宋体" w:cs="宋体"/>
          <w:spacing w:val="-7"/>
          <w:sz w:val="31"/>
          <w:szCs w:val="31"/>
        </w:rPr>
        <w:t>年）》（浙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环发〔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2023</w:t>
      </w:r>
      <w:r>
        <w:rPr>
          <w:rFonts w:ascii="宋体" w:hAnsi="宋体" w:eastAsia="宋体" w:cs="宋体"/>
          <w:spacing w:val="3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35</w:t>
      </w:r>
      <w:r>
        <w:rPr>
          <w:rFonts w:ascii="Times New Roman" w:hAnsi="Times New Roman" w:eastAsia="Times New Roman" w:cs="Times New Roman"/>
          <w:spacing w:val="32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号）</w:t>
      </w:r>
    </w:p>
    <w:p w14:paraId="321FADF4">
      <w:pPr>
        <w:spacing w:before="136" w:line="293" w:lineRule="auto"/>
        <w:ind w:right="143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宋体" w:hAnsi="宋体" w:eastAsia="宋体" w:cs="宋体"/>
          <w:spacing w:val="6"/>
          <w:sz w:val="31"/>
          <w:szCs w:val="31"/>
        </w:rPr>
        <w:t>）《开化县国土空间总体规划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(2021-2035 </w:t>
      </w:r>
      <w:r>
        <w:rPr>
          <w:rFonts w:ascii="宋体" w:hAnsi="宋体" w:eastAsia="宋体" w:cs="宋体"/>
          <w:spacing w:val="6"/>
          <w:sz w:val="31"/>
          <w:szCs w:val="31"/>
        </w:rPr>
        <w:t>年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)</w:t>
      </w:r>
      <w:r>
        <w:rPr>
          <w:rFonts w:ascii="宋体" w:hAnsi="宋体" w:eastAsia="宋体" w:cs="宋体"/>
          <w:spacing w:val="6"/>
          <w:sz w:val="31"/>
          <w:szCs w:val="31"/>
        </w:rPr>
        <w:t>》</w:t>
      </w:r>
      <w:r>
        <w:rPr>
          <w:rFonts w:ascii="宋体" w:hAnsi="宋体" w:eastAsia="宋体" w:cs="宋体"/>
          <w:spacing w:val="5"/>
          <w:sz w:val="31"/>
          <w:szCs w:val="31"/>
        </w:rPr>
        <w:t>文本和图</w:t>
      </w:r>
      <w:r>
        <w:rPr>
          <w:rFonts w:ascii="宋体" w:hAnsi="宋体" w:eastAsia="宋体" w:cs="宋体"/>
          <w:sz w:val="31"/>
          <w:szCs w:val="31"/>
        </w:rPr>
        <w:t xml:space="preserve"> 集</w:t>
      </w:r>
    </w:p>
    <w:p w14:paraId="312C27F1">
      <w:pPr>
        <w:spacing w:before="180" w:line="226" w:lineRule="auto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5</w:t>
      </w:r>
      <w:r>
        <w:rPr>
          <w:rFonts w:ascii="宋体" w:hAnsi="宋体" w:eastAsia="宋体" w:cs="宋体"/>
          <w:spacing w:val="7"/>
          <w:sz w:val="31"/>
          <w:szCs w:val="31"/>
        </w:rPr>
        <w:t>）《开化县综合立体交通网规划》</w:t>
      </w:r>
    </w:p>
    <w:p w14:paraId="60093DFD">
      <w:pPr>
        <w:spacing w:before="262" w:line="226" w:lineRule="auto"/>
        <w:ind w:left="649"/>
        <w:outlineLvl w:val="1"/>
        <w:rPr>
          <w:rFonts w:ascii="宋体" w:hAnsi="宋体" w:eastAsia="宋体" w:cs="宋体"/>
          <w:sz w:val="31"/>
          <w:szCs w:val="31"/>
        </w:rPr>
      </w:pPr>
      <w:bookmarkStart w:id="54" w:name="bookmark1"/>
      <w:bookmarkEnd w:id="54"/>
      <w:bookmarkStart w:id="55" w:name="bookmark10"/>
      <w:bookmarkEnd w:id="55"/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1.4</w:t>
      </w:r>
      <w:r>
        <w:rPr>
          <w:rFonts w:ascii="Times New Roman" w:hAnsi="Times New Roman" w:eastAsia="Times New Roman" w:cs="Times New Roman"/>
          <w:b/>
          <w:bCs/>
          <w:spacing w:val="12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z w:val="31"/>
          <w:szCs w:val="31"/>
        </w:rPr>
        <w:t>工作原则</w:t>
      </w:r>
    </w:p>
    <w:p w14:paraId="3E13E396">
      <w:pPr>
        <w:spacing w:before="202" w:line="225" w:lineRule="auto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）遵循技术规范原则：声环境功能区划应严格遵循《声</w:t>
      </w:r>
    </w:p>
    <w:p w14:paraId="3B486A28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7" w:type="default"/>
          <w:pgSz w:w="11906" w:h="16839"/>
          <w:pgMar w:top="1431" w:right="1331" w:bottom="1151" w:left="1598" w:header="0" w:footer="989" w:gutter="0"/>
          <w:cols w:space="720" w:num="1"/>
        </w:sectPr>
      </w:pPr>
    </w:p>
    <w:p w14:paraId="6E22233E">
      <w:pPr>
        <w:pStyle w:val="2"/>
        <w:spacing w:line="345" w:lineRule="auto"/>
      </w:pPr>
    </w:p>
    <w:p w14:paraId="51E7117E">
      <w:pPr>
        <w:pStyle w:val="2"/>
        <w:spacing w:line="346" w:lineRule="auto"/>
      </w:pPr>
    </w:p>
    <w:p w14:paraId="5136403C">
      <w:pPr>
        <w:spacing w:before="100" w:line="308" w:lineRule="auto"/>
        <w:ind w:left="8" w:right="111" w:hanging="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环境功能区划分技术规范》（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/T15190-2014</w:t>
      </w:r>
      <w:r>
        <w:rPr>
          <w:rFonts w:ascii="宋体" w:hAnsi="宋体" w:eastAsia="宋体" w:cs="宋体"/>
          <w:spacing w:val="3"/>
          <w:sz w:val="31"/>
          <w:szCs w:val="31"/>
        </w:rPr>
        <w:t>）中的相关技术规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定和要求。</w:t>
      </w:r>
    </w:p>
    <w:p w14:paraId="56A04D85">
      <w:pPr>
        <w:spacing w:before="132" w:line="297" w:lineRule="auto"/>
        <w:ind w:left="1" w:right="109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）区划范围全覆盖原则：本次区划的对象为开化县规划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区中心城区建设范围（中心城区范围包括华埠镇行政辖区范围内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城镇建设用地集中分布区及其相关控制区域）。</w:t>
      </w:r>
    </w:p>
    <w:p w14:paraId="6B9DC2B1">
      <w:pPr>
        <w:spacing w:before="185" w:line="306" w:lineRule="auto"/>
        <w:ind w:right="111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）规划与现状相结合原则：声环境功能区划应以城市规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划为指导，结合规划范围内用地的主导功能和土地使用现状确定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区划单元的声环境功能区类别，并征求各区相关部门意见，进一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步完善区划方案。</w:t>
      </w:r>
    </w:p>
    <w:p w14:paraId="45B61707">
      <w:pPr>
        <w:spacing w:before="187" w:line="315" w:lineRule="auto"/>
        <w:ind w:left="2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宋体" w:hAnsi="宋体" w:eastAsia="宋体" w:cs="宋体"/>
          <w:spacing w:val="6"/>
          <w:sz w:val="31"/>
          <w:szCs w:val="31"/>
        </w:rPr>
        <w:t>）重要区域优先原则：区划宜首先对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3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6"/>
          <w:sz w:val="31"/>
          <w:szCs w:val="31"/>
        </w:rPr>
        <w:t>类声环境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功能区确认划分，余下区域划分为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</w:t>
      </w:r>
      <w:r>
        <w:rPr>
          <w:rFonts w:ascii="宋体" w:hAnsi="宋体" w:eastAsia="宋体" w:cs="宋体"/>
          <w:spacing w:val="4"/>
          <w:sz w:val="31"/>
          <w:szCs w:val="31"/>
        </w:rPr>
        <w:t>，在此基础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上划分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类声环境功能区。对满足技术规范要求的区域，</w:t>
      </w:r>
      <w:r>
        <w:rPr>
          <w:rFonts w:ascii="宋体" w:hAnsi="宋体" w:eastAsia="宋体" w:cs="宋体"/>
          <w:spacing w:val="4"/>
          <w:sz w:val="31"/>
          <w:szCs w:val="31"/>
        </w:rPr>
        <w:t>优先将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其单独划分为单元，尽量维护其完整性，使其整体不受周边影响。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其次考虑此类区域与周边区域区划单元间的关系，根据具体情况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与周边区域合为区划单元。</w:t>
      </w:r>
    </w:p>
    <w:p w14:paraId="13F55E0A">
      <w:pPr>
        <w:spacing w:before="182" w:line="297" w:lineRule="auto"/>
        <w:ind w:left="6" w:right="111" w:firstLine="64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5</w:t>
      </w:r>
      <w:r>
        <w:rPr>
          <w:rFonts w:ascii="宋体" w:hAnsi="宋体" w:eastAsia="宋体" w:cs="宋体"/>
          <w:spacing w:val="8"/>
          <w:sz w:val="31"/>
          <w:szCs w:val="31"/>
        </w:rPr>
        <w:t>）精细化原则：</w:t>
      </w:r>
      <w:r>
        <w:rPr>
          <w:rFonts w:ascii="宋体" w:hAnsi="宋体" w:eastAsia="宋体" w:cs="宋体"/>
          <w:spacing w:val="-9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以高分辨率卫星遥感影像为工作底</w:t>
      </w:r>
      <w:r>
        <w:rPr>
          <w:rFonts w:ascii="宋体" w:hAnsi="宋体" w:eastAsia="宋体" w:cs="宋体"/>
          <w:spacing w:val="7"/>
          <w:sz w:val="31"/>
          <w:szCs w:val="31"/>
        </w:rPr>
        <w:t>图进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行区划，提高区划精度，划分大小适当的区划单元，便于声环境 </w:t>
      </w:r>
      <w:r>
        <w:rPr>
          <w:rFonts w:ascii="宋体" w:hAnsi="宋体" w:eastAsia="宋体" w:cs="宋体"/>
          <w:sz w:val="31"/>
          <w:szCs w:val="31"/>
        </w:rPr>
        <w:t>管理。</w:t>
      </w:r>
    </w:p>
    <w:p w14:paraId="20613889">
      <w:pPr>
        <w:spacing w:before="184" w:line="297" w:lineRule="auto"/>
        <w:ind w:left="1" w:right="46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6</w:t>
      </w:r>
      <w:r>
        <w:rPr>
          <w:rFonts w:ascii="宋体" w:hAnsi="宋体" w:eastAsia="宋体" w:cs="宋体"/>
          <w:spacing w:val="10"/>
          <w:sz w:val="31"/>
          <w:szCs w:val="31"/>
        </w:rPr>
        <w:t>）一致性原则：区划方法、区划程序全县范围内保持一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致；区界划分、区划时间节点全县范围内保持一致；技术指标、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数据统计在全县范围内保持一致。</w:t>
      </w:r>
    </w:p>
    <w:p w14:paraId="773EFDDB">
      <w:pPr>
        <w:spacing w:line="297" w:lineRule="auto"/>
        <w:rPr>
          <w:rFonts w:ascii="宋体" w:hAnsi="宋体" w:eastAsia="宋体" w:cs="宋体"/>
          <w:sz w:val="31"/>
          <w:szCs w:val="31"/>
        </w:rPr>
        <w:sectPr>
          <w:footerReference r:id="rId8" w:type="default"/>
          <w:pgSz w:w="11906" w:h="16839"/>
          <w:pgMar w:top="1431" w:right="1364" w:bottom="1151" w:left="1597" w:header="0" w:footer="989" w:gutter="0"/>
          <w:cols w:space="720" w:num="1"/>
        </w:sectPr>
      </w:pPr>
    </w:p>
    <w:p w14:paraId="300DB0AE">
      <w:pPr>
        <w:pStyle w:val="2"/>
        <w:spacing w:line="271" w:lineRule="auto"/>
      </w:pPr>
    </w:p>
    <w:p w14:paraId="5E85148D">
      <w:pPr>
        <w:pStyle w:val="2"/>
        <w:spacing w:line="272" w:lineRule="auto"/>
      </w:pPr>
    </w:p>
    <w:p w14:paraId="02BE3C10">
      <w:pPr>
        <w:pStyle w:val="2"/>
        <w:spacing w:line="272" w:lineRule="auto"/>
      </w:pPr>
    </w:p>
    <w:p w14:paraId="4DDE4355">
      <w:pPr>
        <w:spacing w:before="100" w:line="225" w:lineRule="auto"/>
        <w:ind w:left="650"/>
        <w:outlineLvl w:val="1"/>
        <w:rPr>
          <w:rFonts w:ascii="宋体" w:hAnsi="宋体" w:eastAsia="宋体" w:cs="宋体"/>
          <w:sz w:val="31"/>
          <w:szCs w:val="31"/>
        </w:rPr>
      </w:pPr>
      <w:bookmarkStart w:id="56" w:name="bookmark11"/>
      <w:bookmarkEnd w:id="56"/>
      <w:bookmarkStart w:id="57" w:name="bookmark12"/>
      <w:bookmarkEnd w:id="57"/>
      <w:r>
        <w:rPr>
          <w:rFonts w:ascii="Times New Roman" w:hAnsi="Times New Roman" w:eastAsia="Times New Roman" w:cs="Times New Roman"/>
          <w:b/>
          <w:bCs/>
          <w:spacing w:val="1"/>
          <w:sz w:val="31"/>
          <w:szCs w:val="31"/>
        </w:rPr>
        <w:t>1.5</w:t>
      </w:r>
      <w:r>
        <w:rPr>
          <w:rFonts w:ascii="Times New Roman" w:hAnsi="Times New Roman" w:eastAsia="Times New Roman" w:cs="Times New Roman"/>
          <w:b/>
          <w:bCs/>
          <w:spacing w:val="22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1"/>
          <w:sz w:val="31"/>
          <w:szCs w:val="31"/>
        </w:rPr>
        <w:t>区划工作基本程序</w:t>
      </w:r>
    </w:p>
    <w:p w14:paraId="4512FB53">
      <w:pPr>
        <w:spacing w:before="204" w:line="279" w:lineRule="auto"/>
        <w:ind w:left="2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</w:t>
      </w:r>
      <w:r>
        <w:rPr>
          <w:rFonts w:ascii="宋体" w:hAnsi="宋体" w:eastAsia="宋体" w:cs="宋体"/>
          <w:spacing w:val="2"/>
          <w:sz w:val="31"/>
          <w:szCs w:val="31"/>
        </w:rPr>
        <w:t>）制定工作方案：明确工作的目标、内容、方法、数量、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质量和时间要求等。</w:t>
      </w:r>
    </w:p>
    <w:p w14:paraId="090670CE">
      <w:pPr>
        <w:spacing w:before="182" w:line="297" w:lineRule="auto"/>
        <w:ind w:left="2" w:right="45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）收集工作资料：城市区域用地现状统计资料、声环境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质量现状统计资料、国土空间总体规划和比例适当的工作底图、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开化县基础地理信息数据等本项目所涉及到的相关资料数据。</w:t>
      </w:r>
    </w:p>
    <w:p w14:paraId="1E83EAC1">
      <w:pPr>
        <w:spacing w:before="181" w:line="280" w:lineRule="auto"/>
        <w:ind w:right="110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）开化县声环境质量现状评估：根据已有的常规监测数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据，对开化县声环境功能区现状进行数据分析。</w:t>
      </w:r>
    </w:p>
    <w:p w14:paraId="256E73DB">
      <w:pPr>
        <w:spacing w:before="181" w:line="279" w:lineRule="auto"/>
        <w:ind w:left="1" w:right="44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</w:t>
      </w:r>
      <w:r>
        <w:rPr>
          <w:rFonts w:ascii="宋体" w:hAnsi="宋体" w:eastAsia="宋体" w:cs="宋体"/>
          <w:spacing w:val="10"/>
          <w:sz w:val="31"/>
          <w:szCs w:val="31"/>
        </w:rPr>
        <w:t>）用地性质未发生变化的区划单元保留原功能区划；用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地性质发生变化的区划单元按照声功能区划流</w:t>
      </w:r>
      <w:r>
        <w:rPr>
          <w:rFonts w:ascii="宋体" w:hAnsi="宋体" w:eastAsia="宋体" w:cs="宋体"/>
          <w:spacing w:val="7"/>
          <w:sz w:val="31"/>
          <w:szCs w:val="31"/>
        </w:rPr>
        <w:t>程进行区划调整。</w:t>
      </w:r>
    </w:p>
    <w:p w14:paraId="2C948188">
      <w:pPr>
        <w:spacing w:before="184" w:line="279" w:lineRule="auto"/>
        <w:ind w:right="110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</w:t>
      </w:r>
      <w:r>
        <w:rPr>
          <w:rFonts w:ascii="宋体" w:hAnsi="宋体" w:eastAsia="宋体" w:cs="宋体"/>
          <w:spacing w:val="10"/>
          <w:sz w:val="31"/>
          <w:szCs w:val="31"/>
        </w:rPr>
        <w:t>）初步划分区划单元：依据区划方法，结合相关建设规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划初步划定各区划单元的区域类型。</w:t>
      </w:r>
    </w:p>
    <w:p w14:paraId="37187DE5">
      <w:pPr>
        <w:spacing w:before="183" w:line="297" w:lineRule="auto"/>
        <w:ind w:left="3" w:right="45" w:firstLine="6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6</w:t>
      </w:r>
      <w:r>
        <w:rPr>
          <w:rFonts w:ascii="宋体" w:hAnsi="宋体" w:eastAsia="宋体" w:cs="宋体"/>
          <w:spacing w:val="10"/>
          <w:sz w:val="31"/>
          <w:szCs w:val="31"/>
        </w:rPr>
        <w:t>）区划单元整合连接成片：把多个区域类别相同且相邻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的单元连成片，充分利用交通干线、区行政边界、河流、沟壑、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绿地等地形地貌作为区划边界。</w:t>
      </w:r>
    </w:p>
    <w:p w14:paraId="7E12AD14">
      <w:pPr>
        <w:spacing w:before="182" w:line="298" w:lineRule="auto"/>
        <w:ind w:right="110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7</w:t>
      </w:r>
      <w:r>
        <w:rPr>
          <w:rFonts w:ascii="宋体" w:hAnsi="宋体" w:eastAsia="宋体" w:cs="宋体"/>
          <w:spacing w:val="10"/>
          <w:sz w:val="31"/>
          <w:szCs w:val="31"/>
        </w:rPr>
        <w:t>）编制工作技术报告与声环境功能区划图初稿：对初步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划定的区划方案进行分析、调整，初步确定区划方案并绘制区划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图。</w:t>
      </w:r>
    </w:p>
    <w:p w14:paraId="5DE89BB8">
      <w:pPr>
        <w:spacing w:before="181" w:line="297" w:lineRule="auto"/>
        <w:ind w:left="3" w:right="107" w:firstLine="6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8</w:t>
      </w:r>
      <w:r>
        <w:rPr>
          <w:rFonts w:ascii="宋体" w:hAnsi="宋体" w:eastAsia="宋体" w:cs="宋体"/>
          <w:spacing w:val="10"/>
          <w:sz w:val="31"/>
          <w:szCs w:val="31"/>
        </w:rPr>
        <w:t>）征求意见及修改完善形成定稿：征求相关部门意见、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组织召开专家会论证、根据反馈意见不断完善区划方案直至形成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可以向当地人民政府审批、公布实施的方案。</w:t>
      </w:r>
    </w:p>
    <w:p w14:paraId="6CD36C98">
      <w:pPr>
        <w:spacing w:before="182" w:line="226" w:lineRule="auto"/>
        <w:ind w:left="64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具体工作程序如下图所示。</w:t>
      </w:r>
    </w:p>
    <w:p w14:paraId="4516B19B">
      <w:pPr>
        <w:spacing w:line="226" w:lineRule="auto"/>
        <w:rPr>
          <w:rFonts w:ascii="宋体" w:hAnsi="宋体" w:eastAsia="宋体" w:cs="宋体"/>
          <w:sz w:val="31"/>
          <w:szCs w:val="31"/>
        </w:rPr>
        <w:sectPr>
          <w:footerReference r:id="rId9" w:type="default"/>
          <w:pgSz w:w="11906" w:h="16839"/>
          <w:pgMar w:top="1431" w:right="1365" w:bottom="1149" w:left="1597" w:header="0" w:footer="989" w:gutter="0"/>
          <w:cols w:space="720" w:num="1"/>
        </w:sectPr>
      </w:pPr>
    </w:p>
    <w:p w14:paraId="28195524">
      <w:pPr>
        <w:pStyle w:val="2"/>
        <w:spacing w:line="337" w:lineRule="auto"/>
      </w:pPr>
    </w:p>
    <w:p w14:paraId="7C88196A">
      <w:pPr>
        <w:pStyle w:val="2"/>
        <w:spacing w:line="337" w:lineRule="auto"/>
      </w:pPr>
    </w:p>
    <w:p w14:paraId="29DA0A89">
      <w:pPr>
        <w:spacing w:line="11508" w:lineRule="exact"/>
      </w:pPr>
      <w:r>
        <w:rPr>
          <w:position w:val="-230"/>
        </w:rPr>
        <w:drawing>
          <wp:inline distT="0" distB="0" distL="0" distR="0">
            <wp:extent cx="5612765" cy="73075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61A4">
      <w:pPr>
        <w:spacing w:before="233" w:line="221" w:lineRule="auto"/>
        <w:ind w:left="18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图</w:t>
      </w:r>
      <w:r>
        <w:rPr>
          <w:rFonts w:ascii="宋体" w:hAnsi="宋体" w:eastAsia="宋体" w:cs="宋体"/>
          <w:spacing w:val="-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1-1 </w:t>
      </w:r>
      <w:r>
        <w:rPr>
          <w:rFonts w:ascii="宋体" w:hAnsi="宋体" w:eastAsia="宋体" w:cs="宋体"/>
          <w:spacing w:val="-4"/>
          <w:sz w:val="28"/>
          <w:szCs w:val="28"/>
        </w:rPr>
        <w:t>开化县声环境功能区划分工作流程图</w:t>
      </w:r>
    </w:p>
    <w:p w14:paraId="6075DF6A"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10" w:type="default"/>
          <w:pgSz w:w="11906" w:h="16839"/>
          <w:pgMar w:top="1431" w:right="1480" w:bottom="1151" w:left="1586" w:header="0" w:footer="989" w:gutter="0"/>
          <w:cols w:space="720" w:num="1"/>
        </w:sectPr>
      </w:pPr>
    </w:p>
    <w:p w14:paraId="2ABDA08C">
      <w:pPr>
        <w:pStyle w:val="2"/>
        <w:spacing w:line="271" w:lineRule="auto"/>
      </w:pPr>
    </w:p>
    <w:p w14:paraId="2C944724">
      <w:pPr>
        <w:pStyle w:val="2"/>
        <w:spacing w:line="272" w:lineRule="auto"/>
      </w:pPr>
    </w:p>
    <w:p w14:paraId="5877B67A">
      <w:pPr>
        <w:pStyle w:val="2"/>
        <w:spacing w:line="272" w:lineRule="auto"/>
      </w:pPr>
    </w:p>
    <w:p w14:paraId="696A1638">
      <w:pPr>
        <w:spacing w:before="101" w:line="226" w:lineRule="auto"/>
        <w:ind w:left="650"/>
        <w:outlineLvl w:val="1"/>
        <w:rPr>
          <w:rFonts w:ascii="宋体" w:hAnsi="宋体" w:eastAsia="宋体" w:cs="宋体"/>
          <w:sz w:val="31"/>
          <w:szCs w:val="31"/>
        </w:rPr>
      </w:pPr>
      <w:bookmarkStart w:id="58" w:name="bookmark14"/>
      <w:bookmarkEnd w:id="58"/>
      <w:bookmarkStart w:id="59" w:name="bookmark13"/>
      <w:bookmarkEnd w:id="59"/>
      <w:r>
        <w:rPr>
          <w:rFonts w:ascii="Times New Roman" w:hAnsi="Times New Roman" w:eastAsia="Times New Roman" w:cs="Times New Roman"/>
          <w:b/>
          <w:bCs/>
          <w:spacing w:val="-3"/>
          <w:sz w:val="31"/>
          <w:szCs w:val="31"/>
        </w:rPr>
        <w:t>1.6</w:t>
      </w:r>
      <w:r>
        <w:rPr>
          <w:rFonts w:ascii="Times New Roman" w:hAnsi="Times New Roman" w:eastAsia="Times New Roman" w:cs="Times New Roman"/>
          <w:b/>
          <w:bCs/>
          <w:spacing w:val="23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31"/>
          <w:szCs w:val="31"/>
        </w:rPr>
        <w:t>区划范围</w:t>
      </w:r>
    </w:p>
    <w:p w14:paraId="36AD8B78">
      <w:pPr>
        <w:spacing w:before="203" w:line="319" w:lineRule="auto"/>
        <w:ind w:right="1" w:firstLine="64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本次声环境功能区划分范围为开化县中心城区，根据《</w:t>
      </w:r>
      <w:r>
        <w:rPr>
          <w:rFonts w:ascii="宋体" w:hAnsi="宋体" w:eastAsia="宋体" w:cs="宋体"/>
          <w:spacing w:val="4"/>
          <w:sz w:val="31"/>
          <w:szCs w:val="31"/>
        </w:rPr>
        <w:t>开化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县国土空间总体规划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(2021-2035 </w:t>
      </w:r>
      <w:r>
        <w:rPr>
          <w:rFonts w:ascii="宋体" w:hAnsi="宋体" w:eastAsia="宋体" w:cs="宋体"/>
          <w:spacing w:val="9"/>
          <w:sz w:val="31"/>
          <w:szCs w:val="31"/>
        </w:rPr>
        <w:t>年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)</w:t>
      </w:r>
      <w:r>
        <w:rPr>
          <w:rFonts w:ascii="宋体" w:hAnsi="宋体" w:eastAsia="宋体" w:cs="宋体"/>
          <w:spacing w:val="9"/>
          <w:sz w:val="31"/>
          <w:szCs w:val="31"/>
        </w:rPr>
        <w:t>》</w:t>
      </w:r>
      <w:r>
        <w:rPr>
          <w:rFonts w:ascii="宋体" w:hAnsi="宋体" w:eastAsia="宋体" w:cs="宋体"/>
          <w:spacing w:val="-7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中用地规划，结合城市发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展和区域环境管理需求，本次声环境功能区共划分面积为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24.032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平方公里。</w:t>
      </w:r>
    </w:p>
    <w:p w14:paraId="3BDB93DF">
      <w:pPr>
        <w:spacing w:before="92" w:line="319" w:lineRule="auto"/>
        <w:ind w:left="16" w:firstLine="6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本划分方案适用于声环境质量标准（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3096-2008</w:t>
      </w:r>
      <w:r>
        <w:rPr>
          <w:rFonts w:ascii="宋体" w:hAnsi="宋体" w:eastAsia="宋体" w:cs="宋体"/>
          <w:spacing w:val="7"/>
          <w:sz w:val="31"/>
          <w:szCs w:val="31"/>
        </w:rPr>
        <w:t>）和环境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噪声排放标准规定的各类区域。</w:t>
      </w:r>
    </w:p>
    <w:p w14:paraId="576C4F31">
      <w:pPr>
        <w:spacing w:before="50" w:line="225" w:lineRule="auto"/>
        <w:ind w:left="643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本区划方案不适用于《机场周围飞机噪声环境标</w:t>
      </w:r>
      <w:r>
        <w:rPr>
          <w:rFonts w:ascii="宋体" w:hAnsi="宋体" w:eastAsia="宋体" w:cs="宋体"/>
          <w:spacing w:val="9"/>
          <w:sz w:val="31"/>
          <w:szCs w:val="31"/>
        </w:rPr>
        <w:t>准》（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</w:p>
    <w:p w14:paraId="703331CC">
      <w:pPr>
        <w:spacing w:before="182" w:line="226" w:lineRule="auto"/>
        <w:ind w:left="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9660-1988</w:t>
      </w:r>
      <w:r>
        <w:rPr>
          <w:rFonts w:ascii="宋体" w:hAnsi="宋体" w:eastAsia="宋体" w:cs="宋体"/>
          <w:spacing w:val="5"/>
          <w:sz w:val="31"/>
          <w:szCs w:val="31"/>
        </w:rPr>
        <w:t>）规定的区域。</w:t>
      </w:r>
    </w:p>
    <w:p w14:paraId="4CB6AA45">
      <w:pPr>
        <w:spacing w:before="261" w:line="227" w:lineRule="auto"/>
        <w:ind w:left="650"/>
        <w:outlineLvl w:val="1"/>
        <w:rPr>
          <w:rFonts w:ascii="宋体" w:hAnsi="宋体" w:eastAsia="宋体" w:cs="宋体"/>
          <w:sz w:val="31"/>
          <w:szCs w:val="31"/>
        </w:rPr>
      </w:pPr>
      <w:bookmarkStart w:id="60" w:name="bookmark16"/>
      <w:bookmarkEnd w:id="60"/>
      <w:bookmarkStart w:id="61" w:name="bookmark15"/>
      <w:bookmarkEnd w:id="61"/>
      <w:r>
        <w:rPr>
          <w:rFonts w:ascii="Times New Roman" w:hAnsi="Times New Roman" w:eastAsia="Times New Roman" w:cs="Times New Roman"/>
          <w:b/>
          <w:bCs/>
          <w:spacing w:val="2"/>
          <w:sz w:val="31"/>
          <w:szCs w:val="31"/>
        </w:rPr>
        <w:t xml:space="preserve">1.7  </w:t>
      </w: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适用时间</w:t>
      </w:r>
    </w:p>
    <w:p w14:paraId="26E3ACDD">
      <w:pPr>
        <w:spacing w:before="151" w:line="325" w:lineRule="auto"/>
        <w:ind w:left="1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根据《声环境功能区划分技术规范》（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/T15190-2014</w:t>
      </w:r>
      <w:r>
        <w:rPr>
          <w:rFonts w:ascii="宋体" w:hAnsi="宋体" w:eastAsia="宋体" w:cs="宋体"/>
          <w:spacing w:val="3"/>
          <w:sz w:val="31"/>
          <w:szCs w:val="31"/>
        </w:rPr>
        <w:t>）中</w:t>
      </w:r>
      <w:r>
        <w:rPr>
          <w:rFonts w:ascii="宋体" w:hAnsi="宋体" w:eastAsia="宋体" w:cs="宋体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区划调整年限要求，一般《声环境功能区划分》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8"/>
          <w:sz w:val="31"/>
          <w:szCs w:val="31"/>
        </w:rPr>
        <w:t>年内需要</w:t>
      </w:r>
      <w:r>
        <w:rPr>
          <w:rFonts w:ascii="宋体" w:hAnsi="宋体" w:eastAsia="宋体" w:cs="宋体"/>
          <w:spacing w:val="7"/>
          <w:sz w:val="31"/>
          <w:szCs w:val="31"/>
        </w:rPr>
        <w:t>重新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修订。</w:t>
      </w:r>
    </w:p>
    <w:p w14:paraId="752803D8">
      <w:pPr>
        <w:spacing w:line="325" w:lineRule="auto"/>
        <w:rPr>
          <w:rFonts w:ascii="宋体" w:hAnsi="宋体" w:eastAsia="宋体" w:cs="宋体"/>
          <w:sz w:val="31"/>
          <w:szCs w:val="31"/>
        </w:rPr>
        <w:sectPr>
          <w:footerReference r:id="rId11" w:type="default"/>
          <w:pgSz w:w="11906" w:h="16839"/>
          <w:pgMar w:top="1431" w:right="1473" w:bottom="1149" w:left="1597" w:header="0" w:footer="989" w:gutter="0"/>
          <w:cols w:space="720" w:num="1"/>
        </w:sectPr>
      </w:pPr>
    </w:p>
    <w:p w14:paraId="3E2ADA11">
      <w:pPr>
        <w:pStyle w:val="2"/>
        <w:spacing w:line="271" w:lineRule="auto"/>
      </w:pPr>
    </w:p>
    <w:p w14:paraId="43596651">
      <w:pPr>
        <w:pStyle w:val="2"/>
        <w:spacing w:line="272" w:lineRule="auto"/>
      </w:pPr>
    </w:p>
    <w:p w14:paraId="1F96C2BD">
      <w:pPr>
        <w:pStyle w:val="2"/>
        <w:spacing w:line="272" w:lineRule="auto"/>
      </w:pPr>
    </w:p>
    <w:p w14:paraId="5C7A7CF3">
      <w:pPr>
        <w:spacing w:before="100" w:line="225" w:lineRule="auto"/>
        <w:ind w:left="636"/>
        <w:outlineLvl w:val="0"/>
        <w:rPr>
          <w:rFonts w:ascii="宋体" w:hAnsi="宋体" w:eastAsia="宋体" w:cs="宋体"/>
          <w:sz w:val="31"/>
          <w:szCs w:val="31"/>
        </w:rPr>
      </w:pPr>
      <w:bookmarkStart w:id="62" w:name="bookmark17"/>
      <w:bookmarkEnd w:id="62"/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基本概况</w:t>
      </w:r>
    </w:p>
    <w:p w14:paraId="5E64EE69">
      <w:pPr>
        <w:spacing w:before="283" w:line="225" w:lineRule="auto"/>
        <w:ind w:left="637"/>
        <w:outlineLvl w:val="1"/>
        <w:rPr>
          <w:rFonts w:ascii="宋体" w:hAnsi="宋体" w:eastAsia="宋体" w:cs="宋体"/>
          <w:sz w:val="31"/>
          <w:szCs w:val="31"/>
        </w:rPr>
      </w:pPr>
      <w:bookmarkStart w:id="63" w:name="bookmark19"/>
      <w:bookmarkEnd w:id="63"/>
      <w:bookmarkStart w:id="64" w:name="bookmark20"/>
      <w:bookmarkEnd w:id="64"/>
      <w:bookmarkStart w:id="65" w:name="bookmark18"/>
      <w:bookmarkEnd w:id="65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2.1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城市概况</w:t>
      </w:r>
    </w:p>
    <w:p w14:paraId="3852C1A1">
      <w:pPr>
        <w:spacing w:before="21" w:line="344" w:lineRule="auto"/>
        <w:ind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开化县，隶属浙江省</w:t>
      </w:r>
      <w:r>
        <w:fldChar w:fldCharType="begin"/>
      </w:r>
      <w:r>
        <w:instrText xml:space="preserve"> HYPERLINK "https://baike.baidu.com/item/%E8%A1%A2%E5%B7%9E%E5%B8%82/1829784?fromModule=lemma_inlink"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衢州市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，位于</w:t>
      </w:r>
      <w:r>
        <w:fldChar w:fldCharType="begin"/>
      </w:r>
      <w:r>
        <w:instrText xml:space="preserve"> HYPERLINK "https://baike.baidu.com/item/%E6%B5%99%E6%B1%9F%E7%9C%81/190275?fromModule=lemma_inlink"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浙江省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西部，衢州市</w:t>
      </w:r>
      <w:r>
        <w:rPr>
          <w:rFonts w:ascii="宋体" w:hAnsi="宋体" w:eastAsia="宋体" w:cs="宋体"/>
          <w:spacing w:val="4"/>
          <w:sz w:val="31"/>
          <w:szCs w:val="31"/>
        </w:rPr>
        <w:t>西北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-5"/>
          <w:sz w:val="31"/>
          <w:szCs w:val="31"/>
        </w:rPr>
        <w:t>部，钱江源头，浙皖赣三省交界处，介于北纬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28°54′30″~29°29′59″</w:t>
      </w:r>
      <w:r>
        <w:rPr>
          <w:rFonts w:ascii="宋体" w:hAnsi="宋体" w:eastAsia="宋体" w:cs="宋体"/>
          <w:spacing w:val="-5"/>
          <w:sz w:val="31"/>
          <w:szCs w:val="31"/>
        </w:rPr>
        <w:t>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东经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118°01′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15″~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118°37′50″</w:t>
      </w:r>
      <w:r>
        <w:rPr>
          <w:rFonts w:ascii="宋体" w:hAnsi="宋体" w:eastAsia="宋体" w:cs="宋体"/>
          <w:spacing w:val="-1"/>
          <w:sz w:val="31"/>
          <w:szCs w:val="31"/>
        </w:rPr>
        <w:t>之间，属中亚热带（北缘</w:t>
      </w:r>
      <w:r>
        <w:rPr>
          <w:rFonts w:ascii="宋体" w:hAnsi="宋体" w:eastAsia="宋体" w:cs="宋体"/>
          <w:spacing w:val="-2"/>
          <w:sz w:val="31"/>
          <w:szCs w:val="31"/>
        </w:rPr>
        <w:t>）季风气候，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气候温暖湿润，雨量丰沛，四季分明，总面积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2236.61 </w:t>
      </w:r>
      <w:r>
        <w:rPr>
          <w:rFonts w:ascii="宋体" w:hAnsi="宋体" w:eastAsia="宋体" w:cs="宋体"/>
          <w:spacing w:val="3"/>
          <w:sz w:val="31"/>
          <w:szCs w:val="31"/>
        </w:rPr>
        <w:t>平方千米。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截至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9"/>
          <w:sz w:val="31"/>
          <w:szCs w:val="31"/>
        </w:rPr>
        <w:t>年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27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月，开化县辖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8 </w:t>
      </w:r>
      <w:r>
        <w:rPr>
          <w:rFonts w:ascii="宋体" w:hAnsi="宋体" w:eastAsia="宋体" w:cs="宋体"/>
          <w:spacing w:val="9"/>
          <w:sz w:val="31"/>
          <w:szCs w:val="31"/>
        </w:rPr>
        <w:t>个镇、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6 </w:t>
      </w:r>
      <w:r>
        <w:rPr>
          <w:rFonts w:ascii="宋体" w:hAnsi="宋体" w:eastAsia="宋体" w:cs="宋体"/>
          <w:spacing w:val="9"/>
          <w:sz w:val="31"/>
          <w:szCs w:val="31"/>
        </w:rPr>
        <w:t>个乡，县人民政府驻华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埠镇解放街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54</w:t>
      </w:r>
      <w:r>
        <w:rPr>
          <w:rFonts w:ascii="Times New Roman" w:hAnsi="Times New Roman" w:eastAsia="Times New Roman" w:cs="Times New Roman"/>
          <w:spacing w:val="2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号。截至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5"/>
          <w:sz w:val="31"/>
          <w:szCs w:val="31"/>
        </w:rPr>
        <w:t>年末，开化县常住人口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24.4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万人</w:t>
      </w:r>
    </w:p>
    <w:p w14:paraId="24263F3E">
      <w:pPr>
        <w:spacing w:before="79" w:line="329" w:lineRule="auto"/>
        <w:ind w:left="2" w:right="206" w:firstLine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开化县于北宋太平兴国六年（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981 </w:t>
      </w:r>
      <w:r>
        <w:rPr>
          <w:rFonts w:ascii="宋体" w:hAnsi="宋体" w:eastAsia="宋体" w:cs="宋体"/>
          <w:spacing w:val="4"/>
          <w:sz w:val="31"/>
          <w:szCs w:val="31"/>
        </w:rPr>
        <w:t>年）建县。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1985 </w:t>
      </w:r>
      <w:r>
        <w:rPr>
          <w:rFonts w:ascii="宋体" w:hAnsi="宋体" w:eastAsia="宋体" w:cs="宋体"/>
          <w:spacing w:val="4"/>
          <w:sz w:val="31"/>
          <w:szCs w:val="31"/>
        </w:rPr>
        <w:t>年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2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月，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开化县属</w:t>
      </w:r>
      <w:r>
        <w:fldChar w:fldCharType="begin"/>
      </w:r>
      <w:r>
        <w:instrText xml:space="preserve"> HYPERLINK "https://baike.baidu.com/item/%E8%A1%A2%E5%B7%9E%E5%B8%82/1829784?fromModule=lemma_inlink"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衢州市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管辖。是衢州地区唯一的革命老区县，有革命老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区村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108 </w:t>
      </w:r>
      <w:r>
        <w:rPr>
          <w:rFonts w:ascii="宋体" w:hAnsi="宋体" w:eastAsia="宋体" w:cs="宋体"/>
          <w:spacing w:val="7"/>
          <w:sz w:val="31"/>
          <w:szCs w:val="31"/>
        </w:rPr>
        <w:t>个，拥有革命旧址、遗迹</w:t>
      </w:r>
      <w:r>
        <w:rPr>
          <w:rFonts w:ascii="宋体" w:hAnsi="宋体" w:eastAsia="宋体" w:cs="宋体"/>
          <w:spacing w:val="-3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116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处。开</w:t>
      </w:r>
      <w:r>
        <w:rPr>
          <w:rFonts w:ascii="宋体" w:hAnsi="宋体" w:eastAsia="宋体" w:cs="宋体"/>
          <w:spacing w:val="6"/>
          <w:sz w:val="31"/>
          <w:szCs w:val="31"/>
        </w:rPr>
        <w:t>化县素有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九山半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水半分田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之称，被誉为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华东绿肺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pacing w:val="-3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，是国家级生态县、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中国天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然氧吧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pacing w:val="-3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、中国根雕艺术之乡，根雕文化被列为浙江省非物质文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化遗产，根宫佛国文化旅游区是衢州市首个国家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5A </w:t>
      </w:r>
      <w:r>
        <w:rPr>
          <w:rFonts w:ascii="宋体" w:hAnsi="宋体" w:eastAsia="宋体" w:cs="宋体"/>
          <w:spacing w:val="7"/>
          <w:sz w:val="31"/>
          <w:szCs w:val="31"/>
        </w:rPr>
        <w:t>级景区，被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吉尼斯世界纪录认证的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宋体" w:hAnsi="宋体" w:eastAsia="宋体" w:cs="宋体"/>
          <w:spacing w:val="8"/>
          <w:sz w:val="31"/>
          <w:szCs w:val="31"/>
        </w:rPr>
        <w:t>全球最大的根雕博物馆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宋体" w:hAnsi="宋体" w:eastAsia="宋体" w:cs="宋体"/>
          <w:spacing w:val="8"/>
          <w:sz w:val="31"/>
          <w:szCs w:val="31"/>
        </w:rPr>
        <w:t>。</w:t>
      </w:r>
    </w:p>
    <w:p w14:paraId="27F5D319">
      <w:pPr>
        <w:spacing w:before="46" w:line="282" w:lineRule="auto"/>
        <w:ind w:left="1" w:right="291" w:firstLine="634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6"/>
          <w:sz w:val="31"/>
          <w:szCs w:val="31"/>
        </w:rPr>
        <w:t>年，开化县实现地区生产总值</w:t>
      </w:r>
      <w:r>
        <w:rPr>
          <w:rFonts w:ascii="宋体" w:hAnsi="宋体" w:eastAsia="宋体" w:cs="宋体"/>
          <w:spacing w:val="-2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188.22 </w:t>
      </w:r>
      <w:r>
        <w:rPr>
          <w:rFonts w:ascii="宋体" w:hAnsi="宋体" w:eastAsia="宋体" w:cs="宋体"/>
          <w:spacing w:val="6"/>
          <w:sz w:val="31"/>
          <w:szCs w:val="31"/>
        </w:rPr>
        <w:t>亿元，同比增长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3.7%</w:t>
      </w:r>
      <w:r>
        <w:rPr>
          <w:rFonts w:ascii="宋体" w:hAnsi="宋体" w:eastAsia="宋体" w:cs="宋体"/>
          <w:spacing w:val="1"/>
          <w:sz w:val="31"/>
          <w:szCs w:val="31"/>
        </w:rPr>
        <w:t>。</w:t>
      </w:r>
    </w:p>
    <w:p w14:paraId="1DFD7284">
      <w:pPr>
        <w:spacing w:before="2" w:line="318" w:lineRule="auto"/>
        <w:ind w:left="3" w:right="248" w:firstLine="639"/>
        <w:rPr>
          <w:rFonts w:ascii="宋体" w:hAnsi="宋体" w:eastAsia="宋体" w:cs="宋体"/>
          <w:sz w:val="31"/>
          <w:szCs w:val="31"/>
        </w:rPr>
      </w:pPr>
      <w:r>
        <w:fldChar w:fldCharType="begin"/>
      </w:r>
      <w:r>
        <w:instrText xml:space="preserve"> HYPERLINK "https://www.baidu.com/s?sa=re_dqa_generate&amp;wd=%E5%BC%80%E5%8C%96%E5%8E%BF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开化县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的产业特色主要体现在</w:t>
      </w:r>
      <w:r>
        <w:fldChar w:fldCharType="begin"/>
      </w:r>
      <w:r>
        <w:instrText xml:space="preserve"> HYPERLINK "https://www.baidu.com/s?sa=re_dqa_generate&amp;wd=%E7%89%B9%E8%89%B2%E5%86%9C%E4%BA%A7%E5%93%81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特色农产品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7%94%9F%E6%80%81%E5%B7%A5%E4%B8%9A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生态工业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和</w:t>
      </w:r>
      <w:r>
        <w:fldChar w:fldCharType="begin"/>
      </w:r>
      <w:r>
        <w:instrText xml:space="preserve"> HYPERLINK "https://www.baidu.com/s?sa=re_dqa_generate&amp;wd=%E5%86%9C%E4%B8%9A%E7%8E%B0%E4%BB%A3%E5%8C%96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4"/>
          <w:sz w:val="31"/>
          <w:szCs w:val="31"/>
        </w:rPr>
        <w:t>农业</w:t>
      </w:r>
      <w:r>
        <w:rPr>
          <w:rFonts w:ascii="宋体" w:hAnsi="宋体" w:eastAsia="宋体" w:cs="宋体"/>
          <w:spacing w:val="4"/>
          <w:sz w:val="31"/>
          <w:szCs w:val="31"/>
        </w:rPr>
        <w:fldChar w:fldCharType="end"/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fldChar w:fldCharType="begin"/>
      </w:r>
      <w:r>
        <w:instrText xml:space="preserve"> HYPERLINK "https://www.baidu.com/s?sa=re_dqa_generate&amp;wd=%E5%86%9C%E4%B8%9A%E7%8E%B0%E4%BB%A3%E5%8C%96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6"/>
          <w:sz w:val="31"/>
          <w:szCs w:val="31"/>
        </w:rPr>
        <w:t>现代化</w:t>
      </w:r>
      <w:r>
        <w:rPr>
          <w:rFonts w:ascii="宋体" w:hAnsi="宋体" w:eastAsia="宋体" w:cs="宋体"/>
          <w:spacing w:val="6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6"/>
          <w:sz w:val="31"/>
          <w:szCs w:val="31"/>
        </w:rPr>
        <w:t>等方面。</w:t>
      </w:r>
    </w:p>
    <w:p w14:paraId="3D00C038">
      <w:pPr>
        <w:spacing w:before="49" w:line="347" w:lineRule="auto"/>
        <w:ind w:left="5" w:right="246" w:firstLine="638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开化县的特色农产品包括</w:t>
      </w:r>
      <w:r>
        <w:fldChar w:fldCharType="begin"/>
      </w:r>
      <w:r>
        <w:instrText xml:space="preserve"> HYPERLINK "https://www.baidu.com/s?sa=re_dqa_generate&amp;wd=%E7%BA%A2%E9%AB%98%E7%B2%B1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红高粱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8%8C%B6%E5%8F%B6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茶叶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6%B8%85%E6%B0%B4%E9%B1%BC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清水鱼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等。红高粱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是开化县大溪边乡的特色产业，通过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红高粱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+X”</w:t>
      </w:r>
      <w:r>
        <w:rPr>
          <w:rFonts w:ascii="宋体" w:hAnsi="宋体" w:eastAsia="宋体" w:cs="宋体"/>
          <w:spacing w:val="14"/>
          <w:sz w:val="31"/>
          <w:szCs w:val="31"/>
        </w:rPr>
        <w:t>模式</w:t>
      </w:r>
      <w:r>
        <w:rPr>
          <w:rFonts w:ascii="宋体" w:hAnsi="宋体" w:eastAsia="宋体" w:cs="宋体"/>
          <w:spacing w:val="13"/>
          <w:sz w:val="31"/>
          <w:szCs w:val="31"/>
        </w:rPr>
        <w:t>，发展了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茶叶、香榧、水蜜桃等多元化作物。茶叶方面，开化县以</w:t>
      </w:r>
      <w:r>
        <w:fldChar w:fldCharType="begin"/>
      </w:r>
      <w:r>
        <w:instrText xml:space="preserve"> HYPERLINK "https://www.baidu.com/s?sa=re_dqa_generate&amp;wd=%E9%BE%99%E9%A1%B6%E8%8C%B6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龙顶茶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</w:p>
    <w:p w14:paraId="6F364F72">
      <w:pPr>
        <w:spacing w:line="347" w:lineRule="auto"/>
        <w:rPr>
          <w:rFonts w:ascii="宋体" w:hAnsi="宋体" w:eastAsia="宋体" w:cs="宋体"/>
          <w:sz w:val="31"/>
          <w:szCs w:val="31"/>
        </w:rPr>
        <w:sectPr>
          <w:footerReference r:id="rId12" w:type="default"/>
          <w:pgSz w:w="11906" w:h="16839"/>
          <w:pgMar w:top="1431" w:right="1227" w:bottom="1151" w:left="1597" w:header="0" w:footer="989" w:gutter="0"/>
          <w:cols w:space="720" w:num="1"/>
        </w:sectPr>
      </w:pPr>
    </w:p>
    <w:p w14:paraId="53C43DA6">
      <w:pPr>
        <w:pStyle w:val="2"/>
        <w:spacing w:line="245" w:lineRule="auto"/>
      </w:pPr>
    </w:p>
    <w:p w14:paraId="1375AB7B">
      <w:pPr>
        <w:pStyle w:val="2"/>
        <w:spacing w:line="245" w:lineRule="auto"/>
      </w:pPr>
    </w:p>
    <w:p w14:paraId="1142655E">
      <w:pPr>
        <w:pStyle w:val="2"/>
        <w:spacing w:line="245" w:lineRule="auto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109220</wp:posOffset>
            </wp:positionV>
            <wp:extent cx="6350" cy="3556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71D78">
      <w:pPr>
        <w:spacing w:before="101" w:line="299" w:lineRule="auto"/>
        <w:ind w:left="1" w:right="67" w:firstLine="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为主要代表，积极推动茶叶产业的品牌化和规</w:t>
      </w:r>
      <w:r>
        <w:rPr>
          <w:rFonts w:ascii="宋体" w:hAnsi="宋体" w:eastAsia="宋体" w:cs="宋体"/>
          <w:spacing w:val="6"/>
          <w:sz w:val="31"/>
          <w:szCs w:val="31"/>
        </w:rPr>
        <w:t>模化发展。此外，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清水鱼养殖产业也是开化县的特色之一，县政府出台了一系列扶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持政策，推动清水鱼产业的全产业链发展。</w:t>
      </w:r>
    </w:p>
    <w:p w14:paraId="4B853EF4">
      <w:pPr>
        <w:spacing w:line="335" w:lineRule="auto"/>
        <w:ind w:left="2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开化县的生态工业以</w:t>
      </w:r>
      <w:r>
        <w:fldChar w:fldCharType="begin"/>
      </w:r>
      <w:r>
        <w:instrText xml:space="preserve"> HYPERLINK "https://www.baidu.com/s?sa=re_dqa_generate&amp;wd=%E6%96%B0%E8%83%BD%E6%BA%90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9"/>
          <w:sz w:val="31"/>
          <w:szCs w:val="31"/>
        </w:rPr>
        <w:t>新能源</w:t>
      </w:r>
      <w:r>
        <w:rPr>
          <w:rFonts w:ascii="宋体" w:hAnsi="宋体" w:eastAsia="宋体" w:cs="宋体"/>
          <w:spacing w:val="9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9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6%96%B0%E6%9D%90%E6%96%99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9"/>
          <w:sz w:val="31"/>
          <w:szCs w:val="31"/>
        </w:rPr>
        <w:t>新材料</w:t>
      </w:r>
      <w:r>
        <w:rPr>
          <w:rFonts w:ascii="宋体" w:hAnsi="宋体" w:eastAsia="宋体" w:cs="宋体"/>
          <w:spacing w:val="9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9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5%A4%A7%E5%81%A5%E5%BA%B7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9"/>
          <w:sz w:val="31"/>
          <w:szCs w:val="31"/>
        </w:rPr>
        <w:t>大健康</w:t>
      </w:r>
      <w:r>
        <w:rPr>
          <w:rFonts w:ascii="宋体" w:hAnsi="宋体" w:eastAsia="宋体" w:cs="宋体"/>
          <w:spacing w:val="9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9"/>
          <w:sz w:val="31"/>
          <w:szCs w:val="31"/>
        </w:rPr>
        <w:t>等产业为主。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fldChar w:fldCharType="begin"/>
      </w:r>
      <w:r>
        <w:instrText xml:space="preserve"> HYPERLINK "https://www.baidu.com/s?sa=re_dqa_generate&amp;wd=%E6%B5%99%E6%B1%9F%E6%B3%B0%E8%83%BD%E5%85%89%E7%94%B5%E6%9C%89%E9%99%90%E5%85%AC%E5%8F%B8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浙江泰能光电有限公司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作为开化经济开发区的重点企业，专注于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光伏组件的生产，体现了开化县在新能源领域的发展实力。此外，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开化县还大力发展</w:t>
      </w:r>
      <w:r>
        <w:fldChar w:fldCharType="begin"/>
      </w:r>
      <w:r>
        <w:instrText xml:space="preserve"> HYPERLINK "https://www.baidu.com/s?sa=re_dqa_generate&amp;wd=%E7%94%B5%E5%AD%90%E4%BF%A1%E6%81%AF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-2"/>
          <w:sz w:val="31"/>
          <w:szCs w:val="31"/>
        </w:rPr>
        <w:t>电子信息</w:t>
      </w:r>
      <w:r>
        <w:rPr>
          <w:rFonts w:ascii="宋体" w:hAnsi="宋体" w:eastAsia="宋体" w:cs="宋体"/>
          <w:spacing w:val="-2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-2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8%BD%BB%E5%B7%A5%E6%9C%BA%E6%A2%B0&amp;rsv_pq=96374e970014dca0&amp;oq=%E5%BC%80%E5%8C%96%E5%8E%BF%E4%BA%A7%E4%B8%9A%E7%89%B9%E8%89%B2&amp;rsv_t=c5d3S3F0r6hPj7O0vySDSXG12aUIz2SNN1gx0AEe3+FbHAzCb4MG4XMiuPtmSjEnG3zU&amp;tn=baiduhome_pg&amp;ie=utf-8" </w:instrText>
      </w:r>
      <w:r>
        <w:fldChar w:fldCharType="separate"/>
      </w:r>
      <w:r>
        <w:rPr>
          <w:rFonts w:ascii="宋体" w:hAnsi="宋体" w:eastAsia="宋体" w:cs="宋体"/>
          <w:spacing w:val="-2"/>
          <w:sz w:val="31"/>
          <w:szCs w:val="31"/>
        </w:rPr>
        <w:t>轻工机械</w:t>
      </w:r>
      <w:r>
        <w:rPr>
          <w:rFonts w:ascii="宋体" w:hAnsi="宋体" w:eastAsia="宋体" w:cs="宋体"/>
          <w:spacing w:val="-2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-2"/>
          <w:sz w:val="31"/>
          <w:szCs w:val="31"/>
        </w:rPr>
        <w:t>等产业，形成了以大健康、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电子信息、新能源、新材料和轻工机械为主的五大产业体系。</w:t>
      </w:r>
    </w:p>
    <w:p w14:paraId="37F24337">
      <w:pPr>
        <w:spacing w:before="158" w:line="308" w:lineRule="auto"/>
        <w:ind w:left="5" w:right="110" w:firstLine="638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开化县的农业现代化表现在积极推进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机器换人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战略，被评</w:t>
      </w:r>
      <w:r>
        <w:rPr>
          <w:rFonts w:ascii="宋体" w:hAnsi="宋体" w:eastAsia="宋体" w:cs="宋体"/>
          <w:spacing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为省级农业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机器换人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高质量发展先行县。通过科技强农、机械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强农的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双强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策略，开化县推动了茶叶等产业的农机化全程全面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发展，提高了农业生产效率和产品质量。</w:t>
      </w:r>
    </w:p>
    <w:p w14:paraId="5D30CB69">
      <w:pPr>
        <w:spacing w:before="2" w:line="346" w:lineRule="auto"/>
        <w:ind w:right="110" w:firstLine="64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华埠镇位于开化县南部，地处</w:t>
      </w:r>
      <w:r>
        <w:fldChar w:fldCharType="begin"/>
      </w:r>
      <w:r>
        <w:instrText xml:space="preserve"> HYPERLINK "https://www.baidu.com/s?sa=re_dqa_generate&amp;wd=%E9%A9%AC%E9%87%91%E6%BA%AA&amp;rsv_pq=be435d3400f63cfe&amp;oq=%E5%8D%8E%E5%9F%A0%E9%95%87%E5%9C%B0%E4%BD%8D&amp;rsv_t=414bYj7QdSuC1NO9bzq6of3cAwwC3Q1NKhTuiZvVYusegMw3fTVx4ZXIv74/v42W/KeycMU&amp;tn=15007414_10_pg&amp;ie=utf-8"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马金溪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fldChar w:fldCharType="begin"/>
      </w:r>
      <w:r>
        <w:instrText xml:space="preserve"> HYPERLINK "https://www.baidu.com/s?sa=re_dqa_generate&amp;wd=%E6%B1%A0%E6%B7%AE%E6%BA%AA&amp;rsv_pq=be435d3400f63cfe&amp;oq=%E5%8D%8E%E5%9F%A0%E9%95%87%E5%9C%B0%E4%BD%8D&amp;rsv_t=414bYj7QdSuC1NO9bzq6of3cAwwC3Q1NKhTuiZvVYusegMw3fTVx4ZXIv74/v42W/KeycMU&amp;tn=15007414_10_pg&amp;ie=utf-8"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池淮溪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交汇处，</w:t>
      </w:r>
      <w:r>
        <w:rPr>
          <w:rFonts w:ascii="宋体" w:hAnsi="宋体" w:eastAsia="宋体" w:cs="宋体"/>
          <w:spacing w:val="4"/>
          <w:sz w:val="31"/>
          <w:szCs w:val="31"/>
        </w:rPr>
        <w:t>是浙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皖赣三省七县的交通枢纽及各类商品物资的集散地，素有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fldChar w:fldCharType="begin"/>
      </w:r>
      <w:r>
        <w:instrText xml:space="preserve"> HYPERLINK "https://www.baidu.com/s?sa=re_dqa_generate&amp;wd=%E9%92%B1%E6%B1%9F%E6%BA%90%E5%A4%B4%E7%AC%AC%E4%B8%80%E5%9F%A0&amp;rsv_pq=be435d3400f63cfe&amp;oq=%E5%8D%8E%E5%9F%A0%E9%95%87%E5%9C%B0%E4%BD%8D&amp;rsv_t=414bYj7QdSuC1NO9bzq6of3cAwwC3Q1NKhTuiZvVYusegMw3fTVx4ZXIv74/v42W/KeycMU&amp;tn=15007414_10_pg&amp;ie=utf-8" </w:instrText>
      </w:r>
      <w:r>
        <w:fldChar w:fldCharType="separate"/>
      </w:r>
      <w:r>
        <w:rPr>
          <w:rFonts w:ascii="宋体" w:hAnsi="宋体" w:eastAsia="宋体" w:cs="宋体"/>
          <w:spacing w:val="11"/>
          <w:sz w:val="31"/>
          <w:szCs w:val="31"/>
        </w:rPr>
        <w:t>钱江</w:t>
      </w:r>
      <w:r>
        <w:rPr>
          <w:rFonts w:ascii="宋体" w:hAnsi="宋体" w:eastAsia="宋体" w:cs="宋体"/>
          <w:spacing w:val="11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fldChar w:fldCharType="begin"/>
      </w:r>
      <w:r>
        <w:instrText xml:space="preserve"> HYPERLINK "https://www.baidu.com/s?sa=re_dqa_generate&amp;wd=%E9%92%B1%E6%B1%9F%E6%BA%90%E5%A4%B4%E7%AC%AC%E4%B8%80%E5%9F%A0&amp;rsv_pq=be435d3400f63cfe&amp;oq=%E5%8D%8E%E5%9F%A0%E9%95%87%E5%9C%B0%E4%BD%8D&amp;rsv_t=414bYj7QdSuC1NO9bzq6of3cAwwC3Q1NKhTuiZvVYusegMw3fTVx4ZXIv74/v42W/KeycMU&amp;tn=15007414_10_pg&amp;ie=utf-8" </w:instrText>
      </w:r>
      <w:r>
        <w:fldChar w:fldCharType="separate"/>
      </w:r>
      <w:r>
        <w:rPr>
          <w:rFonts w:ascii="宋体" w:hAnsi="宋体" w:eastAsia="宋体" w:cs="宋体"/>
          <w:spacing w:val="7"/>
          <w:sz w:val="31"/>
          <w:szCs w:val="31"/>
        </w:rPr>
        <w:t>源头第一埠</w:t>
      </w:r>
      <w:r>
        <w:rPr>
          <w:rFonts w:ascii="宋体" w:hAnsi="宋体" w:eastAsia="宋体" w:cs="宋体"/>
          <w:spacing w:val="7"/>
          <w:sz w:val="31"/>
          <w:szCs w:val="31"/>
        </w:rPr>
        <w:fldChar w:fldCharType="end"/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的美称。</w:t>
      </w:r>
    </w:p>
    <w:p w14:paraId="5F8E1ABD">
      <w:pPr>
        <w:spacing w:line="346" w:lineRule="auto"/>
        <w:rPr>
          <w:rFonts w:ascii="宋体" w:hAnsi="宋体" w:eastAsia="宋体" w:cs="宋体"/>
          <w:sz w:val="31"/>
          <w:szCs w:val="31"/>
        </w:rPr>
        <w:sectPr>
          <w:footerReference r:id="rId13" w:type="default"/>
          <w:pgSz w:w="11906" w:h="16839"/>
          <w:pgMar w:top="1431" w:right="1365" w:bottom="1151" w:left="1597" w:header="0" w:footer="989" w:gutter="0"/>
          <w:cols w:space="720" w:num="1"/>
        </w:sectPr>
      </w:pPr>
    </w:p>
    <w:p w14:paraId="1AFD7A4A">
      <w:pPr>
        <w:pStyle w:val="2"/>
        <w:spacing w:line="350" w:lineRule="auto"/>
      </w:pPr>
    </w:p>
    <w:p w14:paraId="0369E128">
      <w:pPr>
        <w:pStyle w:val="2"/>
        <w:spacing w:line="350" w:lineRule="auto"/>
      </w:pPr>
    </w:p>
    <w:p w14:paraId="7AE8969F">
      <w:pPr>
        <w:spacing w:line="10843" w:lineRule="exact"/>
      </w:pPr>
      <w:r>
        <w:rPr>
          <w:position w:val="-216"/>
        </w:rPr>
        <w:drawing>
          <wp:inline distT="0" distB="0" distL="0" distR="0">
            <wp:extent cx="5601970" cy="688530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02223" cy="68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3229">
      <w:pPr>
        <w:spacing w:before="247" w:line="221" w:lineRule="auto"/>
        <w:ind w:left="308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图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2-1 </w:t>
      </w:r>
      <w:r>
        <w:rPr>
          <w:rFonts w:ascii="宋体" w:hAnsi="宋体" w:eastAsia="宋体" w:cs="宋体"/>
          <w:spacing w:val="-4"/>
          <w:sz w:val="28"/>
          <w:szCs w:val="28"/>
        </w:rPr>
        <w:t>开化县规划范围</w:t>
      </w:r>
    </w:p>
    <w:p w14:paraId="2216BF51">
      <w:pPr>
        <w:spacing w:before="269" w:line="227" w:lineRule="auto"/>
        <w:ind w:left="648"/>
        <w:outlineLvl w:val="1"/>
        <w:rPr>
          <w:rFonts w:ascii="宋体" w:hAnsi="宋体" w:eastAsia="宋体" w:cs="宋体"/>
          <w:sz w:val="31"/>
          <w:szCs w:val="31"/>
        </w:rPr>
      </w:pPr>
      <w:bookmarkStart w:id="66" w:name="bookmark22"/>
      <w:bookmarkEnd w:id="66"/>
      <w:bookmarkStart w:id="67" w:name="bookmark21"/>
      <w:bookmarkEnd w:id="67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2.2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地理位置</w:t>
      </w:r>
    </w:p>
    <w:p w14:paraId="1F73E52F">
      <w:pPr>
        <w:spacing w:before="199" w:line="225" w:lineRule="auto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开化县位于浙江省西部，衢州市西北部，钱江源头，浙皖赣</w:t>
      </w:r>
    </w:p>
    <w:p w14:paraId="713310D6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14" w:type="default"/>
          <w:pgSz w:w="11906" w:h="16839"/>
          <w:pgMar w:top="1431" w:right="1473" w:bottom="1151" w:left="1586" w:header="0" w:footer="989" w:gutter="0"/>
          <w:cols w:space="720" w:num="1"/>
        </w:sectPr>
      </w:pPr>
    </w:p>
    <w:p w14:paraId="0F17876E">
      <w:pPr>
        <w:pStyle w:val="2"/>
        <w:spacing w:line="244" w:lineRule="auto"/>
      </w:pPr>
    </w:p>
    <w:p w14:paraId="6FB05142">
      <w:pPr>
        <w:pStyle w:val="2"/>
        <w:spacing w:line="245" w:lineRule="auto"/>
      </w:pPr>
    </w:p>
    <w:p w14:paraId="23A532DC">
      <w:pPr>
        <w:pStyle w:val="2"/>
        <w:spacing w:line="245" w:lineRule="auto"/>
      </w:pPr>
    </w:p>
    <w:p w14:paraId="546D03E6">
      <w:pPr>
        <w:spacing w:before="101" w:line="310" w:lineRule="auto"/>
        <w:ind w:left="8" w:hanging="7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三 省 交 界 处 ， 介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于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北 纬</w:t>
      </w:r>
      <w:r>
        <w:rPr>
          <w:rFonts w:ascii="宋体" w:hAnsi="宋体" w:eastAsia="宋体" w:cs="宋体"/>
          <w:spacing w:val="7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28°54′30″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~29°29′59″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-1"/>
          <w:sz w:val="31"/>
          <w:szCs w:val="31"/>
        </w:rPr>
        <w:t>，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东</w:t>
      </w:r>
      <w:r>
        <w:rPr>
          <w:rFonts w:ascii="宋体" w:hAnsi="宋体" w:eastAsia="宋体" w:cs="宋体"/>
          <w:spacing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118°01′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15″~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118°37′5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0″</w:t>
      </w:r>
      <w:r>
        <w:rPr>
          <w:rFonts w:ascii="宋体" w:hAnsi="宋体" w:eastAsia="宋体" w:cs="宋体"/>
          <w:spacing w:val="5"/>
          <w:sz w:val="31"/>
          <w:szCs w:val="31"/>
        </w:rPr>
        <w:t>之间。东和东北与杭州市的</w:t>
      </w:r>
      <w:r>
        <w:fldChar w:fldCharType="begin"/>
      </w:r>
      <w:r>
        <w:instrText xml:space="preserve"> HYPERLINK "https://baike.baidu.com/item/%E6%B7%B3%E5%AE%89%E5%8E%BF/10094095?fromModule=lemma_inlink"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淳安县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接壤，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东、南和本市的</w:t>
      </w:r>
      <w:r>
        <w:fldChar w:fldCharType="begin"/>
      </w:r>
      <w:r>
        <w:instrText xml:space="preserve"> HYPERLINK "https://baike.baidu.com/item/%E5%B8%B8%E5%B1%B1%E5%8E%BF/7368507?fromModule=lemma_inlink" </w:instrText>
      </w:r>
      <w:r>
        <w:fldChar w:fldCharType="separate"/>
      </w:r>
      <w:r>
        <w:rPr>
          <w:rFonts w:ascii="宋体" w:hAnsi="宋体" w:eastAsia="宋体" w:cs="宋体"/>
          <w:spacing w:val="-3"/>
          <w:sz w:val="31"/>
          <w:szCs w:val="31"/>
        </w:rPr>
        <w:t>常山县</w:t>
      </w:r>
      <w:r>
        <w:rPr>
          <w:rFonts w:ascii="宋体" w:hAnsi="宋体" w:eastAsia="宋体" w:cs="宋体"/>
          <w:spacing w:val="-3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-3"/>
          <w:sz w:val="31"/>
          <w:szCs w:val="31"/>
        </w:rPr>
        <w:t>相连，西南同江西省</w:t>
      </w:r>
      <w:r>
        <w:fldChar w:fldCharType="begin"/>
      </w:r>
      <w:r>
        <w:instrText xml:space="preserve"> HYPERLINK "https://baike.baidu.com/item/%E7%8E%89%E5%B1%B1%E5%8E%BF/71848?fromModule=lemma_inlink" </w:instrText>
      </w:r>
      <w:r>
        <w:fldChar w:fldCharType="separate"/>
      </w:r>
      <w:r>
        <w:rPr>
          <w:rFonts w:ascii="宋体" w:hAnsi="宋体" w:eastAsia="宋体" w:cs="宋体"/>
          <w:spacing w:val="-3"/>
          <w:sz w:val="31"/>
          <w:szCs w:val="31"/>
        </w:rPr>
        <w:t>玉山县</w:t>
      </w:r>
      <w:r>
        <w:rPr>
          <w:rFonts w:ascii="宋体" w:hAnsi="宋体" w:eastAsia="宋体" w:cs="宋体"/>
          <w:spacing w:val="-3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-3"/>
          <w:sz w:val="31"/>
          <w:szCs w:val="31"/>
        </w:rPr>
        <w:t>、</w:t>
      </w:r>
      <w:r>
        <w:fldChar w:fldCharType="begin"/>
      </w:r>
      <w:r>
        <w:instrText xml:space="preserve"> HYPERLINK "https://baike.baidu.com/item/%E5%BE%B7%E5%85%B4%E5%B8%82/1320412?fromModule=lemma_inlink" </w:instrText>
      </w:r>
      <w:r>
        <w:fldChar w:fldCharType="separate"/>
      </w:r>
      <w:r>
        <w:rPr>
          <w:rFonts w:ascii="宋体" w:hAnsi="宋体" w:eastAsia="宋体" w:cs="宋体"/>
          <w:spacing w:val="-3"/>
          <w:sz w:val="31"/>
          <w:szCs w:val="31"/>
        </w:rPr>
        <w:t>德兴市</w:t>
      </w:r>
      <w:r>
        <w:rPr>
          <w:rFonts w:ascii="宋体" w:hAnsi="宋体" w:eastAsia="宋体" w:cs="宋体"/>
          <w:spacing w:val="-3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-3"/>
          <w:sz w:val="31"/>
          <w:szCs w:val="31"/>
        </w:rPr>
        <w:t>毗邻，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西和西北与江西省的</w:t>
      </w:r>
      <w:r>
        <w:fldChar w:fldCharType="begin"/>
      </w:r>
      <w:r>
        <w:instrText xml:space="preserve"> HYPERLINK "https://baike.baidu.com/item/%E5%A9%BA%E6%BA%90%E5%8E%BF/10898125?fromModule=lemma_inlink" </w:instrText>
      </w:r>
      <w:r>
        <w:fldChar w:fldCharType="separate"/>
      </w:r>
      <w:r>
        <w:rPr>
          <w:rFonts w:ascii="宋体" w:hAnsi="宋体" w:eastAsia="宋体" w:cs="宋体"/>
          <w:spacing w:val="9"/>
          <w:sz w:val="31"/>
          <w:szCs w:val="31"/>
        </w:rPr>
        <w:t>婺源县</w:t>
      </w:r>
      <w:r>
        <w:rPr>
          <w:rFonts w:ascii="宋体" w:hAnsi="宋体" w:eastAsia="宋体" w:cs="宋体"/>
          <w:spacing w:val="9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9"/>
          <w:sz w:val="31"/>
          <w:szCs w:val="31"/>
        </w:rPr>
        <w:t>相交，北和安徽</w:t>
      </w:r>
      <w:r>
        <w:rPr>
          <w:rFonts w:ascii="宋体" w:hAnsi="宋体" w:eastAsia="宋体" w:cs="宋体"/>
          <w:spacing w:val="8"/>
          <w:sz w:val="31"/>
          <w:szCs w:val="31"/>
        </w:rPr>
        <w:t>省</w:t>
      </w:r>
      <w:r>
        <w:fldChar w:fldCharType="begin"/>
      </w:r>
      <w:r>
        <w:instrText xml:space="preserve"> HYPERLINK "https://baike.baidu.com/item/%E4%BC%91%E5%AE%81%E5%8E%BF/5020208?fromModule=lemma_inlink" </w:instrText>
      </w:r>
      <w:r>
        <w:fldChar w:fldCharType="separate"/>
      </w:r>
      <w:r>
        <w:rPr>
          <w:rFonts w:ascii="宋体" w:hAnsi="宋体" w:eastAsia="宋体" w:cs="宋体"/>
          <w:spacing w:val="8"/>
          <w:sz w:val="31"/>
          <w:szCs w:val="31"/>
        </w:rPr>
        <w:t>休宁县</w:t>
      </w:r>
      <w:r>
        <w:rPr>
          <w:rFonts w:ascii="宋体" w:hAnsi="宋体" w:eastAsia="宋体" w:cs="宋体"/>
          <w:spacing w:val="8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8"/>
          <w:sz w:val="31"/>
          <w:szCs w:val="31"/>
        </w:rPr>
        <w:t>相依。</w:t>
      </w:r>
    </w:p>
    <w:p w14:paraId="7A433BBF">
      <w:pPr>
        <w:spacing w:before="162" w:line="329" w:lineRule="auto"/>
        <w:ind w:right="87"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开化县地处浙江西部中山、低山丘陵区，金衢盆地外缘</w:t>
      </w:r>
      <w:r>
        <w:rPr>
          <w:rFonts w:ascii="宋体" w:hAnsi="宋体" w:eastAsia="宋体" w:cs="宋体"/>
          <w:spacing w:val="4"/>
          <w:sz w:val="31"/>
          <w:szCs w:val="31"/>
        </w:rPr>
        <w:t>，地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势西北高，东南低。地形分为中山区、低山、高丘、低丘、河谷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盆地</w:t>
      </w:r>
      <w:r>
        <w:rPr>
          <w:rFonts w:ascii="宋体" w:hAnsi="宋体" w:eastAsia="宋体" w:cs="宋体"/>
          <w:spacing w:val="-4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4"/>
          <w:sz w:val="31"/>
          <w:szCs w:val="31"/>
        </w:rPr>
        <w:t>种类型，西北部大部分为中山区，中部和东南部为中山向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低山、高丘、低丘、河谷盆地过渡地区。主要山脉有白际山、怀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玉山、千里岗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5"/>
          <w:sz w:val="31"/>
          <w:szCs w:val="31"/>
        </w:rPr>
        <w:t>条山脉，分别从北、西南、</w:t>
      </w:r>
      <w:r>
        <w:rPr>
          <w:rFonts w:ascii="宋体" w:hAnsi="宋体" w:eastAsia="宋体" w:cs="宋体"/>
          <w:spacing w:val="4"/>
          <w:sz w:val="31"/>
          <w:szCs w:val="31"/>
        </w:rPr>
        <w:t>东入境，呈环状构成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开化与邻县的边界线。境内最高峰白石尖位于林山、大溪边乡东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部边界，海拔，最低点位于华埠镇下界首村海拔。</w:t>
      </w:r>
    </w:p>
    <w:p w14:paraId="7A704861">
      <w:pPr>
        <w:spacing w:before="57" w:line="329" w:lineRule="auto"/>
        <w:ind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开化县属中亚热带（北缘）季风气候，气候温暖湿润，</w:t>
      </w:r>
      <w:r>
        <w:rPr>
          <w:rFonts w:ascii="宋体" w:hAnsi="宋体" w:eastAsia="宋体" w:cs="宋体"/>
          <w:spacing w:val="4"/>
          <w:sz w:val="31"/>
          <w:szCs w:val="31"/>
        </w:rPr>
        <w:t>雨量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丰沛，四季分明。多年平均气温</w:t>
      </w:r>
      <w:r>
        <w:rPr>
          <w:rFonts w:ascii="宋体" w:hAnsi="宋体" w:eastAsia="宋体" w:cs="宋体"/>
          <w:spacing w:val="-2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16.6</w:t>
      </w:r>
      <w:r>
        <w:rPr>
          <w:rFonts w:ascii="宋体" w:hAnsi="宋体" w:eastAsia="宋体" w:cs="宋体"/>
          <w:spacing w:val="-5"/>
          <w:sz w:val="31"/>
          <w:szCs w:val="31"/>
        </w:rPr>
        <w:t>℃</w:t>
      </w:r>
      <w:r>
        <w:rPr>
          <w:rFonts w:ascii="宋体" w:hAnsi="宋体" w:eastAsia="宋体" w:cs="宋体"/>
          <w:spacing w:val="-1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, 空间上大致为南高北低，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极端最高气温</w:t>
      </w:r>
      <w:r>
        <w:rPr>
          <w:rFonts w:ascii="宋体" w:hAnsi="宋体" w:eastAsia="宋体" w:cs="宋体"/>
          <w:spacing w:val="-4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41.3</w:t>
      </w:r>
      <w:r>
        <w:rPr>
          <w:rFonts w:ascii="宋体" w:hAnsi="宋体" w:eastAsia="宋体" w:cs="宋体"/>
          <w:spacing w:val="15"/>
          <w:sz w:val="31"/>
          <w:szCs w:val="31"/>
        </w:rPr>
        <w:t>℃</w:t>
      </w:r>
      <w:r>
        <w:rPr>
          <w:rFonts w:ascii="宋体" w:hAnsi="宋体" w:eastAsia="宋体" w:cs="宋体"/>
          <w:spacing w:val="-9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,</w:t>
      </w:r>
      <w:r>
        <w:rPr>
          <w:rFonts w:ascii="宋体" w:hAnsi="宋体" w:eastAsia="宋体" w:cs="宋体"/>
          <w:spacing w:val="1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极端最低气温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-11.2</w:t>
      </w:r>
      <w:r>
        <w:rPr>
          <w:rFonts w:ascii="宋体" w:hAnsi="宋体" w:eastAsia="宋体" w:cs="宋体"/>
          <w:spacing w:val="15"/>
          <w:sz w:val="31"/>
          <w:szCs w:val="31"/>
        </w:rPr>
        <w:t>℃</w:t>
      </w:r>
      <w:r>
        <w:rPr>
          <w:rFonts w:ascii="宋体" w:hAnsi="宋体" w:eastAsia="宋体" w:cs="宋体"/>
          <w:spacing w:val="-8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。年平均降水量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1830.8 </w:t>
      </w:r>
      <w:r>
        <w:rPr>
          <w:rFonts w:ascii="宋体" w:hAnsi="宋体" w:eastAsia="宋体" w:cs="宋体"/>
          <w:spacing w:val="8"/>
          <w:sz w:val="31"/>
          <w:szCs w:val="31"/>
        </w:rPr>
        <w:t>毫米，降水分布不均，西部多、东部少，其中汛期（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4~9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2"/>
          <w:sz w:val="31"/>
          <w:szCs w:val="31"/>
        </w:rPr>
        <w:t>月）降水量</w:t>
      </w:r>
      <w:r>
        <w:rPr>
          <w:rFonts w:ascii="宋体" w:hAnsi="宋体" w:eastAsia="宋体" w:cs="宋体"/>
          <w:spacing w:val="-2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1233.5 </w:t>
      </w:r>
      <w:r>
        <w:rPr>
          <w:rFonts w:ascii="宋体" w:hAnsi="宋体" w:eastAsia="宋体" w:cs="宋体"/>
          <w:spacing w:val="2"/>
          <w:sz w:val="31"/>
          <w:szCs w:val="31"/>
        </w:rPr>
        <w:t>毫米，梅汛期（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5~7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月上旬）降水集中，平均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降水量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744.9 </w:t>
      </w:r>
      <w:r>
        <w:rPr>
          <w:rFonts w:ascii="宋体" w:hAnsi="宋体" w:eastAsia="宋体" w:cs="宋体"/>
          <w:spacing w:val="6"/>
          <w:sz w:val="31"/>
          <w:szCs w:val="31"/>
        </w:rPr>
        <w:t>毫米，</w:t>
      </w:r>
      <w:r>
        <w:rPr>
          <w:rFonts w:ascii="宋体" w:hAnsi="宋体" w:eastAsia="宋体" w:cs="宋体"/>
          <w:spacing w:val="-8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占全年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46.7%</w:t>
      </w:r>
      <w:r>
        <w:rPr>
          <w:rFonts w:ascii="Times New Roman" w:hAnsi="Times New Roman" w:eastAsia="Times New Roman" w:cs="Times New Roman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~9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月受副热带高压影响，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天气炎热，午后常有强对流天气出现，但同时又容易出现高温干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旱。年平均蒸发量</w:t>
      </w:r>
      <w:r>
        <w:rPr>
          <w:rFonts w:ascii="宋体" w:hAnsi="宋体" w:eastAsia="宋体" w:cs="宋体"/>
          <w:spacing w:val="-2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1259.0 </w:t>
      </w:r>
      <w:r>
        <w:rPr>
          <w:rFonts w:ascii="宋体" w:hAnsi="宋体" w:eastAsia="宋体" w:cs="宋体"/>
          <w:spacing w:val="3"/>
          <w:sz w:val="31"/>
          <w:szCs w:val="31"/>
        </w:rPr>
        <w:t>毫米，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1~2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月、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12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月蒸发量最少，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7~8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2"/>
          <w:sz w:val="31"/>
          <w:szCs w:val="31"/>
        </w:rPr>
        <w:t>月蒸发量最大。年平均日照时数</w:t>
      </w:r>
      <w:r>
        <w:rPr>
          <w:rFonts w:ascii="宋体" w:hAnsi="宋体" w:eastAsia="宋体" w:cs="宋体"/>
          <w:spacing w:val="-3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1679.8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小时，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1~3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月</w:t>
      </w:r>
      <w:r>
        <w:rPr>
          <w:rFonts w:ascii="宋体" w:hAnsi="宋体" w:eastAsia="宋体" w:cs="宋体"/>
          <w:spacing w:val="-8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日照最少，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7~8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月</w:t>
      </w:r>
      <w:r>
        <w:rPr>
          <w:rFonts w:ascii="宋体" w:hAnsi="宋体" w:eastAsia="宋体" w:cs="宋体"/>
          <w:spacing w:val="-8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日照最多。年平均风速为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2"/>
          <w:sz w:val="31"/>
          <w:szCs w:val="31"/>
        </w:rPr>
        <w:t>米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/</w:t>
      </w:r>
      <w:r>
        <w:rPr>
          <w:rFonts w:ascii="宋体" w:hAnsi="宋体" w:eastAsia="宋体" w:cs="宋体"/>
          <w:spacing w:val="2"/>
          <w:sz w:val="31"/>
          <w:szCs w:val="31"/>
        </w:rPr>
        <w:t>秒，</w:t>
      </w:r>
      <w:r>
        <w:rPr>
          <w:rFonts w:ascii="宋体" w:hAnsi="宋体" w:eastAsia="宋体" w:cs="宋体"/>
          <w:spacing w:val="-8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日</w:t>
      </w:r>
      <w:r>
        <w:rPr>
          <w:rFonts w:ascii="宋体" w:hAnsi="宋体" w:eastAsia="宋体" w:cs="宋体"/>
          <w:spacing w:val="1"/>
          <w:sz w:val="31"/>
          <w:szCs w:val="31"/>
        </w:rPr>
        <w:t>极大风速为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31.8 </w:t>
      </w:r>
      <w:r>
        <w:rPr>
          <w:rFonts w:ascii="宋体" w:hAnsi="宋体" w:eastAsia="宋体" w:cs="宋体"/>
          <w:spacing w:val="1"/>
          <w:sz w:val="31"/>
          <w:szCs w:val="31"/>
        </w:rPr>
        <w:t>米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/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-13"/>
          <w:sz w:val="31"/>
          <w:szCs w:val="31"/>
        </w:rPr>
        <w:t>秒（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31"/>
          <w:szCs w:val="31"/>
        </w:rPr>
        <w:t>11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3"/>
          <w:sz w:val="31"/>
          <w:szCs w:val="31"/>
        </w:rPr>
        <w:t>级）。</w:t>
      </w:r>
    </w:p>
    <w:p w14:paraId="3C15A466">
      <w:pPr>
        <w:spacing w:line="329" w:lineRule="auto"/>
        <w:rPr>
          <w:rFonts w:ascii="宋体" w:hAnsi="宋体" w:eastAsia="宋体" w:cs="宋体"/>
          <w:sz w:val="31"/>
          <w:szCs w:val="31"/>
        </w:rPr>
        <w:sectPr>
          <w:footerReference r:id="rId15" w:type="default"/>
          <w:pgSz w:w="11906" w:h="16839"/>
          <w:pgMar w:top="1431" w:right="1388" w:bottom="1151" w:left="1597" w:header="0" w:footer="989" w:gutter="0"/>
          <w:cols w:space="720" w:num="1"/>
        </w:sectPr>
      </w:pPr>
    </w:p>
    <w:p w14:paraId="0971D161">
      <w:pPr>
        <w:pStyle w:val="2"/>
        <w:spacing w:line="246" w:lineRule="auto"/>
      </w:pPr>
    </w:p>
    <w:p w14:paraId="37AAD7D7">
      <w:pPr>
        <w:pStyle w:val="2"/>
        <w:spacing w:line="246" w:lineRule="auto"/>
      </w:pPr>
    </w:p>
    <w:p w14:paraId="35184FDF">
      <w:pPr>
        <w:pStyle w:val="2"/>
        <w:spacing w:line="247" w:lineRule="auto"/>
      </w:pPr>
    </w:p>
    <w:p w14:paraId="72E701DA">
      <w:pPr>
        <w:spacing w:before="101" w:line="325" w:lineRule="auto"/>
        <w:ind w:right="22" w:firstLine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4"/>
          <w:sz w:val="31"/>
          <w:szCs w:val="31"/>
        </w:rPr>
        <w:t>开化县境内河流主体属钱塘江水系，由马金溪、常山港组成，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流域面积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1967.6 </w:t>
      </w:r>
      <w:r>
        <w:rPr>
          <w:rFonts w:ascii="宋体" w:hAnsi="宋体" w:eastAsia="宋体" w:cs="宋体"/>
          <w:spacing w:val="11"/>
          <w:sz w:val="31"/>
          <w:szCs w:val="31"/>
        </w:rPr>
        <w:t>平方千米；鄱阳湖水系有苏庄溪、下庄溪，流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域面积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263.2 </w:t>
      </w:r>
      <w:r>
        <w:rPr>
          <w:rFonts w:ascii="宋体" w:hAnsi="宋体" w:eastAsia="宋体" w:cs="宋体"/>
          <w:spacing w:val="7"/>
          <w:sz w:val="31"/>
          <w:szCs w:val="31"/>
        </w:rPr>
        <w:t>平方千米。境内河道分属钱塘江、长江鄱阳湖两个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流域。河流总长度，河网密度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/</w:t>
      </w:r>
      <w:r>
        <w:rPr>
          <w:rFonts w:ascii="宋体" w:hAnsi="宋体" w:eastAsia="宋体" w:cs="宋体"/>
          <w:spacing w:val="8"/>
          <w:sz w:val="31"/>
          <w:szCs w:val="31"/>
        </w:rPr>
        <w:t>平方千米，径流总量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27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。境内最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大的河流为马金溪，为常山港干流，流域面积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67.5 </w:t>
      </w:r>
      <w:r>
        <w:rPr>
          <w:rFonts w:ascii="宋体" w:hAnsi="宋体" w:eastAsia="宋体" w:cs="宋体"/>
          <w:spacing w:val="3"/>
          <w:sz w:val="31"/>
          <w:szCs w:val="31"/>
        </w:rPr>
        <w:t>平方千米，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年均流量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/</w:t>
      </w:r>
      <w:r>
        <w:rPr>
          <w:rFonts w:ascii="宋体" w:hAnsi="宋体" w:eastAsia="宋体" w:cs="宋体"/>
          <w:spacing w:val="14"/>
          <w:sz w:val="31"/>
          <w:szCs w:val="31"/>
        </w:rPr>
        <w:t>秒，主要支流有何田溪、村头溪、中村溪、金村溪、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池淮溪、龙山溪、马尪溪等。</w:t>
      </w:r>
    </w:p>
    <w:p w14:paraId="42D0B2F6">
      <w:pPr>
        <w:spacing w:before="176" w:line="225" w:lineRule="auto"/>
        <w:ind w:left="635"/>
        <w:outlineLvl w:val="1"/>
        <w:rPr>
          <w:rFonts w:ascii="宋体" w:hAnsi="宋体" w:eastAsia="宋体" w:cs="宋体"/>
          <w:sz w:val="31"/>
          <w:szCs w:val="31"/>
        </w:rPr>
      </w:pPr>
      <w:bookmarkStart w:id="68" w:name="bookmark23"/>
      <w:bookmarkEnd w:id="68"/>
      <w:bookmarkStart w:id="69" w:name="bookmark24"/>
      <w:bookmarkEnd w:id="69"/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2.3</w:t>
      </w:r>
      <w:r>
        <w:rPr>
          <w:rFonts w:ascii="Times New Roman" w:hAnsi="Times New Roman" w:eastAsia="Times New Roman" w:cs="Times New Roman"/>
          <w:b/>
          <w:bCs/>
          <w:spacing w:val="35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2"/>
          <w:sz w:val="31"/>
          <w:szCs w:val="31"/>
        </w:rPr>
        <w:t>自然资源条件</w:t>
      </w:r>
    </w:p>
    <w:p w14:paraId="7AC3A66C">
      <w:pPr>
        <w:spacing w:before="204" w:line="326" w:lineRule="auto"/>
        <w:ind w:left="3" w:right="22" w:firstLine="6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5"/>
          <w:sz w:val="31"/>
          <w:szCs w:val="31"/>
        </w:rPr>
        <w:t>截至</w:t>
      </w:r>
      <w:r>
        <w:rPr>
          <w:rFonts w:ascii="宋体" w:hAnsi="宋体" w:eastAsia="宋体" w:cs="宋体"/>
          <w:spacing w:val="-7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2019 </w:t>
      </w:r>
      <w:r>
        <w:rPr>
          <w:rFonts w:ascii="宋体" w:hAnsi="宋体" w:eastAsia="宋体" w:cs="宋体"/>
          <w:spacing w:val="-5"/>
          <w:sz w:val="31"/>
          <w:szCs w:val="31"/>
        </w:rPr>
        <w:t>年末，开化县有耕地</w:t>
      </w:r>
      <w:r>
        <w:rPr>
          <w:rFonts w:ascii="宋体" w:hAnsi="宋体" w:eastAsia="宋体" w:cs="宋体"/>
          <w:spacing w:val="-4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16216.81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公顷，园地</w:t>
      </w:r>
      <w:r>
        <w:rPr>
          <w:rFonts w:ascii="宋体" w:hAnsi="宋体" w:eastAsia="宋体" w:cs="宋体"/>
          <w:spacing w:val="-4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0928.48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4"/>
          <w:sz w:val="31"/>
          <w:szCs w:val="31"/>
        </w:rPr>
        <w:t>公顷，林地</w:t>
      </w:r>
      <w:r>
        <w:rPr>
          <w:rFonts w:ascii="宋体" w:hAnsi="宋体" w:eastAsia="宋体" w:cs="宋体"/>
          <w:spacing w:val="-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182757.95</w:t>
      </w:r>
      <w:r>
        <w:rPr>
          <w:rFonts w:ascii="Times New Roman" w:hAnsi="Times New Roman" w:eastAsia="Times New Roman" w:cs="Times New Roman"/>
          <w:spacing w:val="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公顷，草地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527.76</w:t>
      </w:r>
      <w:r>
        <w:rPr>
          <w:rFonts w:ascii="Times New Roman" w:hAnsi="Times New Roman" w:eastAsia="Times New Roman" w:cs="Times New Roman"/>
          <w:spacing w:val="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公顷，湿地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110.06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公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顷，城镇村及工矿用地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5885.4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公顷，交通运输用</w:t>
      </w:r>
      <w:r>
        <w:rPr>
          <w:rFonts w:ascii="宋体" w:hAnsi="宋体" w:eastAsia="宋体" w:cs="宋体"/>
          <w:spacing w:val="-6"/>
          <w:sz w:val="31"/>
          <w:szCs w:val="31"/>
        </w:rPr>
        <w:t>地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1871.26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6"/>
          <w:sz w:val="31"/>
          <w:szCs w:val="31"/>
        </w:rPr>
        <w:t>公顷，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水域及水利设施用地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3432.49</w:t>
      </w:r>
      <w:r>
        <w:rPr>
          <w:rFonts w:ascii="Times New Roman" w:hAnsi="Times New Roman" w:eastAsia="Times New Roman" w:cs="Times New Roman"/>
          <w:spacing w:val="2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公顷。</w:t>
      </w:r>
    </w:p>
    <w:p w14:paraId="35199B46">
      <w:pPr>
        <w:spacing w:before="47" w:line="320" w:lineRule="auto"/>
        <w:ind w:right="110" w:firstLine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开化县平均水资源量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27.2 </w:t>
      </w:r>
      <w:r>
        <w:rPr>
          <w:rFonts w:ascii="宋体" w:hAnsi="宋体" w:eastAsia="宋体" w:cs="宋体"/>
          <w:spacing w:val="12"/>
          <w:sz w:val="31"/>
          <w:szCs w:val="31"/>
        </w:rPr>
        <w:t>亿立方米，人均水资源占有量为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全国的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4.38 </w:t>
      </w:r>
      <w:r>
        <w:rPr>
          <w:rFonts w:ascii="宋体" w:hAnsi="宋体" w:eastAsia="宋体" w:cs="宋体"/>
          <w:spacing w:val="4"/>
          <w:sz w:val="31"/>
          <w:szCs w:val="31"/>
        </w:rPr>
        <w:t>倍、浙江省的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5.03 </w:t>
      </w:r>
      <w:r>
        <w:rPr>
          <w:rFonts w:ascii="宋体" w:hAnsi="宋体" w:eastAsia="宋体" w:cs="宋体"/>
          <w:spacing w:val="4"/>
          <w:sz w:val="31"/>
          <w:szCs w:val="31"/>
        </w:rPr>
        <w:t>倍。</w:t>
      </w:r>
    </w:p>
    <w:p w14:paraId="03C34263">
      <w:pPr>
        <w:spacing w:before="48" w:line="326" w:lineRule="auto"/>
        <w:ind w:firstLine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开化县植物种类很多，有维管束植物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244 </w:t>
      </w:r>
      <w:r>
        <w:rPr>
          <w:rFonts w:ascii="宋体" w:hAnsi="宋体" w:eastAsia="宋体" w:cs="宋体"/>
          <w:spacing w:val="6"/>
          <w:sz w:val="31"/>
          <w:szCs w:val="31"/>
        </w:rPr>
        <w:t>科，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897 </w:t>
      </w:r>
      <w:r>
        <w:rPr>
          <w:rFonts w:ascii="宋体" w:hAnsi="宋体" w:eastAsia="宋体" w:cs="宋体"/>
          <w:spacing w:val="6"/>
          <w:sz w:val="31"/>
          <w:szCs w:val="31"/>
        </w:rPr>
        <w:t>属，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1991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3"/>
          <w:sz w:val="31"/>
          <w:szCs w:val="31"/>
        </w:rPr>
        <w:t>种，其中珍稀濒危国家保护植物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26 </w:t>
      </w:r>
      <w:r>
        <w:rPr>
          <w:rFonts w:ascii="宋体" w:hAnsi="宋体" w:eastAsia="宋体" w:cs="宋体"/>
          <w:spacing w:val="3"/>
          <w:sz w:val="31"/>
          <w:szCs w:val="31"/>
        </w:rPr>
        <w:t>种。有国家级保护植物三级：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国家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I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级有南方红豆杉，国家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II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级有榧树、榉树、长序榆、连香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树、厚朴、凹叶厚朴、长柄双花木、樟树、闽楠、毛红椿野菱、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花榈木、胡豆莲、野大豆、香果树、金钱松、鹅掌楸、连香树、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杜仲、香果树，国家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III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级有长序榆、</w:t>
      </w:r>
      <w:r>
        <w:fldChar w:fldCharType="begin"/>
      </w:r>
      <w:r>
        <w:instrText xml:space="preserve"> HYPERLINK "https://baike.baidu.com/item/%E7%9F%AD%E8%90%BC%E9%BB%84%E8%BF%9E/2372896?fromModule=lemma_inlink" </w:instrText>
      </w:r>
      <w:r>
        <w:fldChar w:fldCharType="separate"/>
      </w:r>
      <w:r>
        <w:rPr>
          <w:rFonts w:ascii="宋体" w:hAnsi="宋体" w:eastAsia="宋体" w:cs="宋体"/>
          <w:spacing w:val="10"/>
          <w:sz w:val="31"/>
          <w:szCs w:val="31"/>
        </w:rPr>
        <w:t>短萼黄连</w:t>
      </w:r>
      <w:r>
        <w:rPr>
          <w:rFonts w:ascii="宋体" w:hAnsi="宋体" w:eastAsia="宋体" w:cs="宋体"/>
          <w:spacing w:val="10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10"/>
          <w:sz w:val="31"/>
          <w:szCs w:val="31"/>
        </w:rPr>
        <w:t>、八角莲、黄山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木兰、凹叶厚朴、闽楠、胡豆莲、野大豆、紫茎、金刚大、延龄、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短穗竹。浙江省珍稀濒危植物竹柏、青钱柳、光叶榉、乳源木莲、</w:t>
      </w:r>
    </w:p>
    <w:p w14:paraId="4E2BCF61">
      <w:pPr>
        <w:spacing w:line="326" w:lineRule="auto"/>
        <w:rPr>
          <w:rFonts w:ascii="宋体" w:hAnsi="宋体" w:eastAsia="宋体" w:cs="宋体"/>
          <w:sz w:val="31"/>
          <w:szCs w:val="31"/>
        </w:rPr>
        <w:sectPr>
          <w:footerReference r:id="rId16" w:type="default"/>
          <w:pgSz w:w="11906" w:h="16839"/>
          <w:pgMar w:top="1431" w:right="1365" w:bottom="1151" w:left="1598" w:header="0" w:footer="989" w:gutter="0"/>
          <w:cols w:space="720" w:num="1"/>
        </w:sectPr>
      </w:pPr>
    </w:p>
    <w:p w14:paraId="2B42F30C">
      <w:pPr>
        <w:pStyle w:val="2"/>
        <w:spacing w:line="246" w:lineRule="auto"/>
      </w:pPr>
    </w:p>
    <w:p w14:paraId="76DC7D54">
      <w:pPr>
        <w:pStyle w:val="2"/>
        <w:spacing w:line="246" w:lineRule="auto"/>
      </w:pPr>
    </w:p>
    <w:p w14:paraId="4601CAE8">
      <w:pPr>
        <w:pStyle w:val="2"/>
        <w:spacing w:line="246" w:lineRule="auto"/>
      </w:pPr>
    </w:p>
    <w:p w14:paraId="726E9844">
      <w:pPr>
        <w:spacing w:before="100" w:line="318" w:lineRule="auto"/>
        <w:ind w:left="21" w:right="87" w:hanging="2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3"/>
          <w:sz w:val="31"/>
          <w:szCs w:val="31"/>
        </w:rPr>
        <w:t>野含笑、深山含笑、浙江红山茶、婺源安息香、</w:t>
      </w:r>
      <w:r>
        <w:rPr>
          <w:rFonts w:ascii="宋体" w:hAnsi="宋体" w:eastAsia="宋体" w:cs="宋体"/>
          <w:spacing w:val="12"/>
          <w:sz w:val="31"/>
          <w:szCs w:val="31"/>
        </w:rPr>
        <w:t>七叶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-</w:t>
      </w:r>
      <w:r>
        <w:rPr>
          <w:rFonts w:ascii="宋体" w:hAnsi="宋体" w:eastAsia="宋体" w:cs="宋体"/>
          <w:spacing w:val="12"/>
          <w:sz w:val="31"/>
          <w:szCs w:val="31"/>
        </w:rPr>
        <w:t>枝花、狭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叶重楼、曲轴黑三棱、华南舌蕨等。</w:t>
      </w:r>
    </w:p>
    <w:p w14:paraId="6F441A47">
      <w:pPr>
        <w:spacing w:before="46" w:line="308" w:lineRule="auto"/>
        <w:ind w:left="1" w:right="86" w:firstLine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"/>
          <w:sz w:val="31"/>
          <w:szCs w:val="31"/>
        </w:rPr>
        <w:t>开化县有两栖类</w:t>
      </w:r>
      <w:r>
        <w:rPr>
          <w:rFonts w:ascii="宋体" w:hAnsi="宋体" w:eastAsia="宋体" w:cs="宋体"/>
          <w:spacing w:val="-4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7 </w:t>
      </w:r>
      <w:r>
        <w:rPr>
          <w:rFonts w:ascii="宋体" w:hAnsi="宋体" w:eastAsia="宋体" w:cs="宋体"/>
          <w:spacing w:val="-3"/>
          <w:sz w:val="31"/>
          <w:szCs w:val="31"/>
        </w:rPr>
        <w:t>科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26 </w:t>
      </w:r>
      <w:r>
        <w:rPr>
          <w:rFonts w:ascii="宋体" w:hAnsi="宋体" w:eastAsia="宋体" w:cs="宋体"/>
          <w:spacing w:val="-3"/>
          <w:sz w:val="31"/>
          <w:szCs w:val="31"/>
        </w:rPr>
        <w:t>种，爬行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-3"/>
          <w:sz w:val="31"/>
          <w:szCs w:val="31"/>
        </w:rPr>
        <w:t>科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51 </w:t>
      </w:r>
      <w:r>
        <w:rPr>
          <w:rFonts w:ascii="宋体" w:hAnsi="宋体" w:eastAsia="宋体" w:cs="宋体"/>
          <w:spacing w:val="-3"/>
          <w:sz w:val="31"/>
          <w:szCs w:val="31"/>
        </w:rPr>
        <w:t>种，鸟类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30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科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104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种，兽类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21 </w:t>
      </w:r>
      <w:r>
        <w:rPr>
          <w:rFonts w:ascii="宋体" w:hAnsi="宋体" w:eastAsia="宋体" w:cs="宋体"/>
          <w:spacing w:val="5"/>
          <w:sz w:val="31"/>
          <w:szCs w:val="31"/>
        </w:rPr>
        <w:t>科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58 </w:t>
      </w:r>
      <w:r>
        <w:rPr>
          <w:rFonts w:ascii="宋体" w:hAnsi="宋体" w:eastAsia="宋体" w:cs="宋体"/>
          <w:spacing w:val="5"/>
          <w:sz w:val="31"/>
          <w:szCs w:val="31"/>
        </w:rPr>
        <w:t>种。国家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I </w:t>
      </w:r>
      <w:r>
        <w:rPr>
          <w:rFonts w:ascii="宋体" w:hAnsi="宋体" w:eastAsia="宋体" w:cs="宋体"/>
          <w:spacing w:val="5"/>
          <w:sz w:val="31"/>
          <w:szCs w:val="31"/>
        </w:rPr>
        <w:t>级保护动物名录：白颈长尾雉、黑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麂、云豹、豹，国家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II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级保护动物名录：虎纹蛙、鸳鸯、鸢、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赤腹鹰、雀鹰、松雀鹰、普通鵟、毛脚鵟、灰胸竹鸡、红隼、</w:t>
      </w:r>
      <w:r>
        <w:fldChar w:fldCharType="begin"/>
      </w:r>
      <w:r>
        <w:instrText xml:space="preserve"> HYPERLINK "https://baike.baidu.com/item/%E7%99%BD%E9%B9%87/297149?fromModule=lemma_inlink"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白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</w:p>
    <w:p w14:paraId="602C7C3B">
      <w:pPr>
        <w:spacing w:before="4" w:line="344" w:lineRule="auto"/>
        <w:ind w:right="87" w:firstLine="14"/>
        <w:jc w:val="both"/>
        <w:rPr>
          <w:rFonts w:ascii="宋体" w:hAnsi="宋体" w:eastAsia="宋体" w:cs="宋体"/>
          <w:sz w:val="31"/>
          <w:szCs w:val="31"/>
        </w:rPr>
      </w:pPr>
      <w:r>
        <w:fldChar w:fldCharType="begin"/>
      </w:r>
      <w:r>
        <w:instrText xml:space="preserve"> HYPERLINK "https://baike.baidu.com/item/%E7%99%BD%E9%B9%87/297149?fromModule=lemma_inlink"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鹇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、勺鸡、草鸮、</w:t>
      </w:r>
      <w:r>
        <w:fldChar w:fldCharType="begin"/>
      </w:r>
      <w:r>
        <w:instrText xml:space="preserve"> HYPERLINK "https://baike.baidu.com/item/%E7%BA%A2%E8%A7%92%E9%B8%AE/353549?fromModule=lemma_inlink"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红角鸮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fldChar w:fldCharType="begin"/>
      </w:r>
      <w:r>
        <w:instrText xml:space="preserve"> HYPERLINK "https://baike.baidu.com/item/%E9%A2%86%E8%A7%92%E9%B8%AE/353606?fromModule=lemma_inlink"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领角鸮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、雕鸮、</w:t>
      </w:r>
      <w:r>
        <w:fldChar w:fldCharType="begin"/>
      </w:r>
      <w:r>
        <w:instrText xml:space="preserve"> HYPERLINK "https://baike.baidu.com/item/%E7%9F%AD%E8%80%B3%E9%B8%AE/2183627?fromModule=lemma_inlink"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短耳鸮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fldChar w:fldCharType="begin"/>
      </w:r>
      <w:r>
        <w:instrText xml:space="preserve"> HYPERLINK "https://baike.baidu.com/item/%E9%A2%86%E9%B8%BA%E9%B9%A0/5000346?fromModule=lemma_inlink"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领</w:t>
      </w:r>
      <w:r>
        <w:rPr>
          <w:rFonts w:ascii="宋体" w:hAnsi="宋体" w:eastAsia="宋体" w:cs="宋体"/>
          <w:spacing w:val="4"/>
          <w:sz w:val="31"/>
          <w:szCs w:val="31"/>
        </w:rPr>
        <w:t>鸺鹠</w:t>
      </w:r>
      <w:r>
        <w:rPr>
          <w:rFonts w:ascii="宋体" w:hAnsi="宋体" w:eastAsia="宋体" w:cs="宋体"/>
          <w:spacing w:val="4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4"/>
          <w:sz w:val="31"/>
          <w:szCs w:val="31"/>
        </w:rPr>
        <w:t>、</w:t>
      </w:r>
      <w:r>
        <w:fldChar w:fldCharType="begin"/>
      </w:r>
      <w:r>
        <w:instrText xml:space="preserve"> HYPERLINK "https://baike.baidu.com/item/%E6%96%91%E5%A4%B4%E9%B8%BA%E9%B9%A0/8136836?fromModule=lemma_inlink" </w:instrText>
      </w:r>
      <w:r>
        <w:fldChar w:fldCharType="separate"/>
      </w:r>
      <w:r>
        <w:rPr>
          <w:rFonts w:ascii="宋体" w:hAnsi="宋体" w:eastAsia="宋体" w:cs="宋体"/>
          <w:spacing w:val="4"/>
          <w:sz w:val="31"/>
          <w:szCs w:val="31"/>
        </w:rPr>
        <w:t>斑</w:t>
      </w:r>
      <w:r>
        <w:rPr>
          <w:rFonts w:ascii="宋体" w:hAnsi="宋体" w:eastAsia="宋体" w:cs="宋体"/>
          <w:spacing w:val="4"/>
          <w:sz w:val="31"/>
          <w:szCs w:val="31"/>
        </w:rPr>
        <w:fldChar w:fldCharType="end"/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fldChar w:fldCharType="begin"/>
      </w:r>
      <w:r>
        <w:instrText xml:space="preserve"> HYPERLINK "https://baike.baidu.com/item/%E6%96%91%E5%A4%B4%E9%B8%BA%E9%B9%A0/8136836?fromModule=lemma_inlink" </w:instrText>
      </w:r>
      <w:r>
        <w:fldChar w:fldCharType="separate"/>
      </w:r>
      <w:r>
        <w:rPr>
          <w:rFonts w:ascii="宋体" w:hAnsi="宋体" w:eastAsia="宋体" w:cs="宋体"/>
          <w:spacing w:val="5"/>
          <w:sz w:val="31"/>
          <w:szCs w:val="31"/>
        </w:rPr>
        <w:t>头鸺鹠</w:t>
      </w:r>
      <w:r>
        <w:rPr>
          <w:rFonts w:ascii="宋体" w:hAnsi="宋体" w:eastAsia="宋体" w:cs="宋体"/>
          <w:spacing w:val="5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5"/>
          <w:sz w:val="31"/>
          <w:szCs w:val="31"/>
        </w:rPr>
        <w:t>、猕猴、穿山甲、豺、黑熊、青鼬、水獭、大灵猫、小灵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猫、原猫、</w:t>
      </w:r>
      <w:r>
        <w:fldChar w:fldCharType="begin"/>
      </w:r>
      <w:r>
        <w:instrText xml:space="preserve"> HYPERLINK "https://baike.baidu.com/item/%E9%AC%A3%E7%BE%9A/1663968?fromModule=lemma_inlink" </w:instrText>
      </w:r>
      <w:r>
        <w:fldChar w:fldCharType="separate"/>
      </w:r>
      <w:r>
        <w:rPr>
          <w:rFonts w:ascii="宋体" w:hAnsi="宋体" w:eastAsia="宋体" w:cs="宋体"/>
          <w:spacing w:val="8"/>
          <w:sz w:val="31"/>
          <w:szCs w:val="31"/>
        </w:rPr>
        <w:t>鬣羚</w:t>
      </w:r>
      <w:r>
        <w:rPr>
          <w:rFonts w:ascii="宋体" w:hAnsi="宋体" w:eastAsia="宋体" w:cs="宋体"/>
          <w:spacing w:val="8"/>
          <w:sz w:val="31"/>
          <w:szCs w:val="31"/>
        </w:rPr>
        <w:fldChar w:fldCharType="end"/>
      </w:r>
      <w:r>
        <w:rPr>
          <w:rFonts w:ascii="宋体" w:hAnsi="宋体" w:eastAsia="宋体" w:cs="宋体"/>
          <w:spacing w:val="8"/>
          <w:sz w:val="31"/>
          <w:szCs w:val="31"/>
        </w:rPr>
        <w:t>、阳彩臂金龟。</w:t>
      </w:r>
    </w:p>
    <w:p w14:paraId="3317120F">
      <w:pPr>
        <w:spacing w:before="116" w:line="331" w:lineRule="auto"/>
        <w:ind w:firstLine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截至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2020 </w:t>
      </w:r>
      <w:r>
        <w:rPr>
          <w:rFonts w:ascii="宋体" w:hAnsi="宋体" w:eastAsia="宋体" w:cs="宋体"/>
          <w:spacing w:val="8"/>
          <w:sz w:val="31"/>
          <w:szCs w:val="31"/>
        </w:rPr>
        <w:t>年底，开化县已发现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28 </w:t>
      </w:r>
      <w:r>
        <w:rPr>
          <w:rFonts w:ascii="宋体" w:hAnsi="宋体" w:eastAsia="宋体" w:cs="宋体"/>
          <w:spacing w:val="8"/>
          <w:sz w:val="31"/>
          <w:szCs w:val="31"/>
        </w:rPr>
        <w:t>种矿产，矿产地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80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处，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其中能源类矿产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3"/>
          <w:sz w:val="31"/>
          <w:szCs w:val="31"/>
        </w:rPr>
        <w:t>种，矿产地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处；黑色金属、有色金属、贵金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属矿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1"/>
          <w:sz w:val="31"/>
          <w:szCs w:val="31"/>
        </w:rPr>
        <w:t>种，矿产地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31 </w:t>
      </w:r>
      <w:r>
        <w:rPr>
          <w:rFonts w:ascii="宋体" w:hAnsi="宋体" w:eastAsia="宋体" w:cs="宋体"/>
          <w:spacing w:val="1"/>
          <w:sz w:val="31"/>
          <w:szCs w:val="31"/>
        </w:rPr>
        <w:t>处；非金属矿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15 </w:t>
      </w:r>
      <w:r>
        <w:rPr>
          <w:rFonts w:ascii="宋体" w:hAnsi="宋体" w:eastAsia="宋体" w:cs="宋体"/>
          <w:sz w:val="31"/>
          <w:szCs w:val="31"/>
        </w:rPr>
        <w:t>种，矿产地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42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 xml:space="preserve">处；液体 </w:t>
      </w:r>
      <w:r>
        <w:rPr>
          <w:rFonts w:ascii="宋体" w:hAnsi="宋体" w:eastAsia="宋体" w:cs="宋体"/>
          <w:spacing w:val="8"/>
          <w:sz w:val="31"/>
          <w:szCs w:val="31"/>
        </w:rPr>
        <w:t>矿产矿泉水</w:t>
      </w:r>
      <w:r>
        <w:rPr>
          <w:rFonts w:ascii="宋体" w:hAnsi="宋体" w:eastAsia="宋体" w:cs="宋体"/>
          <w:spacing w:val="-2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处；有查明资源量的主要矿种有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16 </w:t>
      </w:r>
      <w:r>
        <w:rPr>
          <w:rFonts w:ascii="宋体" w:hAnsi="宋体" w:eastAsia="宋体" w:cs="宋体"/>
          <w:spacing w:val="8"/>
          <w:sz w:val="31"/>
          <w:szCs w:val="31"/>
        </w:rPr>
        <w:t>种，主要矿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9"/>
          <w:sz w:val="31"/>
          <w:szCs w:val="31"/>
        </w:rPr>
        <w:t>区</w:t>
      </w:r>
      <w:r>
        <w:rPr>
          <w:rFonts w:ascii="宋体" w:hAnsi="宋体" w:eastAsia="宋体" w:cs="宋体"/>
          <w:spacing w:val="-4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30</w:t>
      </w:r>
      <w:r>
        <w:rPr>
          <w:rFonts w:ascii="Times New Roman" w:hAnsi="Times New Roman" w:eastAsia="Times New Roman" w:cs="Times New Roman"/>
          <w:spacing w:val="24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处。能源类矿产：主要为煤和石煤，煤资源已枯竭，石煤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资源丰富，潜在资源量位居全省首位。非金属矿产：相对较丰富，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主要有石灰岩、砖瓦用页岩、萤石（普通）、白云岩、饰面用板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岩等。金属矿产：县域内已基本查明资源储量的金属矿产地五处：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大横山铅锌矿、小尖坞铅锌矿、大山头铅锌矿；大坝底金矿、石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龙头金矿，现仅大横山铅锌矿为持证矿山，其他四个矿产地尚未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开发利用。</w:t>
      </w:r>
    </w:p>
    <w:p w14:paraId="16864A25">
      <w:pPr>
        <w:spacing w:before="128" w:line="225" w:lineRule="auto"/>
        <w:ind w:left="637"/>
        <w:outlineLvl w:val="1"/>
        <w:rPr>
          <w:rFonts w:ascii="宋体" w:hAnsi="宋体" w:eastAsia="宋体" w:cs="宋体"/>
          <w:sz w:val="31"/>
          <w:szCs w:val="31"/>
        </w:rPr>
      </w:pPr>
      <w:bookmarkStart w:id="70" w:name="bookmark26"/>
      <w:bookmarkEnd w:id="70"/>
      <w:bookmarkStart w:id="71" w:name="bookmark25"/>
      <w:bookmarkEnd w:id="71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2.4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人口与城镇化</w:t>
      </w:r>
    </w:p>
    <w:p w14:paraId="170C8E9E">
      <w:pPr>
        <w:spacing w:before="200" w:line="225" w:lineRule="auto"/>
        <w:ind w:left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截至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年末，开化县户籍总户数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12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.28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万户，户籍总人</w:t>
      </w:r>
    </w:p>
    <w:p w14:paraId="449F5E47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17" w:type="default"/>
          <w:pgSz w:w="11906" w:h="16839"/>
          <w:pgMar w:top="1431" w:right="1388" w:bottom="1151" w:left="1597" w:header="0" w:footer="989" w:gutter="0"/>
          <w:cols w:space="720" w:num="1"/>
        </w:sectPr>
      </w:pPr>
    </w:p>
    <w:p w14:paraId="3458FB8C">
      <w:pPr>
        <w:pStyle w:val="2"/>
        <w:spacing w:line="244" w:lineRule="auto"/>
      </w:pPr>
    </w:p>
    <w:p w14:paraId="13493683">
      <w:pPr>
        <w:pStyle w:val="2"/>
        <w:spacing w:line="245" w:lineRule="auto"/>
      </w:pPr>
    </w:p>
    <w:p w14:paraId="7F18C0D7">
      <w:pPr>
        <w:pStyle w:val="2"/>
        <w:spacing w:line="245" w:lineRule="auto"/>
      </w:pPr>
    </w:p>
    <w:p w14:paraId="3CCABE2C">
      <w:pPr>
        <w:spacing w:before="101" w:line="317" w:lineRule="auto"/>
        <w:ind w:left="3" w:right="110" w:firstLine="4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口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35.70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万人，其中，男性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18.40</w:t>
      </w:r>
      <w:r>
        <w:rPr>
          <w:rFonts w:ascii="Times New Roman" w:hAnsi="Times New Roman" w:eastAsia="Times New Roman" w:cs="Times New Roman"/>
          <w:spacing w:val="27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万人、女性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17.30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万人。按公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安口径，全年出生人口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1893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人，出生率为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5.29‰</w:t>
      </w:r>
      <w:r>
        <w:rPr>
          <w:rFonts w:ascii="宋体" w:hAnsi="宋体" w:eastAsia="宋体" w:cs="宋体"/>
          <w:spacing w:val="-5"/>
          <w:sz w:val="31"/>
          <w:szCs w:val="31"/>
        </w:rPr>
        <w:t>；死亡人口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2419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人，死亡率为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6.76‰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7971871D">
      <w:pPr>
        <w:spacing w:before="36" w:line="338" w:lineRule="auto"/>
        <w:ind w:left="2" w:firstLine="6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2"/>
          <w:sz w:val="31"/>
          <w:szCs w:val="31"/>
        </w:rPr>
        <w:t>截至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-2"/>
          <w:sz w:val="31"/>
          <w:szCs w:val="31"/>
        </w:rPr>
        <w:t>年末，开化县常住人口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24.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-3"/>
          <w:sz w:val="31"/>
          <w:szCs w:val="31"/>
        </w:rPr>
        <w:t>万人，城镇化率</w:t>
      </w:r>
      <w:r>
        <w:rPr>
          <w:rFonts w:ascii="宋体" w:hAnsi="宋体" w:eastAsia="宋体" w:cs="宋体"/>
          <w:spacing w:val="-8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53.8%</w:t>
      </w:r>
      <w:r>
        <w:rPr>
          <w:rFonts w:ascii="宋体" w:hAnsi="宋体" w:eastAsia="宋体" w:cs="宋体"/>
          <w:spacing w:val="-3"/>
          <w:sz w:val="31"/>
          <w:szCs w:val="31"/>
        </w:rPr>
        <w:t>。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8"/>
          <w:sz w:val="31"/>
          <w:szCs w:val="31"/>
        </w:rPr>
        <w:t>户籍总户数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12.26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8"/>
          <w:sz w:val="31"/>
          <w:szCs w:val="31"/>
        </w:rPr>
        <w:t>万户，户籍总人口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5.49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万人，其中，男性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18.29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4"/>
          <w:sz w:val="31"/>
          <w:szCs w:val="31"/>
        </w:rPr>
        <w:t>万人、女性</w:t>
      </w:r>
      <w:r>
        <w:rPr>
          <w:rFonts w:ascii="宋体" w:hAnsi="宋体" w:eastAsia="宋体" w:cs="宋体"/>
          <w:spacing w:val="-2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17.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120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万人。按公安口径，全年出生人口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1756 </w:t>
      </w:r>
      <w:r>
        <w:rPr>
          <w:rFonts w:ascii="宋体" w:hAnsi="宋体" w:eastAsia="宋体" w:cs="宋体"/>
          <w:spacing w:val="4"/>
          <w:sz w:val="31"/>
          <w:szCs w:val="31"/>
        </w:rPr>
        <w:t>人，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出生率为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4.93‰</w:t>
      </w:r>
      <w:r>
        <w:rPr>
          <w:rFonts w:ascii="宋体" w:hAnsi="宋体" w:eastAsia="宋体" w:cs="宋体"/>
          <w:spacing w:val="6"/>
          <w:sz w:val="31"/>
          <w:szCs w:val="31"/>
        </w:rPr>
        <w:t>；死亡人口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2487 </w:t>
      </w:r>
      <w:r>
        <w:rPr>
          <w:rFonts w:ascii="宋体" w:hAnsi="宋体" w:eastAsia="宋体" w:cs="宋体"/>
          <w:spacing w:val="6"/>
          <w:sz w:val="31"/>
          <w:szCs w:val="31"/>
        </w:rPr>
        <w:t>人，死亡率为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6.9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9‰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150B11CF">
      <w:pPr>
        <w:spacing w:before="97" w:line="226" w:lineRule="auto"/>
        <w:ind w:left="637"/>
        <w:outlineLvl w:val="1"/>
        <w:rPr>
          <w:rFonts w:ascii="宋体" w:hAnsi="宋体" w:eastAsia="宋体" w:cs="宋体"/>
          <w:sz w:val="31"/>
          <w:szCs w:val="31"/>
        </w:rPr>
      </w:pPr>
      <w:bookmarkStart w:id="72" w:name="bookmark28"/>
      <w:bookmarkEnd w:id="72"/>
      <w:bookmarkStart w:id="73" w:name="bookmark27"/>
      <w:bookmarkEnd w:id="73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2.5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经济发展情况</w:t>
      </w:r>
    </w:p>
    <w:p w14:paraId="547D3E69">
      <w:pPr>
        <w:spacing w:before="199" w:line="322" w:lineRule="auto"/>
        <w:ind w:left="1" w:right="111" w:firstLine="6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2020 </w:t>
      </w:r>
      <w:r>
        <w:rPr>
          <w:rFonts w:ascii="宋体" w:hAnsi="宋体" w:eastAsia="宋体" w:cs="宋体"/>
          <w:spacing w:val="3"/>
          <w:sz w:val="31"/>
          <w:szCs w:val="31"/>
        </w:rPr>
        <w:t>年，开化县实现地区生产总值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150.5 </w:t>
      </w:r>
      <w:r>
        <w:rPr>
          <w:rFonts w:ascii="宋体" w:hAnsi="宋体" w:eastAsia="宋体" w:cs="宋体"/>
          <w:spacing w:val="3"/>
          <w:sz w:val="31"/>
          <w:szCs w:val="31"/>
        </w:rPr>
        <w:t>亿元，按可</w:t>
      </w:r>
      <w:r>
        <w:rPr>
          <w:rFonts w:ascii="宋体" w:hAnsi="宋体" w:eastAsia="宋体" w:cs="宋体"/>
          <w:spacing w:val="2"/>
          <w:sz w:val="31"/>
          <w:szCs w:val="31"/>
        </w:rPr>
        <w:t>比价格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计算，比上年增长</w:t>
      </w:r>
      <w:r>
        <w:rPr>
          <w:rFonts w:ascii="宋体" w:hAnsi="宋体" w:eastAsia="宋体" w:cs="宋体"/>
          <w:spacing w:val="-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1.5%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76AA8364">
      <w:pPr>
        <w:spacing w:before="39" w:line="322" w:lineRule="auto"/>
        <w:ind w:left="1" w:right="111" w:firstLine="6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宋体" w:hAnsi="宋体" w:eastAsia="宋体" w:cs="宋体"/>
          <w:spacing w:val="8"/>
          <w:sz w:val="31"/>
          <w:szCs w:val="31"/>
        </w:rPr>
        <w:t>年，开化县实现地区生产总值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181.35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亿元，按可比价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计算，同比增长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4.2%</w:t>
      </w:r>
      <w:r>
        <w:rPr>
          <w:rFonts w:ascii="宋体" w:hAnsi="宋体" w:eastAsia="宋体" w:cs="宋体"/>
          <w:spacing w:val="6"/>
          <w:sz w:val="31"/>
          <w:szCs w:val="31"/>
        </w:rPr>
        <w:t>。</w:t>
      </w:r>
    </w:p>
    <w:p w14:paraId="30444465">
      <w:pPr>
        <w:spacing w:before="36" w:line="326" w:lineRule="auto"/>
        <w:ind w:right="108" w:firstLine="636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8"/>
          <w:sz w:val="31"/>
          <w:szCs w:val="31"/>
        </w:rPr>
        <w:t>年，开化县实现地区生产总值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188.22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亿元，按可比价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计算，同比增长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3.7%</w:t>
      </w:r>
      <w:r>
        <w:rPr>
          <w:rFonts w:ascii="宋体" w:hAnsi="宋体" w:eastAsia="宋体" w:cs="宋体"/>
          <w:spacing w:val="9"/>
          <w:sz w:val="31"/>
          <w:szCs w:val="31"/>
        </w:rPr>
        <w:t>（下文均为同比）</w:t>
      </w:r>
      <w:r>
        <w:rPr>
          <w:rFonts w:ascii="宋体" w:hAnsi="宋体" w:eastAsia="宋体" w:cs="宋体"/>
          <w:spacing w:val="-9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。分产业看，第一产业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增加值</w:t>
      </w:r>
      <w:r>
        <w:rPr>
          <w:rFonts w:ascii="宋体" w:hAnsi="宋体" w:eastAsia="宋体" w:cs="宋体"/>
          <w:spacing w:val="-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15.01 </w:t>
      </w:r>
      <w:r>
        <w:rPr>
          <w:rFonts w:ascii="宋体" w:hAnsi="宋体" w:eastAsia="宋体" w:cs="宋体"/>
          <w:spacing w:val="3"/>
          <w:sz w:val="31"/>
          <w:szCs w:val="31"/>
        </w:rPr>
        <w:t>亿元，增长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5.3%</w:t>
      </w:r>
      <w:r>
        <w:rPr>
          <w:rFonts w:ascii="宋体" w:hAnsi="宋体" w:eastAsia="宋体" w:cs="宋体"/>
          <w:spacing w:val="3"/>
          <w:sz w:val="31"/>
          <w:szCs w:val="31"/>
        </w:rPr>
        <w:t>；第二产业增加值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69.27 </w:t>
      </w:r>
      <w:r>
        <w:rPr>
          <w:rFonts w:ascii="宋体" w:hAnsi="宋体" w:eastAsia="宋体" w:cs="宋体"/>
          <w:spacing w:val="3"/>
          <w:sz w:val="31"/>
          <w:szCs w:val="31"/>
        </w:rPr>
        <w:t>亿元，下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降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0.6%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，其中工业增加值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44.99 </w:t>
      </w:r>
      <w:r>
        <w:rPr>
          <w:rFonts w:ascii="宋体" w:hAnsi="宋体" w:eastAsia="宋体" w:cs="宋体"/>
          <w:spacing w:val="6"/>
          <w:sz w:val="31"/>
          <w:szCs w:val="31"/>
        </w:rPr>
        <w:t>亿元，下降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0.2%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；第三产业增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加值</w:t>
      </w:r>
      <w:r>
        <w:rPr>
          <w:rFonts w:ascii="宋体" w:hAnsi="宋体" w:eastAsia="宋体" w:cs="宋体"/>
          <w:spacing w:val="-2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103.94 </w:t>
      </w:r>
      <w:r>
        <w:rPr>
          <w:rFonts w:ascii="宋体" w:hAnsi="宋体" w:eastAsia="宋体" w:cs="宋体"/>
          <w:spacing w:val="5"/>
          <w:sz w:val="31"/>
          <w:szCs w:val="31"/>
        </w:rPr>
        <w:t>亿元，增长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6.2%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。第三产业中：批发和零售业增加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值增长</w:t>
      </w:r>
      <w:r>
        <w:rPr>
          <w:rFonts w:ascii="宋体" w:hAnsi="宋体" w:eastAsia="宋体" w:cs="宋体"/>
          <w:spacing w:val="-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11.2%</w:t>
      </w:r>
      <w:r>
        <w:rPr>
          <w:rFonts w:ascii="宋体" w:hAnsi="宋体" w:eastAsia="宋体" w:cs="宋体"/>
          <w:spacing w:val="1"/>
          <w:sz w:val="31"/>
          <w:szCs w:val="31"/>
        </w:rPr>
        <w:t>，交通运输、仓储及邮政业增加值增长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3.0%</w:t>
      </w:r>
      <w:r>
        <w:rPr>
          <w:rFonts w:ascii="宋体" w:hAnsi="宋体" w:eastAsia="宋体" w:cs="宋体"/>
          <w:spacing w:val="1"/>
          <w:sz w:val="31"/>
          <w:szCs w:val="31"/>
        </w:rPr>
        <w:t>，住宿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和餐饮业增加值增长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12.6%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，金融业增加值增长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10.6%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，房地产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业增加值下降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3.3%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，营利性服务业增加值增长</w:t>
      </w:r>
      <w:r>
        <w:rPr>
          <w:rFonts w:ascii="宋体" w:hAnsi="宋体" w:eastAsia="宋体" w:cs="宋体"/>
          <w:spacing w:val="-2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10.5%</w:t>
      </w:r>
      <w:r>
        <w:rPr>
          <w:rFonts w:ascii="Times New Roman" w:hAnsi="Times New Roman" w:eastAsia="Times New Roman" w:cs="Times New Roman"/>
          <w:spacing w:val="-3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，非营利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性服务业增加值增长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3.3%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。三次产业增加值结构为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8.0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：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36.8</w:t>
      </w:r>
      <w:r>
        <w:rPr>
          <w:rFonts w:ascii="宋体" w:hAnsi="宋体" w:eastAsia="宋体" w:cs="宋体"/>
          <w:spacing w:val="4"/>
          <w:sz w:val="31"/>
          <w:szCs w:val="31"/>
        </w:rPr>
        <w:t>：</w:t>
      </w:r>
    </w:p>
    <w:p w14:paraId="59AA461E">
      <w:pPr>
        <w:spacing w:before="171" w:line="184" w:lineRule="auto"/>
        <w:ind w:left="4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55.2</w:t>
      </w:r>
      <w:r>
        <w:rPr>
          <w:rFonts w:ascii="宋体" w:hAnsi="宋体" w:eastAsia="宋体" w:cs="宋体"/>
          <w:sz w:val="31"/>
          <w:szCs w:val="31"/>
        </w:rPr>
        <w:t>。</w:t>
      </w:r>
    </w:p>
    <w:p w14:paraId="76713EA2">
      <w:pPr>
        <w:spacing w:line="184" w:lineRule="auto"/>
        <w:rPr>
          <w:rFonts w:ascii="宋体" w:hAnsi="宋体" w:eastAsia="宋体" w:cs="宋体"/>
          <w:sz w:val="31"/>
          <w:szCs w:val="31"/>
        </w:rPr>
        <w:sectPr>
          <w:footerReference r:id="rId18" w:type="default"/>
          <w:pgSz w:w="11906" w:h="16839"/>
          <w:pgMar w:top="1431" w:right="1364" w:bottom="1151" w:left="1597" w:header="0" w:footer="989" w:gutter="0"/>
          <w:cols w:space="720" w:num="1"/>
        </w:sectPr>
      </w:pPr>
    </w:p>
    <w:p w14:paraId="0AFF903C">
      <w:pPr>
        <w:pStyle w:val="2"/>
        <w:spacing w:line="346" w:lineRule="auto"/>
      </w:pPr>
    </w:p>
    <w:p w14:paraId="6ECE80ED">
      <w:pPr>
        <w:pStyle w:val="2"/>
        <w:spacing w:line="347" w:lineRule="auto"/>
      </w:pPr>
    </w:p>
    <w:p w14:paraId="180A42BF">
      <w:pPr>
        <w:spacing w:before="100" w:line="325" w:lineRule="auto"/>
        <w:ind w:left="5" w:firstLine="6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2022 </w:t>
      </w:r>
      <w:r>
        <w:rPr>
          <w:rFonts w:ascii="宋体" w:hAnsi="宋体" w:eastAsia="宋体" w:cs="宋体"/>
          <w:spacing w:val="2"/>
          <w:sz w:val="31"/>
          <w:szCs w:val="31"/>
        </w:rPr>
        <w:t>年，开化县固定资产投资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85.99 </w:t>
      </w:r>
      <w:r>
        <w:rPr>
          <w:rFonts w:ascii="宋体" w:hAnsi="宋体" w:eastAsia="宋体" w:cs="宋体"/>
          <w:spacing w:val="2"/>
          <w:sz w:val="31"/>
          <w:szCs w:val="31"/>
        </w:rPr>
        <w:t>亿元，增长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11.1%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。从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投资结构看，高新技术产业投资增长</w:t>
      </w:r>
      <w:r>
        <w:rPr>
          <w:rFonts w:ascii="宋体" w:hAnsi="宋体" w:eastAsia="宋体" w:cs="宋体"/>
          <w:spacing w:val="-4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85.8%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，制造业</w:t>
      </w:r>
      <w:r>
        <w:rPr>
          <w:rFonts w:ascii="宋体" w:hAnsi="宋体" w:eastAsia="宋体" w:cs="宋体"/>
          <w:spacing w:val="14"/>
          <w:sz w:val="31"/>
          <w:szCs w:val="31"/>
        </w:rPr>
        <w:t>投资增长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56%</w:t>
      </w:r>
      <w:r>
        <w:rPr>
          <w:rFonts w:ascii="Times New Roman" w:hAnsi="Times New Roman" w:eastAsia="Times New Roman" w:cs="Times New Roman"/>
          <w:spacing w:val="-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，民间项目投资增长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18.1%</w:t>
      </w:r>
      <w:r>
        <w:rPr>
          <w:rFonts w:ascii="Times New Roman" w:hAnsi="Times New Roman" w:eastAsia="Times New Roman" w:cs="Times New Roman"/>
          <w:spacing w:val="-4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，交通投资增长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2%</w:t>
      </w:r>
      <w:r>
        <w:rPr>
          <w:rFonts w:ascii="Times New Roman" w:hAnsi="Times New Roman" w:eastAsia="Times New Roman" w:cs="Times New Roman"/>
          <w:spacing w:val="-4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，生态环保、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城市更新和水利设施投资增长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9.7%</w:t>
      </w:r>
      <w:r>
        <w:rPr>
          <w:rFonts w:ascii="Times New Roman" w:hAnsi="Times New Roman" w:eastAsia="Times New Roman" w:cs="Times New Roman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。分产业看，二产、三产投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资分别增长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45.1%</w:t>
      </w:r>
      <w:r>
        <w:rPr>
          <w:rFonts w:ascii="Times New Roman" w:hAnsi="Times New Roman" w:eastAsia="Times New Roman" w:cs="Times New Roman"/>
          <w:spacing w:val="-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5.2%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，一产投资下降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18.7%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。房地产开发投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sz w:val="31"/>
          <w:szCs w:val="31"/>
        </w:rPr>
        <w:t>资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31"/>
          <w:szCs w:val="31"/>
        </w:rPr>
        <w:t>19.46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sz w:val="31"/>
          <w:szCs w:val="31"/>
        </w:rPr>
        <w:t>亿元，下降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31"/>
          <w:szCs w:val="31"/>
        </w:rPr>
        <w:t>9.9%</w:t>
      </w:r>
      <w:r>
        <w:rPr>
          <w:rFonts w:ascii="宋体" w:hAnsi="宋体" w:eastAsia="宋体" w:cs="宋体"/>
          <w:spacing w:val="-14"/>
          <w:sz w:val="31"/>
          <w:szCs w:val="31"/>
        </w:rPr>
        <w:t>，其中，住宅投</w:t>
      </w:r>
      <w:r>
        <w:rPr>
          <w:rFonts w:ascii="宋体" w:hAnsi="宋体" w:eastAsia="宋体" w:cs="宋体"/>
          <w:spacing w:val="-15"/>
          <w:sz w:val="31"/>
          <w:szCs w:val="31"/>
        </w:rPr>
        <w:t>资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31"/>
          <w:szCs w:val="31"/>
        </w:rPr>
        <w:t>18.77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5"/>
          <w:sz w:val="31"/>
          <w:szCs w:val="31"/>
        </w:rPr>
        <w:t>亿元，下降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31"/>
          <w:szCs w:val="31"/>
        </w:rPr>
        <w:t>7.1%</w:t>
      </w:r>
      <w:r>
        <w:rPr>
          <w:rFonts w:ascii="宋体" w:hAnsi="宋体" w:eastAsia="宋体" w:cs="宋体"/>
          <w:spacing w:val="-15"/>
          <w:sz w:val="31"/>
          <w:szCs w:val="31"/>
        </w:rPr>
        <w:t>。</w:t>
      </w:r>
    </w:p>
    <w:p w14:paraId="6784B6F0">
      <w:pPr>
        <w:spacing w:before="87" w:line="331" w:lineRule="auto"/>
        <w:ind w:right="23" w:firstLine="64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 xml:space="preserve">2022 </w:t>
      </w:r>
      <w:r>
        <w:rPr>
          <w:rFonts w:ascii="宋体" w:hAnsi="宋体" w:eastAsia="宋体" w:cs="宋体"/>
          <w:sz w:val="31"/>
          <w:szCs w:val="31"/>
        </w:rPr>
        <w:t>年，开化县居民人均可支配收入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34286 </w:t>
      </w:r>
      <w:r>
        <w:rPr>
          <w:rFonts w:ascii="宋体" w:hAnsi="宋体" w:eastAsia="宋体" w:cs="宋体"/>
          <w:sz w:val="31"/>
          <w:szCs w:val="31"/>
        </w:rPr>
        <w:t>元，增长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5.7%</w:t>
      </w:r>
      <w:r>
        <w:rPr>
          <w:rFonts w:ascii="宋体" w:hAnsi="宋体" w:eastAsia="宋体" w:cs="宋体"/>
          <w:sz w:val="31"/>
          <w:szCs w:val="31"/>
        </w:rPr>
        <w:t xml:space="preserve">， </w:t>
      </w:r>
      <w:r>
        <w:rPr>
          <w:rFonts w:ascii="宋体" w:hAnsi="宋体" w:eastAsia="宋体" w:cs="宋体"/>
          <w:spacing w:val="15"/>
          <w:sz w:val="31"/>
          <w:szCs w:val="31"/>
        </w:rPr>
        <w:t>其中，城镇、农村常住居民人均可支配收入分别为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45846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元、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24737</w:t>
      </w:r>
      <w:r>
        <w:rPr>
          <w:rFonts w:ascii="Times New Roman" w:hAnsi="Times New Roman" w:eastAsia="Times New Roman" w:cs="Times New Roman"/>
          <w:spacing w:val="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元，分别增长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4.8%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6.8%</w:t>
      </w:r>
      <w:r>
        <w:rPr>
          <w:rFonts w:ascii="Times New Roman" w:hAnsi="Times New Roman" w:eastAsia="Times New Roman" w:cs="Times New Roman"/>
          <w:spacing w:val="-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。城乡居民收入比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1.85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，比上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年同期缩小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0.04 </w:t>
      </w:r>
      <w:r>
        <w:rPr>
          <w:rFonts w:ascii="宋体" w:hAnsi="宋体" w:eastAsia="宋体" w:cs="宋体"/>
          <w:spacing w:val="11"/>
          <w:sz w:val="31"/>
          <w:szCs w:val="31"/>
        </w:rPr>
        <w:t>个百分点。全体居民生活消费支出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21045 </w:t>
      </w:r>
      <w:r>
        <w:rPr>
          <w:rFonts w:ascii="宋体" w:hAnsi="宋体" w:eastAsia="宋体" w:cs="宋体"/>
          <w:spacing w:val="11"/>
          <w:sz w:val="31"/>
          <w:szCs w:val="31"/>
        </w:rPr>
        <w:t>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增长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7.5%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，其中，城镇、农村常住居民人均生活消费支出分别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27865 </w:t>
      </w:r>
      <w:r>
        <w:rPr>
          <w:rFonts w:ascii="宋体" w:hAnsi="宋体" w:eastAsia="宋体" w:cs="宋体"/>
          <w:spacing w:val="4"/>
          <w:sz w:val="31"/>
          <w:szCs w:val="31"/>
        </w:rPr>
        <w:t>元、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15410 </w:t>
      </w:r>
      <w:r>
        <w:rPr>
          <w:rFonts w:ascii="宋体" w:hAnsi="宋体" w:eastAsia="宋体" w:cs="宋体"/>
          <w:spacing w:val="4"/>
          <w:sz w:val="31"/>
          <w:szCs w:val="31"/>
        </w:rPr>
        <w:t>元，分别增长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6.7%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8.3%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5D5D32A2">
      <w:pPr>
        <w:spacing w:before="68" w:line="225" w:lineRule="auto"/>
        <w:ind w:left="6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第一产业</w:t>
      </w:r>
    </w:p>
    <w:p w14:paraId="3C1E725C">
      <w:pPr>
        <w:spacing w:before="180" w:line="321" w:lineRule="auto"/>
        <w:ind w:left="7" w:right="108" w:firstLine="63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3"/>
          <w:sz w:val="31"/>
          <w:szCs w:val="31"/>
        </w:rPr>
        <w:t>年，开化县实现农林牧渔业增加值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15.25 </w:t>
      </w:r>
      <w:r>
        <w:rPr>
          <w:rFonts w:ascii="宋体" w:hAnsi="宋体" w:eastAsia="宋体" w:cs="宋体"/>
          <w:spacing w:val="3"/>
          <w:sz w:val="31"/>
          <w:szCs w:val="31"/>
        </w:rPr>
        <w:t>亿元，按可比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价格计算，增长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5.3%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50597CB4">
      <w:pPr>
        <w:spacing w:before="40" w:line="329" w:lineRule="auto"/>
        <w:ind w:left="5" w:right="33" w:firstLine="63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8"/>
          <w:sz w:val="31"/>
          <w:szCs w:val="31"/>
        </w:rPr>
        <w:t>年，开化县农作物播种面积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3.11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万公顷，其中，粮食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播种面积</w:t>
      </w:r>
      <w:r>
        <w:rPr>
          <w:rFonts w:ascii="宋体" w:hAnsi="宋体" w:eastAsia="宋体" w:cs="宋体"/>
          <w:spacing w:val="-2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1.03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万公顷、油料播种面积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0.61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万公顷、蔬菜种植面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积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0.51</w:t>
      </w:r>
      <w:r>
        <w:rPr>
          <w:rFonts w:ascii="Times New Roman" w:hAnsi="Times New Roman" w:eastAsia="Times New Roman" w:cs="Times New Roman"/>
          <w:spacing w:val="2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万公顷、瓜果类种植面积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293.27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公顷。粮食总产量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.22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z w:val="31"/>
          <w:szCs w:val="31"/>
        </w:rPr>
        <w:t>万吨，增长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2.1%</w:t>
      </w:r>
      <w:r>
        <w:rPr>
          <w:rFonts w:ascii="宋体" w:hAnsi="宋体" w:eastAsia="宋体" w:cs="宋体"/>
          <w:sz w:val="31"/>
          <w:szCs w:val="31"/>
        </w:rPr>
        <w:t>；油料产量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1.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17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万吨，增长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0.2%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 xml:space="preserve">，其中油菜籽 </w:t>
      </w:r>
      <w:r>
        <w:rPr>
          <w:rFonts w:ascii="宋体" w:hAnsi="宋体" w:eastAsia="宋体" w:cs="宋体"/>
          <w:spacing w:val="-1"/>
          <w:sz w:val="31"/>
          <w:szCs w:val="31"/>
        </w:rPr>
        <w:t>产量</w:t>
      </w:r>
      <w:r>
        <w:rPr>
          <w:rFonts w:ascii="宋体" w:hAnsi="宋体" w:eastAsia="宋体" w:cs="宋体"/>
          <w:spacing w:val="-2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12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万吨，下降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0.03%</w:t>
      </w:r>
      <w:r>
        <w:rPr>
          <w:rFonts w:ascii="宋体" w:hAnsi="宋体" w:eastAsia="宋体" w:cs="宋体"/>
          <w:spacing w:val="-1"/>
          <w:sz w:val="31"/>
          <w:szCs w:val="31"/>
        </w:rPr>
        <w:t>；蔬菜产量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11.57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万吨，增长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3.7%</w:t>
      </w:r>
      <w:r>
        <w:rPr>
          <w:rFonts w:ascii="宋体" w:hAnsi="宋体" w:eastAsia="宋体" w:cs="宋体"/>
          <w:spacing w:val="-1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食用菌产量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9895.68</w:t>
      </w:r>
      <w:r>
        <w:rPr>
          <w:rFonts w:ascii="Times New Roman" w:hAnsi="Times New Roman" w:eastAsia="Times New Roman" w:cs="Times New Roman"/>
          <w:spacing w:val="3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吨，下降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1.4%</w:t>
      </w:r>
      <w:r>
        <w:rPr>
          <w:rFonts w:ascii="宋体" w:hAnsi="宋体" w:eastAsia="宋体" w:cs="宋体"/>
          <w:spacing w:val="2"/>
          <w:sz w:val="31"/>
          <w:szCs w:val="31"/>
        </w:rPr>
        <w:t>；瓜果类产量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0.7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万吨，增长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6.8%</w:t>
      </w:r>
      <w:r>
        <w:rPr>
          <w:rFonts w:ascii="宋体" w:hAnsi="宋体" w:eastAsia="宋体" w:cs="宋体"/>
          <w:spacing w:val="4"/>
          <w:sz w:val="31"/>
          <w:szCs w:val="31"/>
        </w:rPr>
        <w:t>；茶叶产量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0.38 </w:t>
      </w:r>
      <w:r>
        <w:rPr>
          <w:rFonts w:ascii="宋体" w:hAnsi="宋体" w:eastAsia="宋体" w:cs="宋体"/>
          <w:spacing w:val="4"/>
          <w:sz w:val="31"/>
          <w:szCs w:val="31"/>
        </w:rPr>
        <w:t>万吨，增长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16.3%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41DD3673">
      <w:pPr>
        <w:spacing w:line="329" w:lineRule="auto"/>
        <w:rPr>
          <w:rFonts w:ascii="宋体" w:hAnsi="宋体" w:eastAsia="宋体" w:cs="宋体"/>
          <w:sz w:val="31"/>
          <w:szCs w:val="31"/>
        </w:rPr>
        <w:sectPr>
          <w:footerReference r:id="rId19" w:type="default"/>
          <w:pgSz w:w="11906" w:h="16839"/>
          <w:pgMar w:top="1431" w:right="1364" w:bottom="1151" w:left="1593" w:header="0" w:footer="989" w:gutter="0"/>
          <w:cols w:space="720" w:num="1"/>
        </w:sectPr>
      </w:pPr>
    </w:p>
    <w:p w14:paraId="4F02BCE7">
      <w:pPr>
        <w:pStyle w:val="2"/>
        <w:spacing w:line="346" w:lineRule="auto"/>
      </w:pPr>
    </w:p>
    <w:p w14:paraId="33038382">
      <w:pPr>
        <w:pStyle w:val="2"/>
        <w:spacing w:line="347" w:lineRule="auto"/>
      </w:pPr>
    </w:p>
    <w:p w14:paraId="3C79CC50">
      <w:pPr>
        <w:spacing w:before="101" w:line="321" w:lineRule="auto"/>
        <w:ind w:left="5" w:right="4" w:firstLine="6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6"/>
          <w:sz w:val="31"/>
          <w:szCs w:val="31"/>
        </w:rPr>
        <w:t>年，开化县肉类总产量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1.19</w:t>
      </w:r>
      <w:r>
        <w:rPr>
          <w:rFonts w:ascii="Times New Roman" w:hAnsi="Times New Roman" w:eastAsia="Times New Roman" w:cs="Times New Roman"/>
          <w:spacing w:val="25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万吨，增</w:t>
      </w:r>
      <w:r>
        <w:rPr>
          <w:rFonts w:ascii="宋体" w:hAnsi="宋体" w:eastAsia="宋体" w:cs="宋体"/>
          <w:spacing w:val="5"/>
          <w:sz w:val="31"/>
          <w:szCs w:val="31"/>
        </w:rPr>
        <w:t>长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12.9%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，其中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2"/>
          <w:sz w:val="31"/>
          <w:szCs w:val="31"/>
        </w:rPr>
        <w:t>猪肉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 xml:space="preserve">1.04 </w:t>
      </w:r>
      <w:r>
        <w:rPr>
          <w:rFonts w:ascii="宋体" w:hAnsi="宋体" w:eastAsia="宋体" w:cs="宋体"/>
          <w:spacing w:val="-12"/>
          <w:sz w:val="31"/>
          <w:szCs w:val="31"/>
        </w:rPr>
        <w:t>万吨，增长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11.7%</w:t>
      </w:r>
      <w:r>
        <w:rPr>
          <w:rFonts w:ascii="宋体" w:hAnsi="宋体" w:eastAsia="宋体" w:cs="宋体"/>
          <w:spacing w:val="-12"/>
          <w:sz w:val="31"/>
          <w:szCs w:val="31"/>
        </w:rPr>
        <w:t>；全年生猪出栏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 xml:space="preserve">11.56 </w:t>
      </w:r>
      <w:r>
        <w:rPr>
          <w:rFonts w:ascii="宋体" w:hAnsi="宋体" w:eastAsia="宋体" w:cs="宋体"/>
          <w:spacing w:val="-12"/>
          <w:sz w:val="31"/>
          <w:szCs w:val="31"/>
        </w:rPr>
        <w:t>万头，增长</w:t>
      </w:r>
      <w:r>
        <w:rPr>
          <w:rFonts w:ascii="宋体" w:hAnsi="宋体" w:eastAsia="宋体" w:cs="宋体"/>
          <w:spacing w:val="-8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6.3%</w:t>
      </w:r>
      <w:r>
        <w:rPr>
          <w:rFonts w:ascii="宋体" w:hAnsi="宋体" w:eastAsia="宋体" w:cs="宋体"/>
          <w:spacing w:val="-12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家禽出栏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75.82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万只，增长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7.8%</w:t>
      </w:r>
      <w:r>
        <w:rPr>
          <w:rFonts w:ascii="宋体" w:hAnsi="宋体" w:eastAsia="宋体" w:cs="宋体"/>
          <w:spacing w:val="-10"/>
          <w:sz w:val="31"/>
          <w:szCs w:val="31"/>
        </w:rPr>
        <w:t>；禽蛋产量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0.1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1"/>
          <w:sz w:val="31"/>
          <w:szCs w:val="31"/>
        </w:rPr>
        <w:t>万吨，下降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6.4%</w:t>
      </w:r>
      <w:r>
        <w:rPr>
          <w:rFonts w:ascii="宋体" w:hAnsi="宋体" w:eastAsia="宋体" w:cs="宋体"/>
          <w:spacing w:val="-11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水产品产量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0.61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万吨，增长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7.8%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0F55CB71">
      <w:pPr>
        <w:spacing w:before="127" w:line="225" w:lineRule="auto"/>
        <w:ind w:left="6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第二产业</w:t>
      </w:r>
    </w:p>
    <w:p w14:paraId="3612EF30">
      <w:pPr>
        <w:spacing w:before="181" w:line="320" w:lineRule="auto"/>
        <w:ind w:left="7" w:firstLine="6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截至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2023 </w:t>
      </w:r>
      <w:r>
        <w:rPr>
          <w:rFonts w:ascii="宋体" w:hAnsi="宋体" w:eastAsia="宋体" w:cs="宋体"/>
          <w:sz w:val="31"/>
          <w:szCs w:val="31"/>
        </w:rPr>
        <w:t>年末，开化县共有规模以上工业企业单位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103 </w:t>
      </w:r>
      <w:r>
        <w:rPr>
          <w:rFonts w:ascii="宋体" w:hAnsi="宋体" w:eastAsia="宋体" w:cs="宋体"/>
          <w:sz w:val="31"/>
          <w:szCs w:val="31"/>
        </w:rPr>
        <w:t xml:space="preserve">家， </w:t>
      </w:r>
      <w:r>
        <w:rPr>
          <w:rFonts w:ascii="宋体" w:hAnsi="宋体" w:eastAsia="宋体" w:cs="宋体"/>
          <w:spacing w:val="6"/>
          <w:sz w:val="31"/>
          <w:szCs w:val="31"/>
        </w:rPr>
        <w:t>其中营业收入亿元以上企业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22 </w:t>
      </w:r>
      <w:r>
        <w:rPr>
          <w:rFonts w:ascii="宋体" w:hAnsi="宋体" w:eastAsia="宋体" w:cs="宋体"/>
          <w:spacing w:val="6"/>
          <w:sz w:val="31"/>
          <w:szCs w:val="31"/>
        </w:rPr>
        <w:t>家，中型企业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8 </w:t>
      </w:r>
      <w:r>
        <w:rPr>
          <w:rFonts w:ascii="宋体" w:hAnsi="宋体" w:eastAsia="宋体" w:cs="宋体"/>
          <w:spacing w:val="6"/>
          <w:sz w:val="31"/>
          <w:szCs w:val="31"/>
        </w:rPr>
        <w:t>家。</w:t>
      </w:r>
    </w:p>
    <w:p w14:paraId="4EE02D5B">
      <w:pPr>
        <w:spacing w:before="37" w:line="328" w:lineRule="auto"/>
        <w:ind w:left="4" w:firstLine="63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7"/>
          <w:sz w:val="31"/>
          <w:szCs w:val="31"/>
        </w:rPr>
        <w:t>年，开化县工业增加值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44.99 </w:t>
      </w:r>
      <w:r>
        <w:rPr>
          <w:rFonts w:ascii="宋体" w:hAnsi="宋体" w:eastAsia="宋体" w:cs="宋体"/>
          <w:spacing w:val="6"/>
          <w:sz w:val="31"/>
          <w:szCs w:val="31"/>
        </w:rPr>
        <w:t>亿元，按可比价格计算，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下降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0.2%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，其中，规上工业增加值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27.42 </w:t>
      </w:r>
      <w:r>
        <w:rPr>
          <w:rFonts w:ascii="宋体" w:hAnsi="宋体" w:eastAsia="宋体" w:cs="宋体"/>
          <w:spacing w:val="6"/>
          <w:sz w:val="31"/>
          <w:szCs w:val="31"/>
        </w:rPr>
        <w:t>亿元，</w:t>
      </w:r>
      <w:r>
        <w:rPr>
          <w:rFonts w:ascii="宋体" w:hAnsi="宋体" w:eastAsia="宋体" w:cs="宋体"/>
          <w:spacing w:val="5"/>
          <w:sz w:val="31"/>
          <w:szCs w:val="31"/>
        </w:rPr>
        <w:t>下降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9.3%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。规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上工业总产值</w:t>
      </w:r>
      <w:r>
        <w:rPr>
          <w:rFonts w:ascii="宋体" w:hAnsi="宋体" w:eastAsia="宋体" w:cs="宋体"/>
          <w:spacing w:val="-2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152.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12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亿元，下降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15.2%</w:t>
      </w:r>
      <w:r>
        <w:rPr>
          <w:rFonts w:ascii="宋体" w:hAnsi="宋体" w:eastAsia="宋体" w:cs="宋体"/>
          <w:spacing w:val="-10"/>
          <w:sz w:val="31"/>
          <w:szCs w:val="31"/>
        </w:rPr>
        <w:t>，其中，重工业产值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105.95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"/>
          <w:sz w:val="31"/>
          <w:szCs w:val="31"/>
        </w:rPr>
        <w:t>亿元，下降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19.0%</w:t>
      </w:r>
      <w:r>
        <w:rPr>
          <w:rFonts w:ascii="宋体" w:hAnsi="宋体" w:eastAsia="宋体" w:cs="宋体"/>
          <w:spacing w:val="1"/>
          <w:sz w:val="31"/>
          <w:szCs w:val="31"/>
        </w:rPr>
        <w:t>；轻工业产值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46.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17 </w:t>
      </w:r>
      <w:r>
        <w:rPr>
          <w:rFonts w:ascii="宋体" w:hAnsi="宋体" w:eastAsia="宋体" w:cs="宋体"/>
          <w:spacing w:val="1"/>
          <w:sz w:val="31"/>
          <w:szCs w:val="31"/>
        </w:rPr>
        <w:t>亿元，下降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5.0</w:t>
      </w:r>
      <w:r>
        <w:rPr>
          <w:rFonts w:ascii="Times New Roman" w:hAnsi="Times New Roman" w:eastAsia="Times New Roman" w:cs="Times New Roman"/>
          <w:sz w:val="31"/>
          <w:szCs w:val="31"/>
        </w:rPr>
        <w:t>%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 xml:space="preserve">。完成工 </w:t>
      </w:r>
      <w:r>
        <w:rPr>
          <w:rFonts w:ascii="宋体" w:hAnsi="宋体" w:eastAsia="宋体" w:cs="宋体"/>
          <w:spacing w:val="6"/>
          <w:sz w:val="31"/>
          <w:szCs w:val="31"/>
        </w:rPr>
        <w:t>业出口交货值</w:t>
      </w:r>
      <w:r>
        <w:rPr>
          <w:rFonts w:ascii="宋体" w:hAnsi="宋体" w:eastAsia="宋体" w:cs="宋体"/>
          <w:spacing w:val="-3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18.52 </w:t>
      </w:r>
      <w:r>
        <w:rPr>
          <w:rFonts w:ascii="宋体" w:hAnsi="宋体" w:eastAsia="宋体" w:cs="宋体"/>
          <w:spacing w:val="6"/>
          <w:sz w:val="31"/>
          <w:szCs w:val="31"/>
        </w:rPr>
        <w:t>亿元，下降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3.1%</w:t>
      </w:r>
      <w:r>
        <w:rPr>
          <w:rFonts w:ascii="宋体" w:hAnsi="宋体" w:eastAsia="宋体" w:cs="宋体"/>
          <w:spacing w:val="6"/>
          <w:sz w:val="31"/>
          <w:szCs w:val="31"/>
        </w:rPr>
        <w:t>；新产品产值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49.92 </w:t>
      </w:r>
      <w:r>
        <w:rPr>
          <w:rFonts w:ascii="宋体" w:hAnsi="宋体" w:eastAsia="宋体" w:cs="宋体"/>
          <w:spacing w:val="6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下降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7.7%</w:t>
      </w:r>
      <w:r>
        <w:rPr>
          <w:rFonts w:ascii="Times New Roman" w:hAnsi="Times New Roman" w:eastAsia="Times New Roman" w:cs="Times New Roman"/>
          <w:spacing w:val="-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。规模以上工业总产值分行业看：酒、饮料和精制茶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制造业产值</w:t>
      </w:r>
      <w:r>
        <w:rPr>
          <w:rFonts w:ascii="宋体" w:hAnsi="宋体" w:eastAsia="宋体" w:cs="宋体"/>
          <w:spacing w:val="-2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1.43 </w:t>
      </w:r>
      <w:r>
        <w:rPr>
          <w:rFonts w:ascii="宋体" w:hAnsi="宋体" w:eastAsia="宋体" w:cs="宋体"/>
          <w:spacing w:val="2"/>
          <w:sz w:val="31"/>
          <w:szCs w:val="31"/>
        </w:rPr>
        <w:t>亿元，增长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40.9%</w:t>
      </w:r>
      <w:r>
        <w:rPr>
          <w:rFonts w:ascii="宋体" w:hAnsi="宋体" w:eastAsia="宋体" w:cs="宋体"/>
          <w:spacing w:val="2"/>
          <w:sz w:val="31"/>
          <w:szCs w:val="31"/>
        </w:rPr>
        <w:t>；化学原料和化学制品制造业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产值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34.60 </w:t>
      </w:r>
      <w:r>
        <w:rPr>
          <w:rFonts w:ascii="宋体" w:hAnsi="宋体" w:eastAsia="宋体" w:cs="宋体"/>
          <w:spacing w:val="-2"/>
          <w:sz w:val="31"/>
          <w:szCs w:val="31"/>
        </w:rPr>
        <w:t>亿元，下降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30.0%</w:t>
      </w:r>
      <w:r>
        <w:rPr>
          <w:rFonts w:ascii="宋体" w:hAnsi="宋体" w:eastAsia="宋体" w:cs="宋体"/>
          <w:spacing w:val="-2"/>
          <w:sz w:val="31"/>
          <w:szCs w:val="31"/>
        </w:rPr>
        <w:t>；非金属矿物制品业产值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6.96 </w:t>
      </w:r>
      <w:r>
        <w:rPr>
          <w:rFonts w:ascii="宋体" w:hAnsi="宋体" w:eastAsia="宋体" w:cs="宋体"/>
          <w:spacing w:val="-2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下降</w:t>
      </w:r>
      <w:r>
        <w:rPr>
          <w:rFonts w:ascii="宋体" w:hAnsi="宋体" w:eastAsia="宋体" w:cs="宋体"/>
          <w:spacing w:val="-3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12.6%</w:t>
      </w:r>
      <w:r>
        <w:rPr>
          <w:rFonts w:ascii="宋体" w:hAnsi="宋体" w:eastAsia="宋体" w:cs="宋体"/>
          <w:spacing w:val="3"/>
          <w:sz w:val="31"/>
          <w:szCs w:val="31"/>
        </w:rPr>
        <w:t>；通用设备制造业产值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0.47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21.0%</w:t>
      </w:r>
      <w:r>
        <w:rPr>
          <w:rFonts w:ascii="宋体" w:hAnsi="宋体" w:eastAsia="宋体" w:cs="宋体"/>
          <w:spacing w:val="3"/>
          <w:sz w:val="31"/>
          <w:szCs w:val="31"/>
        </w:rPr>
        <w:t>；电气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机械和器材制造业产值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35.89 </w:t>
      </w:r>
      <w:r>
        <w:rPr>
          <w:rFonts w:ascii="宋体" w:hAnsi="宋体" w:eastAsia="宋体" w:cs="宋体"/>
          <w:spacing w:val="7"/>
          <w:sz w:val="31"/>
          <w:szCs w:val="31"/>
        </w:rPr>
        <w:t>亿元，增长</w:t>
      </w:r>
      <w:r>
        <w:rPr>
          <w:rFonts w:ascii="宋体" w:hAnsi="宋体" w:eastAsia="宋体" w:cs="宋体"/>
          <w:spacing w:val="-3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14.0%</w:t>
      </w:r>
      <w:r>
        <w:rPr>
          <w:rFonts w:ascii="宋体" w:hAnsi="宋体" w:eastAsia="宋体" w:cs="宋体"/>
          <w:spacing w:val="6"/>
          <w:sz w:val="31"/>
          <w:szCs w:val="31"/>
        </w:rPr>
        <w:t>；计算机、通信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和其他电子设备制造业产值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14.91 </w:t>
      </w:r>
      <w:r>
        <w:rPr>
          <w:rFonts w:ascii="宋体" w:hAnsi="宋体" w:eastAsia="宋体" w:cs="宋体"/>
          <w:spacing w:val="7"/>
          <w:sz w:val="31"/>
          <w:szCs w:val="31"/>
        </w:rPr>
        <w:t>亿元，下降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46.4%</w:t>
      </w:r>
      <w:r>
        <w:rPr>
          <w:rFonts w:ascii="宋体" w:hAnsi="宋体" w:eastAsia="宋体" w:cs="宋体"/>
          <w:spacing w:val="7"/>
          <w:sz w:val="31"/>
          <w:szCs w:val="31"/>
        </w:rPr>
        <w:t>；医药</w:t>
      </w:r>
      <w:r>
        <w:rPr>
          <w:rFonts w:ascii="宋体" w:hAnsi="宋体" w:eastAsia="宋体" w:cs="宋体"/>
          <w:spacing w:val="6"/>
          <w:sz w:val="31"/>
          <w:szCs w:val="31"/>
        </w:rPr>
        <w:t>制造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业产值</w:t>
      </w:r>
      <w:r>
        <w:rPr>
          <w:rFonts w:ascii="宋体" w:hAnsi="宋体" w:eastAsia="宋体" w:cs="宋体"/>
          <w:spacing w:val="-4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0.82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67.2%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。规模以上工业增加值分产业看：</w:t>
      </w:r>
    </w:p>
    <w:p w14:paraId="6219D405">
      <w:pPr>
        <w:spacing w:before="70" w:line="318" w:lineRule="auto"/>
        <w:ind w:right="4" w:firstLine="14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高新技术产业增加值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20.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15 </w:t>
      </w:r>
      <w:r>
        <w:rPr>
          <w:rFonts w:ascii="宋体" w:hAnsi="宋体" w:eastAsia="宋体" w:cs="宋体"/>
          <w:spacing w:val="1"/>
          <w:sz w:val="31"/>
          <w:szCs w:val="31"/>
        </w:rPr>
        <w:t>亿元，下降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9.3%</w:t>
      </w:r>
      <w:r>
        <w:rPr>
          <w:rFonts w:ascii="宋体" w:hAnsi="宋体" w:eastAsia="宋体" w:cs="宋体"/>
          <w:spacing w:val="1"/>
          <w:sz w:val="31"/>
          <w:szCs w:val="31"/>
        </w:rPr>
        <w:t>；装备制造业增加值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6.68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22.7%</w:t>
      </w:r>
      <w:r>
        <w:rPr>
          <w:rFonts w:ascii="宋体" w:hAnsi="宋体" w:eastAsia="宋体" w:cs="宋体"/>
          <w:spacing w:val="3"/>
          <w:sz w:val="31"/>
          <w:szCs w:val="31"/>
        </w:rPr>
        <w:t>；战略性新兴产业增加值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6.5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2"/>
          <w:sz w:val="31"/>
          <w:szCs w:val="31"/>
        </w:rPr>
        <w:t>亿元，下降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26.2%</w:t>
      </w:r>
      <w:r>
        <w:rPr>
          <w:rFonts w:ascii="宋体" w:hAnsi="宋体" w:eastAsia="宋体" w:cs="宋体"/>
          <w:sz w:val="31"/>
          <w:szCs w:val="31"/>
        </w:rPr>
        <w:t>；数字经济核心产业制造业增加值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5.60 </w:t>
      </w:r>
      <w:r>
        <w:rPr>
          <w:rFonts w:ascii="宋体" w:hAnsi="宋体" w:eastAsia="宋体" w:cs="宋体"/>
          <w:sz w:val="31"/>
          <w:szCs w:val="31"/>
        </w:rPr>
        <w:t>亿元，下降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24.3%</w:t>
      </w:r>
      <w:r>
        <w:rPr>
          <w:rFonts w:ascii="宋体" w:hAnsi="宋体" w:eastAsia="宋体" w:cs="宋体"/>
          <w:sz w:val="31"/>
          <w:szCs w:val="31"/>
        </w:rPr>
        <w:t>；</w:t>
      </w:r>
    </w:p>
    <w:p w14:paraId="31BBE33C">
      <w:pPr>
        <w:spacing w:line="318" w:lineRule="auto"/>
        <w:rPr>
          <w:rFonts w:ascii="宋体" w:hAnsi="宋体" w:eastAsia="宋体" w:cs="宋体"/>
          <w:sz w:val="31"/>
          <w:szCs w:val="31"/>
        </w:rPr>
        <w:sectPr>
          <w:footerReference r:id="rId20" w:type="default"/>
          <w:pgSz w:w="11906" w:h="16839"/>
          <w:pgMar w:top="1431" w:right="1388" w:bottom="1151" w:left="1593" w:header="0" w:footer="989" w:gutter="0"/>
          <w:cols w:space="720" w:num="1"/>
        </w:sectPr>
      </w:pPr>
    </w:p>
    <w:p w14:paraId="62ECF9C4">
      <w:pPr>
        <w:pStyle w:val="2"/>
        <w:spacing w:line="348" w:lineRule="auto"/>
      </w:pPr>
    </w:p>
    <w:p w14:paraId="2D2F796A">
      <w:pPr>
        <w:pStyle w:val="2"/>
        <w:spacing w:line="349" w:lineRule="auto"/>
      </w:pPr>
    </w:p>
    <w:p w14:paraId="5CFEBEC5">
      <w:pPr>
        <w:spacing w:before="100" w:line="329" w:lineRule="auto"/>
        <w:ind w:left="1" w:right="45" w:firstLine="14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时尚制造业增加值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0.42 </w:t>
      </w:r>
      <w:r>
        <w:rPr>
          <w:rFonts w:ascii="宋体" w:hAnsi="宋体" w:eastAsia="宋体" w:cs="宋体"/>
          <w:spacing w:val="3"/>
          <w:sz w:val="31"/>
          <w:szCs w:val="31"/>
        </w:rPr>
        <w:t>亿元，增长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5.2%</w:t>
      </w:r>
      <w:r>
        <w:rPr>
          <w:rFonts w:ascii="宋体" w:hAnsi="宋体" w:eastAsia="宋体" w:cs="宋体"/>
          <w:spacing w:val="2"/>
          <w:sz w:val="31"/>
          <w:szCs w:val="31"/>
        </w:rPr>
        <w:t>；高端装备制造业增加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值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2.98 </w:t>
      </w:r>
      <w:r>
        <w:rPr>
          <w:rFonts w:ascii="宋体" w:hAnsi="宋体" w:eastAsia="宋体" w:cs="宋体"/>
          <w:spacing w:val="7"/>
          <w:sz w:val="31"/>
          <w:szCs w:val="31"/>
        </w:rPr>
        <w:t>亿元，增长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16.8%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；环保制造业增加值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4.67 </w:t>
      </w:r>
      <w:r>
        <w:rPr>
          <w:rFonts w:ascii="宋体" w:hAnsi="宋体" w:eastAsia="宋体" w:cs="宋体"/>
          <w:spacing w:val="6"/>
          <w:sz w:val="31"/>
          <w:szCs w:val="31"/>
        </w:rPr>
        <w:t>亿元，下降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18.9%</w:t>
      </w:r>
      <w:r>
        <w:rPr>
          <w:rFonts w:ascii="宋体" w:hAnsi="宋体" w:eastAsia="宋体" w:cs="宋体"/>
          <w:spacing w:val="6"/>
          <w:sz w:val="31"/>
          <w:szCs w:val="31"/>
        </w:rPr>
        <w:t>；健康制造业增加值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0.28 </w:t>
      </w:r>
      <w:r>
        <w:rPr>
          <w:rFonts w:ascii="宋体" w:hAnsi="宋体" w:eastAsia="宋体" w:cs="宋体"/>
          <w:spacing w:val="6"/>
          <w:sz w:val="31"/>
          <w:szCs w:val="31"/>
        </w:rPr>
        <w:t>亿元，下降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73.6%</w:t>
      </w:r>
      <w:r>
        <w:rPr>
          <w:rFonts w:ascii="宋体" w:hAnsi="宋体" w:eastAsia="宋体" w:cs="宋体"/>
          <w:spacing w:val="6"/>
          <w:sz w:val="31"/>
          <w:szCs w:val="31"/>
        </w:rPr>
        <w:t>；文化产业增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加值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2.46 </w:t>
      </w:r>
      <w:r>
        <w:rPr>
          <w:rFonts w:ascii="宋体" w:hAnsi="宋体" w:eastAsia="宋体" w:cs="宋体"/>
          <w:spacing w:val="8"/>
          <w:sz w:val="31"/>
          <w:szCs w:val="31"/>
        </w:rPr>
        <w:t>亿元，下降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22.4%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；高技术产业增</w:t>
      </w:r>
      <w:r>
        <w:rPr>
          <w:rFonts w:ascii="宋体" w:hAnsi="宋体" w:eastAsia="宋体" w:cs="宋体"/>
          <w:spacing w:val="7"/>
          <w:sz w:val="31"/>
          <w:szCs w:val="31"/>
        </w:rPr>
        <w:t>加值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2.97 </w:t>
      </w:r>
      <w:r>
        <w:rPr>
          <w:rFonts w:ascii="宋体" w:hAnsi="宋体" w:eastAsia="宋体" w:cs="宋体"/>
          <w:spacing w:val="7"/>
          <w:sz w:val="31"/>
          <w:szCs w:val="31"/>
        </w:rPr>
        <w:t>亿元，下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50.1%</w:t>
      </w:r>
      <w:r>
        <w:rPr>
          <w:rFonts w:ascii="宋体" w:hAnsi="宋体" w:eastAsia="宋体" w:cs="宋体"/>
          <w:spacing w:val="3"/>
          <w:sz w:val="31"/>
          <w:szCs w:val="31"/>
        </w:rPr>
        <w:t>；十七大传统产业增加值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18.92 </w:t>
      </w:r>
      <w:r>
        <w:rPr>
          <w:rFonts w:ascii="宋体" w:hAnsi="宋体" w:eastAsia="宋体" w:cs="宋体"/>
          <w:spacing w:val="3"/>
          <w:sz w:val="31"/>
          <w:szCs w:val="31"/>
        </w:rPr>
        <w:t>亿元，增长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2.6%</w:t>
      </w:r>
      <w:r>
        <w:rPr>
          <w:rFonts w:ascii="宋体" w:hAnsi="宋体" w:eastAsia="宋体" w:cs="宋体"/>
          <w:spacing w:val="3"/>
          <w:sz w:val="31"/>
          <w:szCs w:val="31"/>
        </w:rPr>
        <w:t>；人工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智能产业增加值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5.76 </w:t>
      </w:r>
      <w:r>
        <w:rPr>
          <w:rFonts w:ascii="宋体" w:hAnsi="宋体" w:eastAsia="宋体" w:cs="宋体"/>
          <w:spacing w:val="2"/>
          <w:sz w:val="31"/>
          <w:szCs w:val="31"/>
        </w:rPr>
        <w:t>亿元，增长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32.2%</w:t>
      </w:r>
      <w:r>
        <w:rPr>
          <w:rFonts w:ascii="宋体" w:hAnsi="宋体" w:eastAsia="宋体" w:cs="宋体"/>
          <w:spacing w:val="2"/>
          <w:sz w:val="31"/>
          <w:szCs w:val="31"/>
        </w:rPr>
        <w:t>；新材料产业增加值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7.67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4.8%</w:t>
      </w:r>
      <w:r>
        <w:rPr>
          <w:rFonts w:ascii="宋体" w:hAnsi="宋体" w:eastAsia="宋体" w:cs="宋体"/>
          <w:spacing w:val="3"/>
          <w:sz w:val="31"/>
          <w:szCs w:val="31"/>
        </w:rPr>
        <w:t>；民营经济增加值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24.38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11.0%</w:t>
      </w:r>
      <w:r>
        <w:rPr>
          <w:rFonts w:ascii="宋体" w:hAnsi="宋体" w:eastAsia="宋体" w:cs="宋体"/>
          <w:spacing w:val="3"/>
          <w:sz w:val="31"/>
          <w:szCs w:val="31"/>
        </w:rPr>
        <w:t>；小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微企业增加值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10.56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16.9</w:t>
      </w:r>
      <w:r>
        <w:rPr>
          <w:rFonts w:ascii="宋体" w:hAnsi="宋体" w:eastAsia="宋体" w:cs="宋体"/>
          <w:spacing w:val="3"/>
          <w:sz w:val="31"/>
          <w:szCs w:val="31"/>
        </w:rPr>
        <w:t>；新能源增加</w:t>
      </w:r>
      <w:r>
        <w:rPr>
          <w:rFonts w:ascii="宋体" w:hAnsi="宋体" w:eastAsia="宋体" w:cs="宋体"/>
          <w:spacing w:val="2"/>
          <w:sz w:val="31"/>
          <w:szCs w:val="31"/>
        </w:rPr>
        <w:t>值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4.71 </w:t>
      </w:r>
      <w:r>
        <w:rPr>
          <w:rFonts w:ascii="宋体" w:hAnsi="宋体" w:eastAsia="宋体" w:cs="宋体"/>
          <w:spacing w:val="2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增长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14.0%</w:t>
      </w:r>
      <w:r>
        <w:rPr>
          <w:rFonts w:ascii="宋体" w:hAnsi="宋体" w:eastAsia="宋体" w:cs="宋体"/>
          <w:spacing w:val="-1"/>
          <w:sz w:val="31"/>
          <w:szCs w:val="31"/>
        </w:rPr>
        <w:t>。</w:t>
      </w:r>
    </w:p>
    <w:p w14:paraId="19041D06">
      <w:pPr>
        <w:spacing w:before="63" w:line="325" w:lineRule="auto"/>
        <w:ind w:left="1" w:right="4" w:firstLine="63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7"/>
          <w:sz w:val="31"/>
          <w:szCs w:val="31"/>
        </w:rPr>
        <w:t>年，开化县规模以上工业企业亏损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40 </w:t>
      </w:r>
      <w:r>
        <w:rPr>
          <w:rFonts w:ascii="宋体" w:hAnsi="宋体" w:eastAsia="宋体" w:cs="宋体"/>
          <w:spacing w:val="7"/>
          <w:sz w:val="31"/>
          <w:szCs w:val="31"/>
        </w:rPr>
        <w:t>家，增长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25%</w:t>
      </w:r>
      <w:r>
        <w:rPr>
          <w:rFonts w:ascii="宋体" w:hAnsi="宋体" w:eastAsia="宋体" w:cs="宋体"/>
          <w:spacing w:val="7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亏损企业亏损额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3.54 </w:t>
      </w:r>
      <w:r>
        <w:rPr>
          <w:rFonts w:ascii="宋体" w:hAnsi="宋体" w:eastAsia="宋体" w:cs="宋体"/>
          <w:spacing w:val="5"/>
          <w:sz w:val="31"/>
          <w:szCs w:val="31"/>
        </w:rPr>
        <w:t>亿元，增长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732%</w:t>
      </w:r>
      <w:r>
        <w:rPr>
          <w:rFonts w:ascii="宋体" w:hAnsi="宋体" w:eastAsia="宋体" w:cs="宋体"/>
          <w:spacing w:val="5"/>
          <w:sz w:val="31"/>
          <w:szCs w:val="31"/>
        </w:rPr>
        <w:t>；规模以上工业企业实现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营业收入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 xml:space="preserve">158.5 </w:t>
      </w:r>
      <w:r>
        <w:rPr>
          <w:rFonts w:ascii="宋体" w:hAnsi="宋体" w:eastAsia="宋体" w:cs="宋体"/>
          <w:spacing w:val="-9"/>
          <w:sz w:val="31"/>
          <w:szCs w:val="31"/>
        </w:rPr>
        <w:t>亿元，下降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20.5%</w:t>
      </w:r>
      <w:r>
        <w:rPr>
          <w:rFonts w:ascii="宋体" w:hAnsi="宋体" w:eastAsia="宋体" w:cs="宋体"/>
          <w:spacing w:val="-9"/>
          <w:sz w:val="31"/>
          <w:szCs w:val="31"/>
        </w:rPr>
        <w:t>；利润总额</w:t>
      </w:r>
      <w:r>
        <w:rPr>
          <w:rFonts w:ascii="宋体" w:hAnsi="宋体" w:eastAsia="宋体" w:cs="宋体"/>
          <w:spacing w:val="-8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 xml:space="preserve">5.4 </w:t>
      </w:r>
      <w:r>
        <w:rPr>
          <w:rFonts w:ascii="宋体" w:hAnsi="宋体" w:eastAsia="宋体" w:cs="宋体"/>
          <w:spacing w:val="-9"/>
          <w:sz w:val="31"/>
          <w:szCs w:val="31"/>
        </w:rPr>
        <w:t>亿元，下降</w:t>
      </w:r>
      <w:r>
        <w:rPr>
          <w:rFonts w:ascii="宋体" w:hAnsi="宋体" w:eastAsia="宋体" w:cs="宋体"/>
          <w:spacing w:val="-8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54.3%</w:t>
      </w:r>
      <w:r>
        <w:rPr>
          <w:rFonts w:ascii="宋体" w:hAnsi="宋体" w:eastAsia="宋体" w:cs="宋体"/>
          <w:spacing w:val="-9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利税总额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7.8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亿元，下降</w:t>
      </w:r>
      <w:r>
        <w:rPr>
          <w:rFonts w:ascii="宋体" w:hAnsi="宋体" w:eastAsia="宋体" w:cs="宋体"/>
          <w:spacing w:val="-7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47.4%</w:t>
      </w:r>
      <w:r>
        <w:rPr>
          <w:rFonts w:ascii="宋体" w:hAnsi="宋体" w:eastAsia="宋体" w:cs="宋体"/>
          <w:spacing w:val="-9"/>
          <w:sz w:val="31"/>
          <w:szCs w:val="31"/>
        </w:rPr>
        <w:t>；税金总额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 xml:space="preserve">2.47 </w:t>
      </w:r>
      <w:r>
        <w:rPr>
          <w:rFonts w:ascii="宋体" w:hAnsi="宋体" w:eastAsia="宋体" w:cs="宋体"/>
          <w:spacing w:val="-9"/>
          <w:sz w:val="31"/>
          <w:szCs w:val="31"/>
        </w:rPr>
        <w:t>亿元，下降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22.3%</w:t>
      </w:r>
      <w:r>
        <w:rPr>
          <w:rFonts w:ascii="宋体" w:hAnsi="宋体" w:eastAsia="宋体" w:cs="宋体"/>
          <w:spacing w:val="-9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应付职工薪酬</w:t>
      </w:r>
      <w:r>
        <w:rPr>
          <w:rFonts w:ascii="宋体" w:hAnsi="宋体" w:eastAsia="宋体" w:cs="宋体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8.64 </w:t>
      </w:r>
      <w:r>
        <w:rPr>
          <w:rFonts w:ascii="宋体" w:hAnsi="宋体" w:eastAsia="宋体" w:cs="宋体"/>
          <w:spacing w:val="6"/>
          <w:sz w:val="31"/>
          <w:szCs w:val="31"/>
        </w:rPr>
        <w:t>亿元，增长</w:t>
      </w:r>
      <w:r>
        <w:rPr>
          <w:rFonts w:ascii="宋体" w:hAnsi="宋体" w:eastAsia="宋体" w:cs="宋体"/>
          <w:spacing w:val="-3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13.6%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；应交增值税</w:t>
      </w:r>
      <w:r>
        <w:rPr>
          <w:rFonts w:ascii="宋体" w:hAnsi="宋体" w:eastAsia="宋体" w:cs="宋体"/>
          <w:spacing w:val="-3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1.99 </w:t>
      </w:r>
      <w:r>
        <w:rPr>
          <w:rFonts w:ascii="宋体" w:hAnsi="宋体" w:eastAsia="宋体" w:cs="宋体"/>
          <w:spacing w:val="6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下降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26.6%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791FD558">
      <w:pPr>
        <w:spacing w:before="133" w:line="322" w:lineRule="auto"/>
        <w:ind w:firstLine="63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-3"/>
          <w:sz w:val="31"/>
          <w:szCs w:val="31"/>
        </w:rPr>
        <w:t>年，开化县建筑业增加值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24.28 </w:t>
      </w:r>
      <w:r>
        <w:rPr>
          <w:rFonts w:ascii="宋体" w:hAnsi="宋体" w:eastAsia="宋体" w:cs="宋体"/>
          <w:spacing w:val="-3"/>
          <w:sz w:val="31"/>
          <w:szCs w:val="31"/>
        </w:rPr>
        <w:t>亿元，按可比价格计算，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下降</w:t>
      </w:r>
      <w:r>
        <w:rPr>
          <w:rFonts w:ascii="宋体" w:hAnsi="宋体" w:eastAsia="宋体" w:cs="宋体"/>
          <w:spacing w:val="-2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1.3%</w:t>
      </w:r>
      <w:r>
        <w:rPr>
          <w:rFonts w:ascii="Times New Roman" w:hAnsi="Times New Roman" w:eastAsia="Times New Roman" w:cs="Times New Roman"/>
          <w:spacing w:val="-3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。全县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74 </w:t>
      </w:r>
      <w:r>
        <w:rPr>
          <w:rFonts w:ascii="宋体" w:hAnsi="宋体" w:eastAsia="宋体" w:cs="宋体"/>
          <w:spacing w:val="5"/>
          <w:sz w:val="31"/>
          <w:szCs w:val="31"/>
        </w:rPr>
        <w:t>家资质以上建筑业企业总产值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76.86 </w:t>
      </w:r>
      <w:r>
        <w:rPr>
          <w:rFonts w:ascii="宋体" w:hAnsi="宋体" w:eastAsia="宋体" w:cs="宋体"/>
          <w:spacing w:val="5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增长</w:t>
      </w:r>
      <w:r>
        <w:rPr>
          <w:rFonts w:ascii="宋体" w:hAnsi="宋体" w:eastAsia="宋体" w:cs="宋体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1.1%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。从资质等级看：一、二级资质企业建筑总产值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66.01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6"/>
          <w:sz w:val="31"/>
          <w:szCs w:val="31"/>
        </w:rPr>
        <w:t>亿元，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占建筑业总产值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85.9%</w:t>
      </w:r>
      <w:r>
        <w:rPr>
          <w:rFonts w:ascii="Times New Roman" w:hAnsi="Times New Roman" w:eastAsia="Times New Roman" w:cs="Times New Roman"/>
          <w:spacing w:val="-3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，增长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6.5%</w:t>
      </w:r>
      <w:r>
        <w:rPr>
          <w:rFonts w:ascii="Times New Roman" w:hAnsi="Times New Roman" w:eastAsia="Times New Roman" w:cs="Times New Roman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；三级资质企业建筑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业总产值</w:t>
      </w:r>
      <w:r>
        <w:rPr>
          <w:rFonts w:ascii="宋体" w:hAnsi="宋体" w:eastAsia="宋体" w:cs="宋体"/>
          <w:spacing w:val="-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10.84 </w:t>
      </w:r>
      <w:r>
        <w:rPr>
          <w:rFonts w:ascii="宋体" w:hAnsi="宋体" w:eastAsia="宋体" w:cs="宋体"/>
          <w:spacing w:val="5"/>
          <w:sz w:val="31"/>
          <w:szCs w:val="31"/>
        </w:rPr>
        <w:t>亿元，下降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22.7%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。从建筑市场开放度看，在外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省完成的建筑业产值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11.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17 </w:t>
      </w:r>
      <w:r>
        <w:rPr>
          <w:rFonts w:ascii="宋体" w:hAnsi="宋体" w:eastAsia="宋体" w:cs="宋体"/>
          <w:spacing w:val="2"/>
          <w:sz w:val="31"/>
          <w:szCs w:val="31"/>
        </w:rPr>
        <w:t>亿元，下降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14.2%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1FB623C9">
      <w:pPr>
        <w:spacing w:before="113" w:line="225" w:lineRule="auto"/>
        <w:ind w:left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第三产业</w:t>
      </w:r>
    </w:p>
    <w:p w14:paraId="41D52956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21" w:type="default"/>
          <w:pgSz w:w="11906" w:h="16839"/>
          <w:pgMar w:top="1431" w:right="1388" w:bottom="1151" w:left="1597" w:header="0" w:footer="989" w:gutter="0"/>
          <w:cols w:space="720" w:num="1"/>
        </w:sectPr>
      </w:pPr>
    </w:p>
    <w:p w14:paraId="14082B8F">
      <w:pPr>
        <w:pStyle w:val="2"/>
        <w:spacing w:line="346" w:lineRule="auto"/>
      </w:pPr>
    </w:p>
    <w:p w14:paraId="494C681D">
      <w:pPr>
        <w:pStyle w:val="2"/>
        <w:spacing w:line="347" w:lineRule="auto"/>
      </w:pPr>
    </w:p>
    <w:p w14:paraId="27A11A90">
      <w:pPr>
        <w:spacing w:before="100" w:line="325" w:lineRule="auto"/>
        <w:ind w:left="4" w:right="137" w:firstLine="63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6"/>
          <w:sz w:val="31"/>
          <w:szCs w:val="31"/>
        </w:rPr>
        <w:t>年，开化县房地产开发投资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14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.69 </w:t>
      </w:r>
      <w:r>
        <w:rPr>
          <w:rFonts w:ascii="宋体" w:hAnsi="宋体" w:eastAsia="宋体" w:cs="宋体"/>
          <w:spacing w:val="5"/>
          <w:sz w:val="31"/>
          <w:szCs w:val="31"/>
        </w:rPr>
        <w:t>亿元，下降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24.6%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其中住宅投资</w:t>
      </w:r>
      <w:r>
        <w:rPr>
          <w:rFonts w:ascii="宋体" w:hAnsi="宋体" w:eastAsia="宋体" w:cs="宋体"/>
          <w:spacing w:val="-2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11.55 </w:t>
      </w:r>
      <w:r>
        <w:rPr>
          <w:rFonts w:ascii="宋体" w:hAnsi="宋体" w:eastAsia="宋体" w:cs="宋体"/>
          <w:spacing w:val="5"/>
          <w:sz w:val="31"/>
          <w:szCs w:val="31"/>
        </w:rPr>
        <w:t>亿元，下降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38.5%</w:t>
      </w:r>
      <w:r>
        <w:rPr>
          <w:rFonts w:ascii="Times New Roman" w:hAnsi="Times New Roman" w:eastAsia="Times New Roman" w:cs="Times New Roman"/>
          <w:spacing w:val="-3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。房屋施工面积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81.04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平方米，增长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62.5%</w:t>
      </w:r>
      <w:r>
        <w:rPr>
          <w:rFonts w:ascii="宋体" w:hAnsi="宋体" w:eastAsia="宋体" w:cs="宋体"/>
          <w:spacing w:val="-3"/>
          <w:sz w:val="31"/>
          <w:szCs w:val="31"/>
        </w:rPr>
        <w:t>；新开工面积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28.68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万平方米，增长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114.2%</w:t>
      </w:r>
      <w:r>
        <w:rPr>
          <w:rFonts w:ascii="宋体" w:hAnsi="宋体" w:eastAsia="宋体" w:cs="宋体"/>
          <w:spacing w:val="-4"/>
          <w:sz w:val="31"/>
          <w:szCs w:val="31"/>
        </w:rPr>
        <w:t>。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商品房销售面积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2.67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万平方米，下降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72.7%</w:t>
      </w:r>
      <w:r>
        <w:rPr>
          <w:rFonts w:ascii="Times New Roman" w:hAnsi="Times New Roman" w:eastAsia="Times New Roman" w:cs="Times New Roman"/>
          <w:spacing w:val="-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，其中住宅销售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2.5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万平方米，下降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70.5%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。商品房销售额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4.05 </w:t>
      </w:r>
      <w:r>
        <w:rPr>
          <w:rFonts w:ascii="宋体" w:hAnsi="宋体" w:eastAsia="宋体" w:cs="宋体"/>
          <w:spacing w:val="5"/>
          <w:sz w:val="31"/>
          <w:szCs w:val="31"/>
        </w:rPr>
        <w:t>亿元，下降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73.1%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其中住宅销售额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3.70 </w:t>
      </w:r>
      <w:r>
        <w:rPr>
          <w:rFonts w:ascii="宋体" w:hAnsi="宋体" w:eastAsia="宋体" w:cs="宋体"/>
          <w:spacing w:val="5"/>
          <w:sz w:val="31"/>
          <w:szCs w:val="31"/>
        </w:rPr>
        <w:t>亿元，下降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74.1%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4394F188">
      <w:pPr>
        <w:spacing w:before="85" w:line="325" w:lineRule="auto"/>
        <w:ind w:left="7" w:firstLine="63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-8"/>
          <w:sz w:val="31"/>
          <w:szCs w:val="31"/>
        </w:rPr>
        <w:t>年，开化县社会消费品零售总额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107.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 xml:space="preserve">14 </w:t>
      </w:r>
      <w:r>
        <w:rPr>
          <w:rFonts w:ascii="宋体" w:hAnsi="宋体" w:eastAsia="宋体" w:cs="宋体"/>
          <w:spacing w:val="-8"/>
          <w:sz w:val="31"/>
          <w:szCs w:val="31"/>
        </w:rPr>
        <w:t>亿元，增长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1.3%</w:t>
      </w:r>
      <w:r>
        <w:rPr>
          <w:rFonts w:ascii="宋体" w:hAnsi="宋体" w:eastAsia="宋体" w:cs="宋体"/>
          <w:spacing w:val="-8"/>
          <w:sz w:val="31"/>
          <w:szCs w:val="31"/>
        </w:rPr>
        <w:t>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其中限额以上消费品零售额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6.94 </w:t>
      </w:r>
      <w:r>
        <w:rPr>
          <w:rFonts w:ascii="宋体" w:hAnsi="宋体" w:eastAsia="宋体" w:cs="宋体"/>
          <w:spacing w:val="6"/>
          <w:sz w:val="31"/>
          <w:szCs w:val="31"/>
        </w:rPr>
        <w:t>亿元，增长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4.6%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。按消费类型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6"/>
          <w:sz w:val="31"/>
          <w:szCs w:val="31"/>
        </w:rPr>
        <w:t>分，商品零售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6.63 </w:t>
      </w:r>
      <w:r>
        <w:rPr>
          <w:rFonts w:ascii="宋体" w:hAnsi="宋体" w:eastAsia="宋体" w:cs="宋体"/>
          <w:spacing w:val="6"/>
          <w:sz w:val="31"/>
          <w:szCs w:val="31"/>
        </w:rPr>
        <w:t>亿元，增长</w:t>
      </w:r>
      <w:r>
        <w:rPr>
          <w:rFonts w:ascii="宋体" w:hAnsi="宋体" w:eastAsia="宋体" w:cs="宋体"/>
          <w:spacing w:val="-3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10.3%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；餐饮收入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1.26 </w:t>
      </w:r>
      <w:r>
        <w:rPr>
          <w:rFonts w:ascii="宋体" w:hAnsi="宋体" w:eastAsia="宋体" w:cs="宋体"/>
          <w:spacing w:val="5"/>
          <w:sz w:val="31"/>
          <w:szCs w:val="31"/>
        </w:rPr>
        <w:t>亿元，增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4"/>
          <w:sz w:val="31"/>
          <w:szCs w:val="31"/>
        </w:rPr>
        <w:t>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12.9%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。主要商品类别中，服装、鞋帽、针纺织品类，粮油食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"/>
          <w:sz w:val="31"/>
          <w:szCs w:val="31"/>
        </w:rPr>
        <w:t>品类，</w:t>
      </w:r>
      <w:r>
        <w:rPr>
          <w:rFonts w:ascii="宋体" w:hAnsi="宋体" w:eastAsia="宋体" w:cs="宋体"/>
          <w:spacing w:val="-7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日用品类商品零售额分别增长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71.6%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11.7%</w:t>
      </w:r>
      <w:r>
        <w:rPr>
          <w:rFonts w:ascii="宋体" w:hAnsi="宋体" w:eastAsia="宋体" w:cs="宋体"/>
          <w:spacing w:val="1"/>
          <w:sz w:val="31"/>
          <w:szCs w:val="31"/>
        </w:rPr>
        <w:t>和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5.3%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。限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6"/>
          <w:sz w:val="31"/>
          <w:szCs w:val="31"/>
        </w:rPr>
        <w:t>上批零业通过公共网络实现零售额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1.95 </w:t>
      </w:r>
      <w:r>
        <w:rPr>
          <w:rFonts w:ascii="宋体" w:hAnsi="宋体" w:eastAsia="宋体" w:cs="宋体"/>
          <w:spacing w:val="6"/>
          <w:sz w:val="31"/>
          <w:szCs w:val="31"/>
        </w:rPr>
        <w:t>亿元</w:t>
      </w:r>
      <w:r>
        <w:rPr>
          <w:rFonts w:ascii="宋体" w:hAnsi="宋体" w:eastAsia="宋体" w:cs="宋体"/>
          <w:spacing w:val="5"/>
          <w:sz w:val="31"/>
          <w:szCs w:val="31"/>
        </w:rPr>
        <w:t>，增长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67.0%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29C57030">
      <w:pPr>
        <w:spacing w:before="75" w:line="328" w:lineRule="auto"/>
        <w:ind w:right="137" w:firstLine="64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-4"/>
          <w:sz w:val="31"/>
          <w:szCs w:val="31"/>
        </w:rPr>
        <w:t>年，开化县货物贸易进出口总额</w:t>
      </w:r>
      <w:r>
        <w:rPr>
          <w:rFonts w:ascii="宋体" w:hAnsi="宋体" w:eastAsia="宋体" w:cs="宋体"/>
          <w:spacing w:val="-8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26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.24 </w:t>
      </w:r>
      <w:r>
        <w:rPr>
          <w:rFonts w:ascii="宋体" w:hAnsi="宋体" w:eastAsia="宋体" w:cs="宋体"/>
          <w:spacing w:val="-5"/>
          <w:sz w:val="31"/>
          <w:szCs w:val="31"/>
        </w:rPr>
        <w:t>亿元，增长</w:t>
      </w:r>
      <w:r>
        <w:rPr>
          <w:rFonts w:ascii="宋体" w:hAnsi="宋体" w:eastAsia="宋体" w:cs="宋体"/>
          <w:spacing w:val="-8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4.3%</w:t>
      </w:r>
      <w:r>
        <w:rPr>
          <w:rFonts w:ascii="宋体" w:hAnsi="宋体" w:eastAsia="宋体" w:cs="宋体"/>
          <w:spacing w:val="-5"/>
          <w:sz w:val="31"/>
          <w:szCs w:val="31"/>
        </w:rPr>
        <w:t>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其中，出口额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21.86 </w:t>
      </w:r>
      <w:r>
        <w:rPr>
          <w:rFonts w:ascii="宋体" w:hAnsi="宋体" w:eastAsia="宋体" w:cs="宋体"/>
          <w:spacing w:val="8"/>
          <w:sz w:val="31"/>
          <w:szCs w:val="31"/>
        </w:rPr>
        <w:t>亿元，增长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4.9%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；进口额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4.38 </w:t>
      </w:r>
      <w:r>
        <w:rPr>
          <w:rFonts w:ascii="宋体" w:hAnsi="宋体" w:eastAsia="宋体" w:cs="宋体"/>
          <w:spacing w:val="8"/>
          <w:sz w:val="31"/>
          <w:szCs w:val="31"/>
        </w:rPr>
        <w:t>亿元，增长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1.6%</w:t>
      </w:r>
      <w:r>
        <w:rPr>
          <w:rFonts w:ascii="宋体" w:hAnsi="宋体" w:eastAsia="宋体" w:cs="宋体"/>
          <w:spacing w:val="4"/>
          <w:sz w:val="31"/>
          <w:szCs w:val="31"/>
        </w:rPr>
        <w:t>。有出口实绩企业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74 </w:t>
      </w:r>
      <w:r>
        <w:rPr>
          <w:rFonts w:ascii="宋体" w:hAnsi="宋体" w:eastAsia="宋体" w:cs="宋体"/>
          <w:spacing w:val="4"/>
          <w:sz w:val="31"/>
          <w:szCs w:val="31"/>
        </w:rPr>
        <w:t>家，出口额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100 </w:t>
      </w:r>
      <w:r>
        <w:rPr>
          <w:rFonts w:ascii="宋体" w:hAnsi="宋体" w:eastAsia="宋体" w:cs="宋体"/>
          <w:spacing w:val="4"/>
          <w:sz w:val="31"/>
          <w:szCs w:val="31"/>
        </w:rPr>
        <w:t>万美元以上的企业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1"/>
          <w:sz w:val="31"/>
          <w:szCs w:val="31"/>
        </w:rPr>
        <w:t>家，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1000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万美元以上的企业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11"/>
          <w:sz w:val="31"/>
          <w:szCs w:val="31"/>
        </w:rPr>
        <w:t>家。亚洲、欧洲、北美洲为开化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9"/>
          <w:sz w:val="31"/>
          <w:szCs w:val="31"/>
        </w:rPr>
        <w:t>年出口排名前三位的市场，其中，对亚洲出口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8.39 </w:t>
      </w:r>
      <w:r>
        <w:rPr>
          <w:rFonts w:ascii="宋体" w:hAnsi="宋体" w:eastAsia="宋体" w:cs="宋体"/>
          <w:spacing w:val="9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增长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6.9%</w:t>
      </w:r>
      <w:r>
        <w:rPr>
          <w:rFonts w:ascii="Times New Roman" w:hAnsi="Times New Roman" w:eastAsia="Times New Roman" w:cs="Times New Roman"/>
          <w:spacing w:val="-2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；对欧洲出口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6.83</w:t>
      </w:r>
      <w:r>
        <w:rPr>
          <w:rFonts w:ascii="Times New Roman" w:hAnsi="Times New Roman" w:eastAsia="Times New Roman" w:cs="Times New Roman"/>
          <w:spacing w:val="26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亿元，增长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2.6%</w:t>
      </w:r>
      <w:r>
        <w:rPr>
          <w:rFonts w:ascii="Times New Roman" w:hAnsi="Times New Roman" w:eastAsia="Times New Roman" w:cs="Times New Roman"/>
          <w:spacing w:val="-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；对北美洲出口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3.05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亿元，增长</w:t>
      </w:r>
      <w:r>
        <w:rPr>
          <w:rFonts w:ascii="宋体" w:hAnsi="宋体" w:eastAsia="宋体" w:cs="宋体"/>
          <w:spacing w:val="-2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10.4%</w:t>
      </w:r>
      <w:r>
        <w:rPr>
          <w:rFonts w:ascii="Times New Roman" w:hAnsi="Times New Roman" w:eastAsia="Times New Roman" w:cs="Times New Roman"/>
          <w:spacing w:val="-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。在主要商品出口中</w:t>
      </w:r>
      <w:r>
        <w:rPr>
          <w:rFonts w:ascii="宋体" w:hAnsi="宋体" w:eastAsia="宋体" w:cs="宋体"/>
          <w:spacing w:val="10"/>
          <w:sz w:val="31"/>
          <w:szCs w:val="31"/>
        </w:rPr>
        <w:t>：木糖醇出口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5.75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2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13.9%</w:t>
      </w:r>
      <w:r>
        <w:rPr>
          <w:rFonts w:ascii="宋体" w:hAnsi="宋体" w:eastAsia="宋体" w:cs="宋体"/>
          <w:spacing w:val="3"/>
          <w:sz w:val="31"/>
          <w:szCs w:val="31"/>
        </w:rPr>
        <w:t>；金属硅粉出口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0.86 </w:t>
      </w:r>
      <w:r>
        <w:rPr>
          <w:rFonts w:ascii="宋体" w:hAnsi="宋体" w:eastAsia="宋体" w:cs="宋体"/>
          <w:spacing w:val="3"/>
          <w:sz w:val="31"/>
          <w:szCs w:val="31"/>
        </w:rPr>
        <w:t>亿元，下降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48.3%</w:t>
      </w:r>
      <w:r>
        <w:rPr>
          <w:rFonts w:ascii="宋体" w:hAnsi="宋体" w:eastAsia="宋体" w:cs="宋体"/>
          <w:spacing w:val="3"/>
          <w:sz w:val="31"/>
          <w:szCs w:val="31"/>
        </w:rPr>
        <w:t>；山梨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2"/>
          <w:sz w:val="31"/>
          <w:szCs w:val="31"/>
        </w:rPr>
        <w:t>醇出口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3.4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2"/>
          <w:sz w:val="31"/>
          <w:szCs w:val="31"/>
        </w:rPr>
        <w:t>亿元，增长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113.4%</w:t>
      </w:r>
      <w:r>
        <w:rPr>
          <w:rFonts w:ascii="宋体" w:hAnsi="宋体" w:eastAsia="宋体" w:cs="宋体"/>
          <w:spacing w:val="-12"/>
          <w:sz w:val="31"/>
          <w:szCs w:val="31"/>
        </w:rPr>
        <w:t>；绿茶出口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1.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16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2"/>
          <w:sz w:val="31"/>
          <w:szCs w:val="31"/>
        </w:rPr>
        <w:t>亿元，增长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124</w:t>
      </w:r>
      <w:r>
        <w:rPr>
          <w:rFonts w:ascii="Times New Roman" w:hAnsi="Times New Roman" w:eastAsia="Times New Roman" w:cs="Times New Roman"/>
          <w:spacing w:val="-13"/>
          <w:sz w:val="31"/>
          <w:szCs w:val="31"/>
        </w:rPr>
        <w:t>.8%</w:t>
      </w:r>
      <w:r>
        <w:rPr>
          <w:rFonts w:ascii="宋体" w:hAnsi="宋体" w:eastAsia="宋体" w:cs="宋体"/>
          <w:spacing w:val="-13"/>
          <w:sz w:val="31"/>
          <w:szCs w:val="31"/>
        </w:rPr>
        <w:t>。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全年合同利用外资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272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万美元，实际利用外资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2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万美元。</w:t>
      </w:r>
    </w:p>
    <w:p w14:paraId="377EE375">
      <w:pPr>
        <w:spacing w:line="328" w:lineRule="auto"/>
        <w:rPr>
          <w:rFonts w:ascii="宋体" w:hAnsi="宋体" w:eastAsia="宋体" w:cs="宋体"/>
          <w:sz w:val="31"/>
          <w:szCs w:val="31"/>
        </w:rPr>
        <w:sectPr>
          <w:footerReference r:id="rId22" w:type="default"/>
          <w:pgSz w:w="11906" w:h="16839"/>
          <w:pgMar w:top="1431" w:right="1227" w:bottom="1151" w:left="1593" w:header="0" w:footer="989" w:gutter="0"/>
          <w:cols w:space="720" w:num="1"/>
        </w:sectPr>
      </w:pPr>
    </w:p>
    <w:p w14:paraId="3F8673A1">
      <w:pPr>
        <w:pStyle w:val="2"/>
        <w:spacing w:line="245" w:lineRule="auto"/>
      </w:pPr>
    </w:p>
    <w:p w14:paraId="29FA40FD">
      <w:pPr>
        <w:pStyle w:val="2"/>
        <w:spacing w:line="245" w:lineRule="auto"/>
      </w:pPr>
    </w:p>
    <w:p w14:paraId="535BB755">
      <w:pPr>
        <w:pStyle w:val="2"/>
        <w:spacing w:line="246" w:lineRule="auto"/>
      </w:pPr>
    </w:p>
    <w:p w14:paraId="6C355703">
      <w:pPr>
        <w:spacing w:before="101" w:line="321" w:lineRule="auto"/>
        <w:ind w:left="3" w:firstLine="63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2"/>
          <w:sz w:val="31"/>
          <w:szCs w:val="31"/>
        </w:rPr>
        <w:t>年，开化县交通运输、仓储和邮</w:t>
      </w:r>
      <w:r>
        <w:rPr>
          <w:rFonts w:ascii="宋体" w:hAnsi="宋体" w:eastAsia="宋体" w:cs="宋体"/>
          <w:spacing w:val="1"/>
          <w:sz w:val="31"/>
          <w:szCs w:val="31"/>
        </w:rPr>
        <w:t>政业增加值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7.44 </w:t>
      </w:r>
      <w:r>
        <w:rPr>
          <w:rFonts w:ascii="宋体" w:hAnsi="宋体" w:eastAsia="宋体" w:cs="宋体"/>
          <w:spacing w:val="1"/>
          <w:sz w:val="31"/>
          <w:szCs w:val="31"/>
        </w:rPr>
        <w:t>亿元，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按可比价格计算，增长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3.0%</w:t>
      </w:r>
      <w:r>
        <w:rPr>
          <w:rFonts w:ascii="宋体" w:hAnsi="宋体" w:eastAsia="宋体" w:cs="宋体"/>
          <w:spacing w:val="6"/>
          <w:sz w:val="31"/>
          <w:szCs w:val="31"/>
        </w:rPr>
        <w:t>。</w:t>
      </w:r>
    </w:p>
    <w:p w14:paraId="3C667C86">
      <w:pPr>
        <w:spacing w:before="39" w:line="321" w:lineRule="auto"/>
        <w:ind w:right="87" w:firstLine="63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11"/>
          <w:sz w:val="31"/>
          <w:szCs w:val="31"/>
        </w:rPr>
        <w:t>年，开化县旅游接待人次达到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280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万人次，旅游总收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入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40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亿元。</w:t>
      </w:r>
    </w:p>
    <w:p w14:paraId="523B5E85">
      <w:pPr>
        <w:spacing w:before="46" w:line="322" w:lineRule="auto"/>
        <w:ind w:firstLine="636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-4"/>
          <w:sz w:val="31"/>
          <w:szCs w:val="31"/>
        </w:rPr>
        <w:t>年，开化县金融业增加值</w:t>
      </w:r>
      <w:r>
        <w:rPr>
          <w:rFonts w:ascii="宋体" w:hAnsi="宋体" w:eastAsia="宋体" w:cs="宋体"/>
          <w:spacing w:val="-3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12.06 </w:t>
      </w:r>
      <w:r>
        <w:rPr>
          <w:rFonts w:ascii="宋体" w:hAnsi="宋体" w:eastAsia="宋体" w:cs="宋体"/>
          <w:spacing w:val="-4"/>
          <w:sz w:val="31"/>
          <w:szCs w:val="31"/>
        </w:rPr>
        <w:t>亿元，按可比价格计算，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增长</w:t>
      </w:r>
      <w:r>
        <w:rPr>
          <w:rFonts w:ascii="宋体" w:hAnsi="宋体" w:eastAsia="宋体" w:cs="宋体"/>
          <w:spacing w:val="-3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10.6%</w:t>
      </w:r>
      <w:r>
        <w:rPr>
          <w:rFonts w:ascii="宋体" w:hAnsi="宋体" w:eastAsia="宋体" w:cs="宋体"/>
          <w:spacing w:val="1"/>
          <w:sz w:val="31"/>
          <w:szCs w:val="31"/>
        </w:rPr>
        <w:t>。本外币存贷款余额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763.29 </w:t>
      </w:r>
      <w:r>
        <w:rPr>
          <w:rFonts w:ascii="宋体" w:hAnsi="宋体" w:eastAsia="宋体" w:cs="宋体"/>
          <w:spacing w:val="1"/>
          <w:sz w:val="31"/>
          <w:szCs w:val="31"/>
        </w:rPr>
        <w:t>亿元，增长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15.2%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，其中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存款余额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374.65 </w:t>
      </w:r>
      <w:r>
        <w:rPr>
          <w:rFonts w:ascii="宋体" w:hAnsi="宋体" w:eastAsia="宋体" w:cs="宋体"/>
          <w:spacing w:val="5"/>
          <w:sz w:val="31"/>
          <w:szCs w:val="31"/>
        </w:rPr>
        <w:t>亿元，增长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13%</w:t>
      </w:r>
      <w:r>
        <w:rPr>
          <w:rFonts w:ascii="宋体" w:hAnsi="宋体" w:eastAsia="宋体" w:cs="宋体"/>
          <w:spacing w:val="5"/>
          <w:sz w:val="31"/>
          <w:szCs w:val="31"/>
        </w:rPr>
        <w:t>；贷款余额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388.63 </w:t>
      </w:r>
      <w:r>
        <w:rPr>
          <w:rFonts w:ascii="宋体" w:hAnsi="宋体" w:eastAsia="宋体" w:cs="宋体"/>
          <w:spacing w:val="5"/>
          <w:sz w:val="31"/>
          <w:szCs w:val="31"/>
        </w:rPr>
        <w:t>亿元，增长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17.3%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264F113D">
      <w:pPr>
        <w:spacing w:line="322" w:lineRule="auto"/>
        <w:rPr>
          <w:rFonts w:ascii="宋体" w:hAnsi="宋体" w:eastAsia="宋体" w:cs="宋体"/>
          <w:sz w:val="31"/>
          <w:szCs w:val="31"/>
        </w:rPr>
        <w:sectPr>
          <w:footerReference r:id="rId23" w:type="default"/>
          <w:pgSz w:w="11906" w:h="16839"/>
          <w:pgMar w:top="1431" w:right="1388" w:bottom="1151" w:left="1597" w:header="0" w:footer="989" w:gutter="0"/>
          <w:cols w:space="720" w:num="1"/>
        </w:sectPr>
      </w:pPr>
    </w:p>
    <w:p w14:paraId="655279BF">
      <w:pPr>
        <w:pStyle w:val="2"/>
        <w:spacing w:line="272" w:lineRule="auto"/>
      </w:pPr>
    </w:p>
    <w:p w14:paraId="3AFCF05F">
      <w:pPr>
        <w:pStyle w:val="2"/>
        <w:spacing w:line="272" w:lineRule="auto"/>
      </w:pPr>
    </w:p>
    <w:p w14:paraId="1461E834">
      <w:pPr>
        <w:pStyle w:val="2"/>
        <w:spacing w:line="272" w:lineRule="auto"/>
      </w:pPr>
    </w:p>
    <w:p w14:paraId="3CE0426C">
      <w:pPr>
        <w:spacing w:before="101" w:line="225" w:lineRule="auto"/>
        <w:ind w:left="647"/>
        <w:outlineLvl w:val="0"/>
        <w:rPr>
          <w:rFonts w:ascii="宋体" w:hAnsi="宋体" w:eastAsia="宋体" w:cs="宋体"/>
          <w:sz w:val="31"/>
          <w:szCs w:val="31"/>
        </w:rPr>
      </w:pPr>
      <w:bookmarkStart w:id="74" w:name="bookmark29"/>
      <w:bookmarkEnd w:id="74"/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8"/>
          <w:sz w:val="31"/>
          <w:szCs w:val="31"/>
        </w:rPr>
        <w:t>开化县中心城区城市规划分析</w:t>
      </w:r>
    </w:p>
    <w:p w14:paraId="6023020B">
      <w:pPr>
        <w:spacing w:before="280" w:line="225" w:lineRule="auto"/>
        <w:ind w:left="639"/>
        <w:outlineLvl w:val="1"/>
        <w:rPr>
          <w:rFonts w:ascii="宋体" w:hAnsi="宋体" w:eastAsia="宋体" w:cs="宋体"/>
          <w:sz w:val="31"/>
          <w:szCs w:val="31"/>
        </w:rPr>
      </w:pPr>
      <w:bookmarkStart w:id="75" w:name="bookmark32"/>
      <w:bookmarkEnd w:id="75"/>
      <w:bookmarkStart w:id="76" w:name="bookmark31"/>
      <w:bookmarkEnd w:id="76"/>
      <w:bookmarkStart w:id="77" w:name="bookmark30"/>
      <w:bookmarkEnd w:id="7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3.1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空间结构与用地布局</w:t>
      </w:r>
    </w:p>
    <w:p w14:paraId="123F9EFA">
      <w:pPr>
        <w:spacing w:before="282" w:line="226" w:lineRule="auto"/>
        <w:ind w:left="647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3.1.1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2"/>
          <w:sz w:val="31"/>
          <w:szCs w:val="31"/>
        </w:rPr>
        <w:t>空间结构</w:t>
      </w:r>
    </w:p>
    <w:p w14:paraId="41C5FD12">
      <w:pPr>
        <w:spacing w:before="200" w:line="225" w:lineRule="auto"/>
        <w:ind w:left="6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规划中心城区空间结构为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宋体" w:hAnsi="宋体" w:eastAsia="宋体" w:cs="宋体"/>
          <w:spacing w:val="8"/>
          <w:sz w:val="31"/>
          <w:szCs w:val="31"/>
        </w:rPr>
        <w:t>一轴三组团七单元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宋体" w:hAnsi="宋体" w:eastAsia="宋体" w:cs="宋体"/>
          <w:spacing w:val="8"/>
          <w:sz w:val="31"/>
          <w:szCs w:val="31"/>
        </w:rPr>
        <w:t>。</w:t>
      </w:r>
    </w:p>
    <w:p w14:paraId="0CF7376B">
      <w:pPr>
        <w:spacing w:before="183" w:line="318" w:lineRule="auto"/>
        <w:ind w:left="4" w:right="272" w:firstLine="57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宋体" w:hAnsi="宋体" w:eastAsia="宋体" w:cs="宋体"/>
          <w:spacing w:val="9"/>
          <w:sz w:val="31"/>
          <w:szCs w:val="31"/>
        </w:rPr>
        <w:t>一轴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为马金溪黄金水岸发展轴，也是生</w:t>
      </w:r>
      <w:r>
        <w:rPr>
          <w:rFonts w:ascii="宋体" w:hAnsi="宋体" w:eastAsia="宋体" w:cs="宋体"/>
          <w:spacing w:val="8"/>
          <w:sz w:val="31"/>
          <w:szCs w:val="31"/>
        </w:rPr>
        <w:t>态休闲轴和景观风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貌轴。</w:t>
      </w:r>
    </w:p>
    <w:p w14:paraId="3AAEAE7C">
      <w:pPr>
        <w:spacing w:before="49" w:line="328" w:lineRule="auto"/>
        <w:ind w:left="4" w:right="229" w:firstLine="571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宋体" w:hAnsi="宋体" w:eastAsia="宋体" w:cs="宋体"/>
          <w:spacing w:val="9"/>
          <w:sz w:val="31"/>
          <w:szCs w:val="31"/>
        </w:rPr>
        <w:t>三组团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分别为芹阳组团、朝阳组团、华</w:t>
      </w:r>
      <w:r>
        <w:rPr>
          <w:rFonts w:ascii="宋体" w:hAnsi="宋体" w:eastAsia="宋体" w:cs="宋体"/>
          <w:spacing w:val="8"/>
          <w:sz w:val="31"/>
          <w:szCs w:val="31"/>
        </w:rPr>
        <w:t>阳组团。芹阳组团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打造中心城区综合服务中心，承载创新文旅和品质宜居等</w:t>
      </w:r>
      <w:r>
        <w:rPr>
          <w:rFonts w:ascii="宋体" w:hAnsi="宋体" w:eastAsia="宋体" w:cs="宋体"/>
          <w:spacing w:val="6"/>
          <w:sz w:val="31"/>
          <w:szCs w:val="31"/>
        </w:rPr>
        <w:t>功能；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朝阳组团打造高能级产城融合共富区，承载大健康和绿色智造等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功能，发展卡游动漫衍生旅游产品；华阳组团打造商贸产</w:t>
      </w:r>
      <w:r>
        <w:rPr>
          <w:rFonts w:ascii="宋体" w:hAnsi="宋体" w:eastAsia="宋体" w:cs="宋体"/>
          <w:spacing w:val="6"/>
          <w:sz w:val="31"/>
          <w:szCs w:val="31"/>
        </w:rPr>
        <w:t>业城，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承载商贸物流、现代工业等功能。</w:t>
      </w:r>
    </w:p>
    <w:p w14:paraId="539B9E99">
      <w:pPr>
        <w:spacing w:before="50" w:line="324" w:lineRule="auto"/>
        <w:ind w:left="8" w:right="269" w:firstLine="567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宋体" w:hAnsi="宋体" w:eastAsia="宋体" w:cs="宋体"/>
          <w:spacing w:val="9"/>
          <w:sz w:val="31"/>
          <w:szCs w:val="31"/>
        </w:rPr>
        <w:t>七单元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分别为老城文旅单元、城市客厅</w:t>
      </w:r>
      <w:r>
        <w:rPr>
          <w:rFonts w:ascii="宋体" w:hAnsi="宋体" w:eastAsia="宋体" w:cs="宋体"/>
          <w:spacing w:val="8"/>
          <w:sz w:val="31"/>
          <w:szCs w:val="31"/>
        </w:rPr>
        <w:t>单元、青联科创单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元、朝阳健康单元、金星环教单元、高铁门户单元和杨村工业单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元。</w:t>
      </w:r>
    </w:p>
    <w:p w14:paraId="606B53FC">
      <w:pPr>
        <w:spacing w:before="126" w:line="225" w:lineRule="auto"/>
        <w:ind w:left="647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3.1.2  </w:t>
      </w:r>
      <w:r>
        <w:rPr>
          <w:rFonts w:ascii="宋体" w:hAnsi="宋体" w:eastAsia="宋体" w:cs="宋体"/>
          <w:spacing w:val="4"/>
          <w:sz w:val="31"/>
          <w:szCs w:val="31"/>
        </w:rPr>
        <w:t>用地布局</w:t>
      </w:r>
    </w:p>
    <w:p w14:paraId="31C00284">
      <w:pPr>
        <w:spacing w:before="202" w:line="226" w:lineRule="auto"/>
        <w:ind w:left="6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一、居住用地</w:t>
      </w:r>
    </w:p>
    <w:p w14:paraId="58764980">
      <w:pPr>
        <w:spacing w:before="183" w:line="323" w:lineRule="auto"/>
        <w:ind w:firstLine="6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基于城镇社区和生活圈构建要求，优化居住用地组团化布局。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6"/>
          <w:sz w:val="31"/>
          <w:szCs w:val="31"/>
        </w:rPr>
        <w:t>规划居住用地面积</w:t>
      </w:r>
      <w:r>
        <w:rPr>
          <w:rFonts w:ascii="宋体" w:hAnsi="宋体" w:eastAsia="宋体" w:cs="宋体"/>
          <w:spacing w:val="-2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>653.21</w:t>
      </w:r>
      <w:r>
        <w:rPr>
          <w:rFonts w:ascii="Times New Roman" w:hAnsi="Times New Roman" w:eastAsia="Times New Roman" w:cs="Times New Roman"/>
          <w:spacing w:val="5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6"/>
          <w:sz w:val="31"/>
          <w:szCs w:val="31"/>
        </w:rPr>
        <w:t>公顷</w:t>
      </w:r>
      <w:r>
        <w:rPr>
          <w:rFonts w:ascii="宋体" w:hAnsi="宋体" w:eastAsia="宋体" w:cs="宋体"/>
          <w:spacing w:val="-8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6"/>
          <w:sz w:val="31"/>
          <w:szCs w:val="31"/>
        </w:rPr>
        <w:t>，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6"/>
          <w:sz w:val="31"/>
          <w:szCs w:val="31"/>
        </w:rPr>
        <w:t>占城镇建设用地</w:t>
      </w:r>
      <w:r>
        <w:rPr>
          <w:rFonts w:ascii="宋体" w:hAnsi="宋体" w:eastAsia="宋体" w:cs="宋体"/>
          <w:spacing w:val="25"/>
          <w:sz w:val="31"/>
          <w:szCs w:val="31"/>
        </w:rPr>
        <w:t>的比重约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22.65%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。引导岙滩、金丰、高铁新城等片区布</w:t>
      </w:r>
      <w:r>
        <w:rPr>
          <w:rFonts w:ascii="宋体" w:hAnsi="宋体" w:eastAsia="宋体" w:cs="宋体"/>
          <w:spacing w:val="2"/>
          <w:sz w:val="31"/>
          <w:szCs w:val="31"/>
        </w:rPr>
        <w:t>局居住用地；推动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开化老城区实施老旧小区改造和城市有机更新；推进上茨、青联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 和朝阳片区职住平衡和政策性住房供给。</w:t>
      </w:r>
    </w:p>
    <w:p w14:paraId="2882745B">
      <w:pPr>
        <w:spacing w:before="86" w:line="225" w:lineRule="auto"/>
        <w:ind w:left="6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二、公共管理与公共服务用地</w:t>
      </w:r>
    </w:p>
    <w:p w14:paraId="7860CE68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24" w:type="default"/>
          <w:pgSz w:w="11906" w:h="16839"/>
          <w:pgMar w:top="1431" w:right="1203" w:bottom="1151" w:left="1593" w:header="0" w:footer="989" w:gutter="0"/>
          <w:cols w:space="720" w:num="1"/>
        </w:sectPr>
      </w:pPr>
    </w:p>
    <w:p w14:paraId="1181A2EB">
      <w:pPr>
        <w:pStyle w:val="2"/>
        <w:spacing w:line="247" w:lineRule="auto"/>
      </w:pPr>
    </w:p>
    <w:p w14:paraId="23B96833">
      <w:pPr>
        <w:pStyle w:val="2"/>
        <w:spacing w:line="247" w:lineRule="auto"/>
      </w:pPr>
    </w:p>
    <w:p w14:paraId="064088A6">
      <w:pPr>
        <w:pStyle w:val="2"/>
        <w:spacing w:line="247" w:lineRule="auto"/>
      </w:pPr>
    </w:p>
    <w:p w14:paraId="4C5C37FD">
      <w:pPr>
        <w:spacing w:before="101" w:line="327" w:lineRule="auto"/>
        <w:ind w:right="99" w:firstLine="64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落实公共服务设施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补短板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行动，优化公共管理与公共服务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用地布局。规划公共管理与公共服务用地面积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215.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30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公顷，</w:t>
      </w:r>
      <w:r>
        <w:rPr>
          <w:rFonts w:ascii="宋体" w:hAnsi="宋体" w:eastAsia="宋体" w:cs="宋体"/>
          <w:spacing w:val="-7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占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城镇建设用地的比重约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7.48%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。优先保障基础教育、医疗卫生、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养老、公共文化等公共设施用地，对不符合相关要求或建设标准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过低的公共设施进行更新；加强岙滩、金丰和老城等片区多种公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共服务设施复合利用；推动朝阳片区职教功能、文体功能和产业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功能深度融合。</w:t>
      </w:r>
    </w:p>
    <w:p w14:paraId="58904DBE">
      <w:pPr>
        <w:spacing w:before="71" w:line="225" w:lineRule="auto"/>
        <w:ind w:left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三、商业服务业用地</w:t>
      </w:r>
    </w:p>
    <w:p w14:paraId="28B1F33E">
      <w:pPr>
        <w:spacing w:before="176" w:line="324" w:lineRule="auto"/>
        <w:ind w:right="111"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有序引导城市商业网点建设和提升，优化商业服务业用</w:t>
      </w:r>
      <w:r>
        <w:rPr>
          <w:rFonts w:ascii="宋体" w:hAnsi="宋体" w:eastAsia="宋体" w:cs="宋体"/>
          <w:spacing w:val="4"/>
          <w:sz w:val="31"/>
          <w:szCs w:val="31"/>
        </w:rPr>
        <w:t>地布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局。规划商业服务业用地面积</w:t>
      </w:r>
      <w:r>
        <w:rPr>
          <w:rFonts w:ascii="宋体" w:hAnsi="宋体" w:eastAsia="宋体" w:cs="宋体"/>
          <w:spacing w:val="-4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355.04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公顷，</w:t>
      </w:r>
      <w:r>
        <w:rPr>
          <w:rFonts w:ascii="宋体" w:hAnsi="宋体" w:eastAsia="宋体" w:cs="宋体"/>
          <w:spacing w:val="-7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占城镇建设用地的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比重约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12.31%</w:t>
      </w:r>
      <w:r>
        <w:rPr>
          <w:rFonts w:ascii="Times New Roman" w:hAnsi="Times New Roman" w:eastAsia="Times New Roman" w:cs="Times New Roman"/>
          <w:spacing w:val="-3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。规划形成城市阳台县级商业中心，</w:t>
      </w:r>
      <w:r>
        <w:rPr>
          <w:rFonts w:ascii="宋体" w:hAnsi="宋体" w:eastAsia="宋体" w:cs="宋体"/>
          <w:spacing w:val="8"/>
          <w:sz w:val="31"/>
          <w:szCs w:val="31"/>
        </w:rPr>
        <w:t>西渠沿线、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荷花广场、青联科创岛、华埠老街等组团级商业中心，社区级商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业中心结合社区生活圈布置。</w:t>
      </w:r>
    </w:p>
    <w:p w14:paraId="63781F08">
      <w:pPr>
        <w:spacing w:before="85" w:line="226" w:lineRule="auto"/>
        <w:ind w:left="67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四、工业用地和仓储用地</w:t>
      </w:r>
    </w:p>
    <w:p w14:paraId="239EC0DF">
      <w:pPr>
        <w:spacing w:before="175" w:line="324" w:lineRule="auto"/>
        <w:ind w:left="1"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落实工业用地控制线管控要求，引导新增工业用地向工业用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地控制线内集聚，优化工业用地和仓储用地布局。规划工业用地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和仓储用地面积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820.85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公顷，占城镇建</w:t>
      </w:r>
      <w:r>
        <w:rPr>
          <w:rFonts w:ascii="宋体" w:hAnsi="宋体" w:eastAsia="宋体" w:cs="宋体"/>
          <w:sz w:val="31"/>
          <w:szCs w:val="31"/>
        </w:rPr>
        <w:t>设用地的比重约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28.46%</w:t>
      </w:r>
      <w:r>
        <w:rPr>
          <w:rFonts w:ascii="宋体" w:hAnsi="宋体" w:eastAsia="宋体" w:cs="宋体"/>
          <w:sz w:val="31"/>
          <w:szCs w:val="31"/>
        </w:rPr>
        <w:t xml:space="preserve">。 </w:t>
      </w:r>
      <w:r>
        <w:rPr>
          <w:rFonts w:ascii="宋体" w:hAnsi="宋体" w:eastAsia="宋体" w:cs="宋体"/>
          <w:spacing w:val="5"/>
          <w:sz w:val="31"/>
          <w:szCs w:val="31"/>
        </w:rPr>
        <w:t>推进青联产业升级，打造卡游工业综合体，优化朝阳片区产业布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局，培育智慧物流园，促进新材料新装备产业园扩</w:t>
      </w:r>
      <w:r>
        <w:rPr>
          <w:rFonts w:ascii="宋体" w:hAnsi="宋体" w:eastAsia="宋体" w:cs="宋体"/>
          <w:spacing w:val="8"/>
          <w:sz w:val="31"/>
          <w:szCs w:val="31"/>
        </w:rPr>
        <w:t>容。</w:t>
      </w:r>
    </w:p>
    <w:p w14:paraId="688EECBE">
      <w:pPr>
        <w:spacing w:before="85" w:line="225" w:lineRule="auto"/>
        <w:ind w:left="6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五、交通运输用地和公用设施用地</w:t>
      </w:r>
    </w:p>
    <w:p w14:paraId="70FFF3B9">
      <w:pPr>
        <w:spacing w:before="180" w:line="320" w:lineRule="auto"/>
        <w:ind w:left="2" w:right="111" w:firstLine="6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优化城市道路网、公共交通、停车设施等交通网络与交通场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站设施布局，适度提高路网密度，改善交通出行环境。统筹地上</w:t>
      </w:r>
    </w:p>
    <w:p w14:paraId="68C411F4">
      <w:pPr>
        <w:spacing w:line="320" w:lineRule="auto"/>
        <w:rPr>
          <w:rFonts w:ascii="宋体" w:hAnsi="宋体" w:eastAsia="宋体" w:cs="宋体"/>
          <w:sz w:val="31"/>
          <w:szCs w:val="31"/>
        </w:rPr>
        <w:sectPr>
          <w:footerReference r:id="rId25" w:type="default"/>
          <w:pgSz w:w="11906" w:h="16839"/>
          <w:pgMar w:top="1431" w:right="1364" w:bottom="1151" w:left="1597" w:header="0" w:footer="989" w:gutter="0"/>
          <w:cols w:space="720" w:num="1"/>
        </w:sectPr>
      </w:pPr>
    </w:p>
    <w:p w14:paraId="767FC98F">
      <w:pPr>
        <w:pStyle w:val="2"/>
        <w:spacing w:line="246" w:lineRule="auto"/>
      </w:pPr>
    </w:p>
    <w:p w14:paraId="0B251F52">
      <w:pPr>
        <w:pStyle w:val="2"/>
        <w:spacing w:line="246" w:lineRule="auto"/>
      </w:pPr>
    </w:p>
    <w:p w14:paraId="5F71D2AB">
      <w:pPr>
        <w:pStyle w:val="2"/>
        <w:spacing w:line="247" w:lineRule="auto"/>
      </w:pPr>
    </w:p>
    <w:p w14:paraId="58A3DA36">
      <w:pPr>
        <w:spacing w:before="101" w:line="328" w:lineRule="auto"/>
        <w:ind w:right="62" w:firstLine="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和地下、传统和新型公用设施体系布局，加强公用设施用地保障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及复合利用。规划交通运输用地和公用设施用地面积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488.96</w:t>
      </w:r>
      <w:r>
        <w:rPr>
          <w:rFonts w:ascii="Times New Roman" w:hAnsi="Times New Roman" w:eastAsia="Times New Roman" w:cs="Times New Roman"/>
          <w:spacing w:val="3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公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顷，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占城镇建设用地的比重约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16.95%</w:t>
      </w:r>
      <w:r>
        <w:rPr>
          <w:rFonts w:ascii="Times New Roman" w:hAnsi="Times New Roman" w:eastAsia="Times New Roman" w:cs="Times New Roman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。提升南北向交通联系，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规划新增城华主干道、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6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国道南段改线；预留衢黄高铁站场建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设空间，结合衢九铁路站场和客运站，打造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4"/>
          <w:sz w:val="31"/>
          <w:szCs w:val="31"/>
        </w:rPr>
        <w:t>个公铁客运枢</w:t>
      </w:r>
      <w:r>
        <w:rPr>
          <w:rFonts w:ascii="宋体" w:hAnsi="宋体" w:eastAsia="宋体" w:cs="宋体"/>
          <w:spacing w:val="3"/>
          <w:sz w:val="31"/>
          <w:szCs w:val="31"/>
        </w:rPr>
        <w:t>纽和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6"/>
          <w:sz w:val="31"/>
          <w:szCs w:val="31"/>
        </w:rPr>
        <w:t>个公路客运综合枢纽。市政通用设施主要包括</w:t>
      </w:r>
      <w:r>
        <w:rPr>
          <w:rFonts w:ascii="宋体" w:hAnsi="宋体" w:eastAsia="宋体" w:cs="宋体"/>
          <w:spacing w:val="-2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6"/>
          <w:sz w:val="31"/>
          <w:szCs w:val="31"/>
        </w:rPr>
        <w:t>个开化水厂、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9"/>
          <w:sz w:val="31"/>
          <w:szCs w:val="31"/>
        </w:rPr>
        <w:t>个污水处理厂和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9"/>
          <w:sz w:val="31"/>
          <w:szCs w:val="31"/>
        </w:rPr>
        <w:t>个工业污水预处理厂、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个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220 </w:t>
      </w:r>
      <w:r>
        <w:rPr>
          <w:rFonts w:ascii="宋体" w:hAnsi="宋体" w:eastAsia="宋体" w:cs="宋体"/>
          <w:spacing w:val="8"/>
          <w:sz w:val="31"/>
          <w:szCs w:val="31"/>
        </w:rPr>
        <w:t>千伏变电站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和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2"/>
          <w:sz w:val="31"/>
          <w:szCs w:val="31"/>
        </w:rPr>
        <w:t>个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110 </w:t>
      </w:r>
      <w:r>
        <w:rPr>
          <w:rFonts w:ascii="宋体" w:hAnsi="宋体" w:eastAsia="宋体" w:cs="宋体"/>
          <w:spacing w:val="2"/>
          <w:sz w:val="31"/>
          <w:szCs w:val="31"/>
        </w:rPr>
        <w:t>千伏变电站。</w:t>
      </w:r>
    </w:p>
    <w:p w14:paraId="506FAB4E">
      <w:pPr>
        <w:spacing w:before="69" w:line="226" w:lineRule="auto"/>
        <w:ind w:left="64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六、绿地与开敞空间用地</w:t>
      </w:r>
    </w:p>
    <w:p w14:paraId="28A6BC06">
      <w:pPr>
        <w:spacing w:before="182" w:line="319" w:lineRule="auto"/>
        <w:ind w:left="5" w:firstLine="64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弥补绿地与开敞空问短板，合理确定绿地总量和重要绿地、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广场布局。规划绿地与开敞空间用地面积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316.68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公顷：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占城镇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建设用地的比重约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10.98%</w:t>
      </w:r>
      <w:r>
        <w:rPr>
          <w:rFonts w:ascii="Times New Roman" w:hAnsi="Times New Roman" w:eastAsia="Times New Roman" w:cs="Times New Roman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。围绕马金溪两岸和</w:t>
      </w:r>
      <w:r>
        <w:rPr>
          <w:rFonts w:ascii="宋体" w:hAnsi="宋体" w:eastAsia="宋体" w:cs="宋体"/>
          <w:spacing w:val="8"/>
          <w:sz w:val="31"/>
          <w:szCs w:val="31"/>
        </w:rPr>
        <w:t>南湖布局公园绿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地；结合城镇社区建设，适当增加社区公园。</w:t>
      </w:r>
    </w:p>
    <w:p w14:paraId="7010F5CC">
      <w:pPr>
        <w:spacing w:before="96" w:line="226" w:lineRule="auto"/>
        <w:ind w:left="64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七、用地复合利用</w:t>
      </w:r>
    </w:p>
    <w:p w14:paraId="180AC5C7">
      <w:pPr>
        <w:spacing w:before="179" w:line="328" w:lineRule="auto"/>
        <w:ind w:left="5" w:right="22"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倡导用地功能复合利用，提高土地集约使用效率。</w:t>
      </w:r>
      <w:r>
        <w:rPr>
          <w:rFonts w:ascii="宋体" w:hAnsi="宋体" w:eastAsia="宋体" w:cs="宋体"/>
          <w:spacing w:val="4"/>
          <w:sz w:val="31"/>
          <w:szCs w:val="31"/>
        </w:rPr>
        <w:t>鼓励功能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用途互利、环境要求相似或相互间无不利影响的用地混</w:t>
      </w:r>
      <w:r>
        <w:rPr>
          <w:rFonts w:ascii="宋体" w:hAnsi="宋体" w:eastAsia="宋体" w:cs="宋体"/>
          <w:spacing w:val="6"/>
          <w:sz w:val="31"/>
          <w:szCs w:val="31"/>
        </w:rPr>
        <w:t>合设置，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加强城市公共中心、交通枢纽等区域用地功能复合和兼</w:t>
      </w:r>
      <w:r>
        <w:rPr>
          <w:rFonts w:ascii="宋体" w:hAnsi="宋体" w:eastAsia="宋体" w:cs="宋体"/>
          <w:spacing w:val="6"/>
          <w:sz w:val="31"/>
          <w:szCs w:val="31"/>
        </w:rPr>
        <w:t>容利用，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推进医养结合、主客共享和产居融合，形成多元互动的综合性生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活和生产空间，提升土地综合利用效率。</w:t>
      </w:r>
    </w:p>
    <w:p w14:paraId="751F8B7A">
      <w:pPr>
        <w:spacing w:before="46" w:line="319" w:lineRule="auto"/>
        <w:ind w:left="4" w:right="64"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7"/>
          <w:sz w:val="31"/>
          <w:szCs w:val="31"/>
        </w:rPr>
        <w:t>开化县县域总体格局规划图和开化县中心城区土地使用规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划图见图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3-1 </w:t>
      </w:r>
      <w:r>
        <w:rPr>
          <w:rFonts w:ascii="宋体" w:hAnsi="宋体" w:eastAsia="宋体" w:cs="宋体"/>
          <w:spacing w:val="3"/>
          <w:sz w:val="31"/>
          <w:szCs w:val="31"/>
        </w:rPr>
        <w:t>和图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3-2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00C3894D">
      <w:pPr>
        <w:spacing w:line="319" w:lineRule="auto"/>
        <w:rPr>
          <w:rFonts w:ascii="宋体" w:hAnsi="宋体" w:eastAsia="宋体" w:cs="宋体"/>
          <w:sz w:val="31"/>
          <w:szCs w:val="31"/>
        </w:rPr>
        <w:sectPr>
          <w:footerReference r:id="rId26" w:type="default"/>
          <w:pgSz w:w="11906" w:h="16839"/>
          <w:pgMar w:top="1431" w:right="1411" w:bottom="1151" w:left="1593" w:header="0" w:footer="989" w:gutter="0"/>
          <w:cols w:space="720" w:num="1"/>
        </w:sectPr>
      </w:pPr>
    </w:p>
    <w:p w14:paraId="4397710C">
      <w:pPr>
        <w:pStyle w:val="2"/>
        <w:spacing w:line="248" w:lineRule="auto"/>
      </w:pPr>
    </w:p>
    <w:p w14:paraId="4DDEFA49">
      <w:pPr>
        <w:pStyle w:val="2"/>
        <w:spacing w:line="248" w:lineRule="auto"/>
      </w:pPr>
    </w:p>
    <w:p w14:paraId="439D31C2">
      <w:pPr>
        <w:pStyle w:val="2"/>
        <w:spacing w:line="249" w:lineRule="auto"/>
      </w:pPr>
    </w:p>
    <w:p w14:paraId="6A6C7849">
      <w:pPr>
        <w:spacing w:line="9192" w:lineRule="exact"/>
      </w:pPr>
      <w:r>
        <w:rPr>
          <w:position w:val="-183"/>
        </w:rPr>
        <w:drawing>
          <wp:inline distT="0" distB="0" distL="0" distR="0">
            <wp:extent cx="5628005" cy="58369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28131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106F">
      <w:pPr>
        <w:spacing w:before="292" w:line="221" w:lineRule="auto"/>
        <w:ind w:left="23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图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3-1 </w:t>
      </w:r>
      <w:r>
        <w:rPr>
          <w:rFonts w:ascii="宋体" w:hAnsi="宋体" w:eastAsia="宋体" w:cs="宋体"/>
          <w:spacing w:val="-3"/>
          <w:sz w:val="28"/>
          <w:szCs w:val="28"/>
        </w:rPr>
        <w:t>开化县县域总体格局规划图</w:t>
      </w:r>
    </w:p>
    <w:p w14:paraId="737F664C"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27" w:type="default"/>
          <w:pgSz w:w="11906" w:h="16839"/>
          <w:pgMar w:top="1431" w:right="1456" w:bottom="1151" w:left="1586" w:header="0" w:footer="989" w:gutter="0"/>
          <w:cols w:space="720" w:num="1"/>
        </w:sectPr>
      </w:pPr>
    </w:p>
    <w:p w14:paraId="41B4FD8A">
      <w:pPr>
        <w:pStyle w:val="2"/>
        <w:spacing w:line="343" w:lineRule="auto"/>
      </w:pPr>
    </w:p>
    <w:p w14:paraId="1737D3DC">
      <w:pPr>
        <w:pStyle w:val="2"/>
        <w:spacing w:line="343" w:lineRule="auto"/>
      </w:pPr>
    </w:p>
    <w:p w14:paraId="117E8DAB">
      <w:pPr>
        <w:spacing w:line="11786" w:lineRule="exact"/>
      </w:pPr>
      <w:r>
        <w:rPr>
          <w:position w:val="-235"/>
        </w:rPr>
        <w:drawing>
          <wp:inline distT="0" distB="0" distL="0" distR="0">
            <wp:extent cx="5601970" cy="748411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02223" cy="74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179C">
      <w:pPr>
        <w:spacing w:before="253" w:line="221" w:lineRule="auto"/>
        <w:ind w:left="209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图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3-2 </w:t>
      </w:r>
      <w:r>
        <w:rPr>
          <w:rFonts w:ascii="宋体" w:hAnsi="宋体" w:eastAsia="宋体" w:cs="宋体"/>
          <w:spacing w:val="-3"/>
          <w:sz w:val="28"/>
          <w:szCs w:val="28"/>
        </w:rPr>
        <w:t>开化县中心城区土地使用规划图</w:t>
      </w:r>
    </w:p>
    <w:p w14:paraId="529636CE"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28" w:type="default"/>
          <w:pgSz w:w="11906" w:h="16839"/>
          <w:pgMar w:top="1431" w:right="1490" w:bottom="1151" w:left="1593" w:header="0" w:footer="989" w:gutter="0"/>
          <w:cols w:space="720" w:num="1"/>
        </w:sectPr>
      </w:pPr>
    </w:p>
    <w:p w14:paraId="5FA246CD">
      <w:pPr>
        <w:pStyle w:val="2"/>
        <w:spacing w:line="271" w:lineRule="auto"/>
      </w:pPr>
    </w:p>
    <w:p w14:paraId="129AC296">
      <w:pPr>
        <w:pStyle w:val="2"/>
        <w:spacing w:line="272" w:lineRule="auto"/>
      </w:pPr>
    </w:p>
    <w:p w14:paraId="2AB561C6">
      <w:pPr>
        <w:pStyle w:val="2"/>
        <w:spacing w:line="272" w:lineRule="auto"/>
      </w:pPr>
    </w:p>
    <w:p w14:paraId="3EBC7528">
      <w:pPr>
        <w:spacing w:before="101" w:line="226" w:lineRule="auto"/>
        <w:ind w:left="634"/>
        <w:outlineLvl w:val="1"/>
        <w:rPr>
          <w:rFonts w:ascii="宋体" w:hAnsi="宋体" w:eastAsia="宋体" w:cs="宋体"/>
          <w:sz w:val="31"/>
          <w:szCs w:val="31"/>
        </w:rPr>
      </w:pPr>
      <w:bookmarkStart w:id="78" w:name="bookmark34"/>
      <w:bookmarkEnd w:id="78"/>
      <w:bookmarkStart w:id="79" w:name="bookmark33"/>
      <w:bookmarkEnd w:id="79"/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3.2</w:t>
      </w:r>
      <w:r>
        <w:rPr>
          <w:rFonts w:ascii="Times New Roman" w:hAnsi="Times New Roman" w:eastAsia="Times New Roman" w:cs="Times New Roman"/>
          <w:b/>
          <w:bCs/>
          <w:spacing w:val="10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综合交通</w:t>
      </w:r>
    </w:p>
    <w:p w14:paraId="69ED21CF">
      <w:pPr>
        <w:spacing w:before="280" w:line="226" w:lineRule="auto"/>
        <w:ind w:left="642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3.2.1  </w:t>
      </w:r>
      <w:r>
        <w:rPr>
          <w:rFonts w:ascii="宋体" w:hAnsi="宋体" w:eastAsia="宋体" w:cs="宋体"/>
          <w:spacing w:val="5"/>
          <w:sz w:val="31"/>
          <w:szCs w:val="31"/>
        </w:rPr>
        <w:t>对外交通规划</w:t>
      </w:r>
    </w:p>
    <w:p w14:paraId="10D79534">
      <w:pPr>
        <w:spacing w:before="152" w:line="299" w:lineRule="auto"/>
        <w:ind w:right="4" w:firstLine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4"/>
          <w:sz w:val="31"/>
          <w:szCs w:val="31"/>
        </w:rPr>
        <w:t>铁路：规划形成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一横一纵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”</w:t>
      </w:r>
      <w:r>
        <w:rPr>
          <w:rFonts w:ascii="宋体" w:hAnsi="宋体" w:eastAsia="宋体" w:cs="宋体"/>
          <w:spacing w:val="14"/>
          <w:sz w:val="31"/>
          <w:szCs w:val="31"/>
        </w:rPr>
        <w:t>的铁路网格局</w:t>
      </w:r>
      <w:r>
        <w:rPr>
          <w:rFonts w:ascii="宋体" w:hAnsi="宋体" w:eastAsia="宋体" w:cs="宋体"/>
          <w:spacing w:val="13"/>
          <w:sz w:val="31"/>
          <w:szCs w:val="31"/>
        </w:rPr>
        <w:t>。在文圣村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(</w:t>
      </w:r>
      <w:r>
        <w:rPr>
          <w:rFonts w:ascii="宋体" w:hAnsi="宋体" w:eastAsia="宋体" w:cs="宋体"/>
          <w:spacing w:val="13"/>
          <w:sz w:val="31"/>
          <w:szCs w:val="31"/>
        </w:rPr>
        <w:t>推荐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选址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)</w:t>
      </w:r>
      <w:r>
        <w:rPr>
          <w:rFonts w:ascii="宋体" w:hAnsi="宋体" w:eastAsia="宋体" w:cs="宋体"/>
          <w:spacing w:val="8"/>
          <w:sz w:val="31"/>
          <w:szCs w:val="31"/>
        </w:rPr>
        <w:t>预留两个节点服务型场站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</w:t>
      </w:r>
      <w:r>
        <w:rPr>
          <w:rFonts w:ascii="宋体" w:hAnsi="宋体" w:eastAsia="宋体" w:cs="宋体"/>
          <w:spacing w:val="8"/>
          <w:sz w:val="31"/>
          <w:szCs w:val="31"/>
        </w:rPr>
        <w:t>开化东站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)</w:t>
      </w:r>
      <w:r>
        <w:rPr>
          <w:rFonts w:ascii="宋体" w:hAnsi="宋体" w:eastAsia="宋体" w:cs="宋体"/>
          <w:spacing w:val="8"/>
          <w:sz w:val="31"/>
          <w:szCs w:val="31"/>
        </w:rPr>
        <w:t>位置。</w:t>
      </w:r>
    </w:p>
    <w:p w14:paraId="414BB5F2">
      <w:pPr>
        <w:spacing w:before="163" w:line="225" w:lineRule="auto"/>
        <w:ind w:left="67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国道：规划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国道南段改线，线路全长约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15 </w:t>
      </w:r>
      <w:r>
        <w:rPr>
          <w:rFonts w:ascii="宋体" w:hAnsi="宋体" w:eastAsia="宋体" w:cs="宋体"/>
          <w:spacing w:val="3"/>
          <w:sz w:val="31"/>
          <w:szCs w:val="31"/>
        </w:rPr>
        <w:t>千米，</w:t>
      </w:r>
    </w:p>
    <w:p w14:paraId="252B3407">
      <w:pPr>
        <w:spacing w:before="263" w:line="225" w:lineRule="auto"/>
        <w:ind w:left="642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3.2.2  </w:t>
      </w:r>
      <w:r>
        <w:rPr>
          <w:rFonts w:ascii="宋体" w:hAnsi="宋体" w:eastAsia="宋体" w:cs="宋体"/>
          <w:spacing w:val="5"/>
          <w:sz w:val="31"/>
          <w:szCs w:val="31"/>
        </w:rPr>
        <w:t>城市道路系统规划</w:t>
      </w:r>
    </w:p>
    <w:p w14:paraId="213BD78C">
      <w:pPr>
        <w:spacing w:before="199" w:line="313" w:lineRule="auto"/>
        <w:ind w:left="1" w:firstLine="642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规划主干路形成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三横、两纵、一环线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宋体" w:hAnsi="宋体" w:eastAsia="宋体" w:cs="宋体"/>
          <w:spacing w:val="6"/>
          <w:sz w:val="31"/>
          <w:szCs w:val="31"/>
        </w:rPr>
        <w:t>结构。三横：包括芹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南路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-</w:t>
      </w:r>
      <w:r>
        <w:rPr>
          <w:rFonts w:ascii="宋体" w:hAnsi="宋体" w:eastAsia="宋体" w:cs="宋体"/>
          <w:spacing w:val="2"/>
          <w:sz w:val="31"/>
          <w:szCs w:val="31"/>
        </w:rPr>
        <w:t>衢黄铁路站、城白线、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351</w:t>
      </w:r>
      <w:r>
        <w:rPr>
          <w:rFonts w:ascii="Times New Roman" w:hAnsi="Times New Roman" w:eastAsia="Times New Roman" w:cs="Times New Roman"/>
          <w:spacing w:val="5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国道。两纵：包括解放路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(</w:t>
      </w:r>
      <w:r>
        <w:rPr>
          <w:rFonts w:ascii="宋体" w:hAnsi="宋体" w:eastAsia="宋体" w:cs="宋体"/>
          <w:spacing w:val="2"/>
          <w:sz w:val="31"/>
          <w:szCs w:val="31"/>
        </w:rPr>
        <w:t>华埠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)-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城华线主干路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(</w:t>
      </w:r>
      <w:r>
        <w:rPr>
          <w:rFonts w:ascii="宋体" w:hAnsi="宋体" w:eastAsia="宋体" w:cs="宋体"/>
          <w:spacing w:val="2"/>
          <w:sz w:val="31"/>
          <w:szCs w:val="31"/>
        </w:rPr>
        <w:t>规划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)-</w:t>
      </w:r>
      <w:r>
        <w:rPr>
          <w:rFonts w:ascii="宋体" w:hAnsi="宋体" w:eastAsia="宋体" w:cs="宋体"/>
          <w:spacing w:val="2"/>
          <w:sz w:val="31"/>
          <w:szCs w:val="31"/>
        </w:rPr>
        <w:t>古溪路和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G205</w:t>
      </w:r>
      <w:r>
        <w:rPr>
          <w:rFonts w:ascii="Times New Roman" w:hAnsi="Times New Roman" w:eastAsia="Times New Roman" w:cs="Times New Roman"/>
          <w:spacing w:val="4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国道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(</w:t>
      </w:r>
      <w:r>
        <w:rPr>
          <w:rFonts w:ascii="宋体" w:hAnsi="宋体" w:eastAsia="宋体" w:cs="宋体"/>
          <w:spacing w:val="2"/>
          <w:sz w:val="31"/>
          <w:szCs w:val="31"/>
        </w:rPr>
        <w:t>现城区段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)--</w:t>
      </w:r>
      <w:r>
        <w:rPr>
          <w:rFonts w:ascii="宋体" w:hAnsi="宋体" w:eastAsia="宋体" w:cs="宋体"/>
          <w:spacing w:val="2"/>
          <w:sz w:val="31"/>
          <w:szCs w:val="31"/>
        </w:rPr>
        <w:t>根博路。一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环线：</w:t>
      </w:r>
      <w:r>
        <w:rPr>
          <w:rFonts w:ascii="宋体" w:hAnsi="宋体" w:eastAsia="宋体" w:cs="宋体"/>
          <w:spacing w:val="-8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由华殿线、城白线以及桃下线组成。</w:t>
      </w:r>
    </w:p>
    <w:p w14:paraId="32D9FE84">
      <w:pPr>
        <w:spacing w:before="139" w:line="319" w:lineRule="auto"/>
        <w:ind w:left="3" w:right="2" w:firstLine="6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规划次干路包括江滨路、芹南路、永吉路、凤凰中路、</w:t>
      </w:r>
      <w:r>
        <w:rPr>
          <w:rFonts w:ascii="宋体" w:hAnsi="宋体" w:eastAsia="宋体" w:cs="宋体"/>
          <w:spacing w:val="4"/>
          <w:sz w:val="31"/>
          <w:szCs w:val="31"/>
        </w:rPr>
        <w:t>临湖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路、解放路、华康路等。</w:t>
      </w:r>
    </w:p>
    <w:p w14:paraId="2B0BF7F9">
      <w:pPr>
        <w:spacing w:before="130" w:line="225" w:lineRule="auto"/>
        <w:ind w:left="642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3.2.3  </w:t>
      </w:r>
      <w:r>
        <w:rPr>
          <w:rFonts w:ascii="宋体" w:hAnsi="宋体" w:eastAsia="宋体" w:cs="宋体"/>
          <w:spacing w:val="5"/>
          <w:sz w:val="31"/>
          <w:szCs w:val="31"/>
        </w:rPr>
        <w:t>交通枢纽规划</w:t>
      </w:r>
    </w:p>
    <w:p w14:paraId="129EC266">
      <w:pPr>
        <w:spacing w:before="156" w:line="310" w:lineRule="auto"/>
        <w:ind w:left="2" w:right="2" w:firstLine="640"/>
        <w:jc w:val="both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规划形成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5"/>
          <w:sz w:val="31"/>
          <w:szCs w:val="31"/>
        </w:rPr>
        <w:t>个综合客运枢纽布局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</w:t>
      </w:r>
      <w:r>
        <w:rPr>
          <w:rFonts w:ascii="宋体" w:hAnsi="宋体" w:eastAsia="宋体" w:cs="宋体"/>
          <w:spacing w:val="5"/>
          <w:sz w:val="31"/>
          <w:szCs w:val="31"/>
        </w:rPr>
        <w:t>含远景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5"/>
          <w:sz w:val="31"/>
          <w:szCs w:val="31"/>
        </w:rPr>
        <w:t>个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)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，包括华埠综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合客运枢纽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(</w:t>
      </w:r>
      <w:r>
        <w:rPr>
          <w:rFonts w:ascii="宋体" w:hAnsi="宋体" w:eastAsia="宋体" w:cs="宋体"/>
          <w:spacing w:val="10"/>
          <w:sz w:val="31"/>
          <w:szCs w:val="31"/>
        </w:rPr>
        <w:t>结合衢九铁路客运站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)</w:t>
      </w:r>
      <w:r>
        <w:rPr>
          <w:rFonts w:ascii="Times New Roman" w:hAnsi="Times New Roman" w:eastAsia="Times New Roman" w:cs="Times New Roman"/>
          <w:spacing w:val="-2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、客运南站枢纽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(</w:t>
      </w:r>
      <w:r>
        <w:rPr>
          <w:rFonts w:ascii="宋体" w:hAnsi="宋体" w:eastAsia="宋体" w:cs="宋体"/>
          <w:spacing w:val="10"/>
          <w:sz w:val="31"/>
          <w:szCs w:val="31"/>
        </w:rPr>
        <w:t>现状保留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)</w:t>
      </w:r>
      <w:r>
        <w:rPr>
          <w:rFonts w:ascii="宋体" w:hAnsi="宋体" w:eastAsia="宋体" w:cs="宋体"/>
          <w:spacing w:val="10"/>
          <w:sz w:val="31"/>
          <w:szCs w:val="31"/>
        </w:rPr>
        <w:t>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开化综合客运枢纽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</w:t>
      </w:r>
      <w:r>
        <w:rPr>
          <w:rFonts w:ascii="宋体" w:hAnsi="宋体" w:eastAsia="宋体" w:cs="宋体"/>
          <w:spacing w:val="8"/>
          <w:sz w:val="31"/>
          <w:szCs w:val="31"/>
        </w:rPr>
        <w:t>远景结合规划衢黄高铁站设置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)</w:t>
      </w:r>
    </w:p>
    <w:p w14:paraId="083AD1B5">
      <w:pPr>
        <w:spacing w:before="164" w:line="319" w:lineRule="auto"/>
        <w:ind w:left="6" w:firstLine="67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以开化县物流园区为开化县货运枢纽，建立以货运枢纽为中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心，辐射乡镇物流中心的开化物流体系。</w:t>
      </w:r>
    </w:p>
    <w:p w14:paraId="13A41758">
      <w:pPr>
        <w:spacing w:before="130" w:line="225" w:lineRule="auto"/>
        <w:ind w:left="642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3.2.4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3"/>
          <w:sz w:val="31"/>
          <w:szCs w:val="31"/>
        </w:rPr>
        <w:t>公共交通规划</w:t>
      </w:r>
    </w:p>
    <w:p w14:paraId="30D2320B">
      <w:pPr>
        <w:spacing w:before="201" w:line="320" w:lineRule="auto"/>
        <w:ind w:left="8" w:right="2" w:firstLine="6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完善公交场站布局，规划结合衢九铁路客运站、客</w:t>
      </w:r>
      <w:r>
        <w:rPr>
          <w:rFonts w:ascii="宋体" w:hAnsi="宋体" w:eastAsia="宋体" w:cs="宋体"/>
          <w:spacing w:val="4"/>
          <w:sz w:val="31"/>
          <w:szCs w:val="31"/>
        </w:rPr>
        <w:t>运南站枢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纽、规划衢黄高铁站设置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4"/>
          <w:sz w:val="31"/>
          <w:szCs w:val="31"/>
        </w:rPr>
        <w:t>大公交枢纽站，结合城东三里亭、华</w:t>
      </w:r>
    </w:p>
    <w:p w14:paraId="168FD79E">
      <w:pPr>
        <w:spacing w:line="320" w:lineRule="auto"/>
        <w:rPr>
          <w:rFonts w:ascii="宋体" w:hAnsi="宋体" w:eastAsia="宋体" w:cs="宋体"/>
          <w:sz w:val="31"/>
          <w:szCs w:val="31"/>
        </w:rPr>
        <w:sectPr>
          <w:footerReference r:id="rId29" w:type="default"/>
          <w:pgSz w:w="11906" w:h="16839"/>
          <w:pgMar w:top="1431" w:right="1473" w:bottom="1151" w:left="1597" w:header="0" w:footer="989" w:gutter="0"/>
          <w:cols w:space="720" w:num="1"/>
        </w:sectPr>
      </w:pPr>
    </w:p>
    <w:p w14:paraId="5DB405C1">
      <w:pPr>
        <w:pStyle w:val="2"/>
        <w:spacing w:line="245" w:lineRule="auto"/>
      </w:pPr>
    </w:p>
    <w:p w14:paraId="1E80759A">
      <w:pPr>
        <w:pStyle w:val="2"/>
        <w:spacing w:line="245" w:lineRule="auto"/>
      </w:pPr>
    </w:p>
    <w:p w14:paraId="24A6A0F8">
      <w:pPr>
        <w:pStyle w:val="2"/>
        <w:spacing w:line="246" w:lineRule="auto"/>
      </w:pPr>
    </w:p>
    <w:p w14:paraId="555237DD">
      <w:pPr>
        <w:spacing w:before="101" w:line="225" w:lineRule="auto"/>
        <w:ind w:left="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民设置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6"/>
          <w:sz w:val="31"/>
          <w:szCs w:val="31"/>
        </w:rPr>
        <w:t>大公交首末站的公交场站规划布局。</w:t>
      </w:r>
    </w:p>
    <w:p w14:paraId="74B90EF6">
      <w:pPr>
        <w:spacing w:before="261" w:line="226" w:lineRule="auto"/>
        <w:ind w:left="641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3.2.5  </w:t>
      </w:r>
      <w:r>
        <w:rPr>
          <w:rFonts w:ascii="宋体" w:hAnsi="宋体" w:eastAsia="宋体" w:cs="宋体"/>
          <w:spacing w:val="5"/>
          <w:sz w:val="31"/>
          <w:szCs w:val="31"/>
        </w:rPr>
        <w:t>慢行系统规划</w:t>
      </w:r>
    </w:p>
    <w:p w14:paraId="1F84662C">
      <w:pPr>
        <w:spacing w:before="198" w:line="328" w:lineRule="auto"/>
        <w:ind w:left="1" w:firstLine="647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结合绿地景观建设，充分利用建成区已有绿道，串联成网，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规划构建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宋体" w:hAnsi="宋体" w:eastAsia="宋体" w:cs="宋体"/>
          <w:spacing w:val="9"/>
          <w:sz w:val="31"/>
          <w:szCs w:val="31"/>
        </w:rPr>
        <w:t>城市级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-</w:t>
      </w:r>
      <w:r>
        <w:rPr>
          <w:rFonts w:ascii="宋体" w:hAnsi="宋体" w:eastAsia="宋体" w:cs="宋体"/>
          <w:spacing w:val="9"/>
          <w:sz w:val="31"/>
          <w:szCs w:val="31"/>
        </w:rPr>
        <w:t>街道级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-</w:t>
      </w:r>
      <w:r>
        <w:rPr>
          <w:rFonts w:ascii="宋体" w:hAnsi="宋体" w:eastAsia="宋体" w:cs="宋体"/>
          <w:spacing w:val="9"/>
          <w:sz w:val="31"/>
          <w:szCs w:val="31"/>
        </w:rPr>
        <w:t>社区级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三级城市慢行系统。沿马金溪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两岸打造金溪画廊滨水绿道，并整合周边特色景观和</w:t>
      </w:r>
      <w:r>
        <w:rPr>
          <w:rFonts w:ascii="宋体" w:hAnsi="宋体" w:eastAsia="宋体" w:cs="宋体"/>
          <w:spacing w:val="6"/>
          <w:sz w:val="31"/>
          <w:szCs w:val="31"/>
        </w:rPr>
        <w:t>旅游资源，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7"/>
          <w:sz w:val="31"/>
          <w:szCs w:val="31"/>
        </w:rPr>
        <w:t>利用中心城区周边山体或现状风景道设置绿道与金溪画廊绿道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串联，使中心城区形成贯通的慢行系统体系</w:t>
      </w:r>
    </w:p>
    <w:p w14:paraId="49A89969">
      <w:pPr>
        <w:spacing w:before="129" w:line="225" w:lineRule="auto"/>
        <w:ind w:left="641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3.2.6  </w:t>
      </w:r>
      <w:r>
        <w:rPr>
          <w:rFonts w:ascii="宋体" w:hAnsi="宋体" w:eastAsia="宋体" w:cs="宋体"/>
          <w:spacing w:val="5"/>
          <w:sz w:val="31"/>
          <w:szCs w:val="31"/>
        </w:rPr>
        <w:t>公共停车场规划</w:t>
      </w:r>
    </w:p>
    <w:p w14:paraId="27B688BD">
      <w:pPr>
        <w:spacing w:before="198" w:line="328" w:lineRule="auto"/>
        <w:ind w:right="39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加强公共停车场空间供给，缓解老城区停车难问题，结合现</w:t>
      </w:r>
      <w:r>
        <w:rPr>
          <w:rFonts w:ascii="宋体" w:hAnsi="宋体" w:eastAsia="宋体" w:cs="宋体"/>
          <w:spacing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状挖潜停车空间，增加城北社区、荷花社区、芹南社区、城东社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区等社区停车位供给。规划在岙滩片区、金丰片区、朝阳片区等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城市新区科学合理布局地上、地下停车场，按需配置电动汽车充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电停车位，提升社会公共停车场总体规模和服务能</w:t>
      </w:r>
      <w:r>
        <w:rPr>
          <w:rFonts w:ascii="宋体" w:hAnsi="宋体" w:eastAsia="宋体" w:cs="宋体"/>
          <w:spacing w:val="8"/>
          <w:sz w:val="31"/>
          <w:szCs w:val="31"/>
        </w:rPr>
        <w:t>力。</w:t>
      </w:r>
    </w:p>
    <w:p w14:paraId="7DF44828">
      <w:pPr>
        <w:spacing w:line="328" w:lineRule="auto"/>
        <w:rPr>
          <w:rFonts w:ascii="宋体" w:hAnsi="宋体" w:eastAsia="宋体" w:cs="宋体"/>
          <w:sz w:val="31"/>
          <w:szCs w:val="31"/>
        </w:rPr>
        <w:sectPr>
          <w:footerReference r:id="rId30" w:type="default"/>
          <w:pgSz w:w="11906" w:h="16839"/>
          <w:pgMar w:top="1431" w:right="1433" w:bottom="1151" w:left="1598" w:header="0" w:footer="989" w:gutter="0"/>
          <w:cols w:space="720" w:num="1"/>
        </w:sectPr>
      </w:pPr>
    </w:p>
    <w:p w14:paraId="14B0FA8A">
      <w:pPr>
        <w:pStyle w:val="2"/>
        <w:spacing w:line="274" w:lineRule="auto"/>
      </w:pPr>
    </w:p>
    <w:p w14:paraId="593DE86E">
      <w:pPr>
        <w:pStyle w:val="2"/>
        <w:spacing w:line="274" w:lineRule="auto"/>
      </w:pPr>
    </w:p>
    <w:p w14:paraId="25177670">
      <w:pPr>
        <w:pStyle w:val="2"/>
        <w:spacing w:line="274" w:lineRule="auto"/>
      </w:pPr>
    </w:p>
    <w:p w14:paraId="0A51115E">
      <w:pPr>
        <w:pStyle w:val="2"/>
        <w:spacing w:line="274" w:lineRule="auto"/>
      </w:pPr>
    </w:p>
    <w:p w14:paraId="51EC7881">
      <w:pPr>
        <w:pStyle w:val="2"/>
        <w:spacing w:line="274" w:lineRule="auto"/>
      </w:pPr>
    </w:p>
    <w:p w14:paraId="64B2C9D7">
      <w:pPr>
        <w:spacing w:before="101" w:line="225" w:lineRule="auto"/>
        <w:ind w:left="634"/>
        <w:outlineLvl w:val="0"/>
        <w:rPr>
          <w:rFonts w:ascii="宋体" w:hAnsi="宋体" w:eastAsia="宋体" w:cs="宋体"/>
          <w:sz w:val="31"/>
          <w:szCs w:val="31"/>
        </w:rPr>
      </w:pPr>
      <w:bookmarkStart w:id="80" w:name="bookmark35"/>
      <w:bookmarkEnd w:id="80"/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8"/>
          <w:sz w:val="31"/>
          <w:szCs w:val="31"/>
        </w:rPr>
        <w:t>现声环境功能区划简介及分析</w:t>
      </w:r>
    </w:p>
    <w:p w14:paraId="5D2A8968">
      <w:pPr>
        <w:spacing w:before="282" w:line="225" w:lineRule="auto"/>
        <w:ind w:left="637"/>
        <w:outlineLvl w:val="1"/>
        <w:rPr>
          <w:rFonts w:ascii="宋体" w:hAnsi="宋体" w:eastAsia="宋体" w:cs="宋体"/>
          <w:sz w:val="31"/>
          <w:szCs w:val="31"/>
        </w:rPr>
      </w:pPr>
      <w:bookmarkStart w:id="81" w:name="bookmark36"/>
      <w:bookmarkEnd w:id="81"/>
      <w:bookmarkStart w:id="82" w:name="bookmark38"/>
      <w:bookmarkEnd w:id="82"/>
      <w:bookmarkStart w:id="83" w:name="bookmark37"/>
      <w:bookmarkEnd w:id="83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4.1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现声环境功能区划基本情况</w:t>
      </w:r>
    </w:p>
    <w:p w14:paraId="286B61C5">
      <w:pPr>
        <w:spacing w:before="196" w:line="321" w:lineRule="auto"/>
        <w:ind w:firstLine="647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《开化县中心城区声环境功能区划分方案（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18-2023</w:t>
      </w:r>
      <w:r>
        <w:rPr>
          <w:rFonts w:ascii="宋体" w:hAnsi="宋体" w:eastAsia="宋体" w:cs="宋体"/>
          <w:spacing w:val="11"/>
          <w:sz w:val="31"/>
          <w:szCs w:val="31"/>
        </w:rPr>
        <w:t>）》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是开化县首次进行声环境功能区划分，于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2019 </w:t>
      </w:r>
      <w:r>
        <w:rPr>
          <w:rFonts w:ascii="宋体" w:hAnsi="宋体" w:eastAsia="宋体" w:cs="宋体"/>
          <w:spacing w:val="5"/>
          <w:sz w:val="31"/>
          <w:szCs w:val="31"/>
        </w:rPr>
        <w:t>年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月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4"/>
          <w:sz w:val="31"/>
          <w:szCs w:val="31"/>
        </w:rPr>
        <w:t>日由开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化县人民政府以《关于印发开化县中心城区声环境功能区划分方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案的通知》</w:t>
      </w:r>
      <w:r>
        <w:rPr>
          <w:rFonts w:ascii="宋体" w:hAnsi="宋体" w:eastAsia="宋体" w:cs="宋体"/>
          <w:spacing w:val="-1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（开政办发〔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2019</w:t>
      </w:r>
      <w:r>
        <w:rPr>
          <w:rFonts w:ascii="宋体" w:hAnsi="宋体" w:eastAsia="宋体" w:cs="宋体"/>
          <w:spacing w:val="11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63</w:t>
      </w:r>
      <w:r>
        <w:rPr>
          <w:rFonts w:ascii="Times New Roman" w:hAnsi="Times New Roman" w:eastAsia="Times New Roman" w:cs="Times New Roman"/>
          <w:spacing w:val="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号）印发实施，功能区划图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见图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4-1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。开化县中心城区声环境功能区共</w:t>
      </w:r>
      <w:r>
        <w:rPr>
          <w:rFonts w:ascii="宋体" w:hAnsi="宋体" w:eastAsia="宋体" w:cs="宋体"/>
          <w:spacing w:val="5"/>
          <w:sz w:val="31"/>
          <w:szCs w:val="31"/>
        </w:rPr>
        <w:t>分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5"/>
          <w:sz w:val="31"/>
          <w:szCs w:val="31"/>
        </w:rPr>
        <w:t>大类，其中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5"/>
          <w:sz w:val="31"/>
          <w:szCs w:val="31"/>
        </w:rPr>
        <w:t>类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区面积为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14.5879 </w:t>
      </w:r>
      <w:r>
        <w:rPr>
          <w:rFonts w:ascii="宋体" w:hAnsi="宋体" w:eastAsia="宋体" w:cs="宋体"/>
          <w:spacing w:val="2"/>
          <w:sz w:val="31"/>
          <w:szCs w:val="31"/>
        </w:rPr>
        <w:t>平方公里，占总区划面积的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44.95%</w:t>
      </w:r>
      <w:r>
        <w:rPr>
          <w:rFonts w:ascii="宋体" w:hAnsi="宋体" w:eastAsia="宋体" w:cs="宋体"/>
          <w:spacing w:val="2"/>
          <w:sz w:val="31"/>
          <w:szCs w:val="31"/>
        </w:rPr>
        <w:t>，涵盖了花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山、南湖、城东、岙滩片、山甸、汶山、上茨、华民、华埠、华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锋等集中的居住片区；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3"/>
          <w:sz w:val="31"/>
          <w:szCs w:val="31"/>
        </w:rPr>
        <w:t>类区面积为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9.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1917 </w:t>
      </w:r>
      <w:r>
        <w:rPr>
          <w:rFonts w:ascii="宋体" w:hAnsi="宋体" w:eastAsia="宋体" w:cs="宋体"/>
          <w:spacing w:val="3"/>
          <w:sz w:val="31"/>
          <w:szCs w:val="31"/>
        </w:rPr>
        <w:t>平方公里，占总</w:t>
      </w:r>
      <w:r>
        <w:rPr>
          <w:rFonts w:ascii="宋体" w:hAnsi="宋体" w:eastAsia="宋体" w:cs="宋体"/>
          <w:spacing w:val="2"/>
          <w:sz w:val="31"/>
          <w:szCs w:val="31"/>
        </w:rPr>
        <w:t>区划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面积的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28.32%</w:t>
      </w:r>
      <w:r>
        <w:rPr>
          <w:rFonts w:ascii="Times New Roman" w:hAnsi="Times New Roman" w:eastAsia="Times New Roman" w:cs="Times New Roman"/>
          <w:spacing w:val="-4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，涵盖了老城商业片区、开化商贸城片区、独山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片区、金佰汇广场商业片区、火车站商贸区、公共文化广场、茶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香小镇等集中的商业片区或混合区；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4"/>
          <w:sz w:val="31"/>
          <w:szCs w:val="31"/>
        </w:rPr>
        <w:t>类区面积为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8.4792 </w:t>
      </w:r>
      <w:r>
        <w:rPr>
          <w:rFonts w:ascii="宋体" w:hAnsi="宋体" w:eastAsia="宋体" w:cs="宋体"/>
          <w:spacing w:val="4"/>
          <w:sz w:val="31"/>
          <w:szCs w:val="31"/>
        </w:rPr>
        <w:t>平</w:t>
      </w:r>
      <w:r>
        <w:rPr>
          <w:rFonts w:ascii="宋体" w:hAnsi="宋体" w:eastAsia="宋体" w:cs="宋体"/>
          <w:spacing w:val="3"/>
          <w:sz w:val="31"/>
          <w:szCs w:val="31"/>
        </w:rPr>
        <w:t>方公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里，占总区划面积的</w:t>
      </w:r>
      <w:r>
        <w:rPr>
          <w:rFonts w:ascii="宋体" w:hAnsi="宋体" w:eastAsia="宋体" w:cs="宋体"/>
          <w:spacing w:val="-4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26.12%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，涵盖了新安片区、青联工业片区、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华埠仓储物流片区、华埠江东工业片区、杨村工业片区等工业或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仓储物流集中区；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-3"/>
          <w:sz w:val="31"/>
          <w:szCs w:val="31"/>
        </w:rPr>
        <w:t>类区共计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27 </w:t>
      </w:r>
      <w:r>
        <w:rPr>
          <w:rFonts w:ascii="宋体" w:hAnsi="宋体" w:eastAsia="宋体" w:cs="宋体"/>
          <w:spacing w:val="-3"/>
          <w:sz w:val="31"/>
          <w:szCs w:val="31"/>
        </w:rPr>
        <w:t>条交通干线，总长度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260.6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公里，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主要包含中心城区高速公路、一级主干路、二级主干路、次干路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及铁路。三个客运中心站所划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4a</w:t>
      </w:r>
      <w:r>
        <w:rPr>
          <w:rFonts w:ascii="Times New Roman" w:hAnsi="Times New Roman" w:eastAsia="Times New Roman" w:cs="Times New Roman"/>
          <w:spacing w:val="-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类声环境功能区总面积为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.0478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6"/>
          <w:sz w:val="31"/>
          <w:szCs w:val="31"/>
        </w:rPr>
        <w:t>平方公里，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占总区划面积的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0.15%</w:t>
      </w:r>
      <w:r>
        <w:rPr>
          <w:rFonts w:ascii="Times New Roman" w:hAnsi="Times New Roman" w:eastAsia="Times New Roman" w:cs="Times New Roman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。开化县火车站所划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6"/>
          <w:sz w:val="31"/>
          <w:szCs w:val="31"/>
        </w:rPr>
        <w:t>类声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环境功能区面积为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0.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1499 </w:t>
      </w:r>
      <w:r>
        <w:rPr>
          <w:rFonts w:ascii="宋体" w:hAnsi="宋体" w:eastAsia="宋体" w:cs="宋体"/>
          <w:spacing w:val="3"/>
          <w:sz w:val="31"/>
          <w:szCs w:val="31"/>
        </w:rPr>
        <w:t>平方公里，</w:t>
      </w:r>
      <w:r>
        <w:rPr>
          <w:rFonts w:ascii="宋体" w:hAnsi="宋体" w:eastAsia="宋体" w:cs="宋体"/>
          <w:spacing w:val="-8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占总区划面积的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0.46%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28E57AFF">
      <w:pPr>
        <w:spacing w:before="7" w:line="225" w:lineRule="auto"/>
        <w:ind w:left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划分依据见第五章节。</w:t>
      </w:r>
    </w:p>
    <w:p w14:paraId="3E124CC9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31" w:type="default"/>
          <w:pgSz w:w="11906" w:h="16839"/>
          <w:pgMar w:top="1431" w:right="1365" w:bottom="1151" w:left="1597" w:header="0" w:footer="989" w:gutter="0"/>
          <w:cols w:space="720" w:num="1"/>
        </w:sectPr>
      </w:pPr>
    </w:p>
    <w:p w14:paraId="287F1C78">
      <w:pPr>
        <w:pStyle w:val="2"/>
        <w:spacing w:line="354" w:lineRule="auto"/>
      </w:pPr>
    </w:p>
    <w:p w14:paraId="3D7201C0">
      <w:pPr>
        <w:pStyle w:val="2"/>
        <w:spacing w:line="355" w:lineRule="auto"/>
      </w:pPr>
    </w:p>
    <w:p w14:paraId="4FE15670">
      <w:pPr>
        <w:spacing w:line="8319" w:lineRule="exact"/>
      </w:pPr>
      <w:r>
        <w:rPr>
          <w:position w:val="-166"/>
        </w:rPr>
        <w:drawing>
          <wp:inline distT="0" distB="0" distL="0" distR="0">
            <wp:extent cx="5572760" cy="528193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73267" cy="52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8C0B">
      <w:pPr>
        <w:spacing w:before="265" w:line="221" w:lineRule="auto"/>
        <w:ind w:left="62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图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4-1 </w:t>
      </w:r>
      <w:r>
        <w:rPr>
          <w:rFonts w:ascii="宋体" w:hAnsi="宋体" w:eastAsia="宋体" w:cs="宋体"/>
          <w:spacing w:val="-1"/>
          <w:sz w:val="28"/>
          <w:szCs w:val="28"/>
        </w:rPr>
        <w:t>开化县中心城区声环境功能区划分（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2018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-2023</w:t>
      </w:r>
      <w:r>
        <w:rPr>
          <w:rFonts w:ascii="宋体" w:hAnsi="宋体" w:eastAsia="宋体" w:cs="宋体"/>
          <w:spacing w:val="-2"/>
          <w:sz w:val="28"/>
          <w:szCs w:val="28"/>
        </w:rPr>
        <w:t>）示意图</w:t>
      </w:r>
    </w:p>
    <w:p w14:paraId="2C303CDB"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32" w:type="default"/>
          <w:pgSz w:w="11906" w:h="16839"/>
          <w:pgMar w:top="1431" w:right="1511" w:bottom="1151" w:left="1617" w:header="0" w:footer="989" w:gutter="0"/>
          <w:cols w:space="720" w:num="1"/>
        </w:sectPr>
      </w:pPr>
    </w:p>
    <w:p w14:paraId="5F952053">
      <w:pPr>
        <w:pStyle w:val="2"/>
        <w:spacing w:line="272" w:lineRule="auto"/>
      </w:pPr>
    </w:p>
    <w:p w14:paraId="03C4A8C9">
      <w:pPr>
        <w:pStyle w:val="2"/>
        <w:spacing w:line="272" w:lineRule="auto"/>
      </w:pPr>
    </w:p>
    <w:p w14:paraId="649B7DFE">
      <w:pPr>
        <w:pStyle w:val="2"/>
        <w:spacing w:line="272" w:lineRule="auto"/>
      </w:pPr>
    </w:p>
    <w:p w14:paraId="52307F36">
      <w:pPr>
        <w:spacing w:before="101" w:line="225" w:lineRule="auto"/>
        <w:ind w:left="760"/>
        <w:outlineLvl w:val="1"/>
        <w:rPr>
          <w:rFonts w:ascii="宋体" w:hAnsi="宋体" w:eastAsia="宋体" w:cs="宋体"/>
          <w:sz w:val="31"/>
          <w:szCs w:val="31"/>
        </w:rPr>
      </w:pPr>
      <w:bookmarkStart w:id="84" w:name="bookmark39"/>
      <w:bookmarkEnd w:id="84"/>
      <w:bookmarkStart w:id="85" w:name="bookmark40"/>
      <w:bookmarkEnd w:id="85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4.2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声环境质量现状</w:t>
      </w:r>
    </w:p>
    <w:p w14:paraId="5F322CEE">
      <w:pPr>
        <w:spacing w:before="282" w:line="225" w:lineRule="auto"/>
        <w:ind w:left="758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4.2.1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4"/>
          <w:sz w:val="31"/>
          <w:szCs w:val="31"/>
        </w:rPr>
        <w:t>区域环境噪声现状</w:t>
      </w:r>
    </w:p>
    <w:p w14:paraId="37094F58">
      <w:pPr>
        <w:spacing w:before="204" w:line="329" w:lineRule="auto"/>
        <w:ind w:left="124" w:right="112" w:firstLine="6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3"/>
          <w:sz w:val="31"/>
          <w:szCs w:val="31"/>
        </w:rPr>
        <w:t>开化县区域声环境监测是按照《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3"/>
          <w:sz w:val="31"/>
          <w:szCs w:val="31"/>
        </w:rPr>
        <w:t>声环境质量标准</w:t>
      </w:r>
      <w:r>
        <w:rPr>
          <w:rFonts w:ascii="宋体" w:hAnsi="宋体" w:eastAsia="宋体" w:cs="宋体"/>
          <w:spacing w:val="-7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3"/>
          <w:sz w:val="31"/>
          <w:szCs w:val="31"/>
        </w:rPr>
        <w:t>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3096-2008</w:t>
      </w:r>
      <w:r>
        <w:rPr>
          <w:rFonts w:ascii="宋体" w:hAnsi="宋体" w:eastAsia="宋体" w:cs="宋体"/>
          <w:spacing w:val="4"/>
          <w:sz w:val="31"/>
          <w:szCs w:val="31"/>
        </w:rPr>
        <w:t>）附录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B</w:t>
      </w:r>
      <w:r>
        <w:rPr>
          <w:rFonts w:ascii="Times New Roman" w:hAnsi="Times New Roman" w:eastAsia="Times New Roman" w:cs="Times New Roman"/>
          <w:spacing w:val="4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中的声环境功能区普查监测方法布置监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测点位，将整个区划区域分成多个等大的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100m×100m</w:t>
      </w:r>
      <w:r>
        <w:rPr>
          <w:rFonts w:ascii="Times New Roman" w:hAnsi="Times New Roman" w:eastAsia="Times New Roman" w:cs="Times New Roman"/>
          <w:spacing w:val="4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网格，整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个区域建成区共设有效网格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110 </w:t>
      </w:r>
      <w:r>
        <w:rPr>
          <w:rFonts w:ascii="宋体" w:hAnsi="宋体" w:eastAsia="宋体" w:cs="宋体"/>
          <w:spacing w:val="4"/>
          <w:sz w:val="31"/>
          <w:szCs w:val="31"/>
        </w:rPr>
        <w:t>个。将整</w:t>
      </w:r>
      <w:r>
        <w:rPr>
          <w:rFonts w:ascii="宋体" w:hAnsi="宋体" w:eastAsia="宋体" w:cs="宋体"/>
          <w:spacing w:val="3"/>
          <w:sz w:val="31"/>
          <w:szCs w:val="31"/>
        </w:rPr>
        <w:t>个区划区域全部网格监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测点测得的等效声级分昼间和夜间，再进行算术平均运算，所得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7"/>
          <w:sz w:val="31"/>
          <w:szCs w:val="31"/>
        </w:rPr>
        <w:t>到</w:t>
      </w:r>
      <w:bookmarkStart w:id="139" w:name="_GoBack"/>
      <w:bookmarkEnd w:id="139"/>
      <w:r>
        <w:rPr>
          <w:rFonts w:ascii="宋体" w:hAnsi="宋体" w:eastAsia="宋体" w:cs="宋体"/>
          <w:spacing w:val="17"/>
          <w:sz w:val="31"/>
          <w:szCs w:val="31"/>
        </w:rPr>
        <w:t>的昼间平均等效声级和夜间等效声级代表该城市昼间和夜</w:t>
      </w:r>
      <w:r>
        <w:rPr>
          <w:rFonts w:ascii="宋体" w:hAnsi="宋体" w:eastAsia="宋体" w:cs="宋体"/>
          <w:spacing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间的环境噪声总体水平，环境噪声总体水平按下表进行评价。</w:t>
      </w:r>
    </w:p>
    <w:p w14:paraId="7EA808FA">
      <w:pPr>
        <w:spacing w:before="40" w:line="369" w:lineRule="exact"/>
        <w:ind w:left="9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1"/>
          <w:sz w:val="28"/>
          <w:szCs w:val="28"/>
        </w:rPr>
        <w:t>表</w:t>
      </w:r>
      <w:r>
        <w:rPr>
          <w:rFonts w:ascii="宋体" w:hAnsi="宋体" w:eastAsia="宋体" w:cs="宋体"/>
          <w:spacing w:val="-52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4-1 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城市区域环境噪声总体水平等级划分单位：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dB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A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）</w:t>
      </w:r>
    </w:p>
    <w:p w14:paraId="78F6559C">
      <w:pPr>
        <w:spacing w:line="25" w:lineRule="exact"/>
      </w:pPr>
    </w:p>
    <w:tbl>
      <w:tblPr>
        <w:tblStyle w:val="5"/>
        <w:tblW w:w="906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1410"/>
        <w:gridCol w:w="1507"/>
        <w:gridCol w:w="1509"/>
        <w:gridCol w:w="1506"/>
        <w:gridCol w:w="1110"/>
      </w:tblGrid>
      <w:tr w14:paraId="6740B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23" w:type="dxa"/>
            <w:vAlign w:val="top"/>
          </w:tcPr>
          <w:p w14:paraId="5FA7EF44">
            <w:pPr>
              <w:pStyle w:val="6"/>
              <w:spacing w:before="39" w:line="207" w:lineRule="auto"/>
              <w:ind w:left="780"/>
            </w:pPr>
            <w:r>
              <w:rPr>
                <w:spacing w:val="-6"/>
              </w:rPr>
              <w:t>等级</w:t>
            </w:r>
          </w:p>
        </w:tc>
        <w:tc>
          <w:tcPr>
            <w:tcW w:w="1410" w:type="dxa"/>
            <w:vAlign w:val="top"/>
          </w:tcPr>
          <w:p w14:paraId="454F5DBC">
            <w:pPr>
              <w:pStyle w:val="6"/>
              <w:spacing w:before="39" w:line="207" w:lineRule="auto"/>
              <w:ind w:left="473"/>
            </w:pPr>
            <w:r>
              <w:rPr>
                <w:spacing w:val="-7"/>
              </w:rPr>
              <w:t>一级</w:t>
            </w:r>
          </w:p>
        </w:tc>
        <w:tc>
          <w:tcPr>
            <w:tcW w:w="1507" w:type="dxa"/>
            <w:vAlign w:val="top"/>
          </w:tcPr>
          <w:p w14:paraId="6FAA6851">
            <w:pPr>
              <w:pStyle w:val="6"/>
              <w:spacing w:before="39" w:line="207" w:lineRule="auto"/>
              <w:ind w:left="525"/>
            </w:pPr>
            <w:r>
              <w:rPr>
                <w:spacing w:val="-7"/>
              </w:rPr>
              <w:t>二级</w:t>
            </w:r>
          </w:p>
        </w:tc>
        <w:tc>
          <w:tcPr>
            <w:tcW w:w="1509" w:type="dxa"/>
            <w:vAlign w:val="top"/>
          </w:tcPr>
          <w:p w14:paraId="3A51ECE8">
            <w:pPr>
              <w:pStyle w:val="6"/>
              <w:spacing w:before="39" w:line="207" w:lineRule="auto"/>
              <w:ind w:left="521"/>
            </w:pPr>
            <w:r>
              <w:rPr>
                <w:spacing w:val="-5"/>
              </w:rPr>
              <w:t>三级</w:t>
            </w:r>
          </w:p>
        </w:tc>
        <w:tc>
          <w:tcPr>
            <w:tcW w:w="1506" w:type="dxa"/>
            <w:vAlign w:val="top"/>
          </w:tcPr>
          <w:p w14:paraId="3C365995">
            <w:pPr>
              <w:pStyle w:val="6"/>
              <w:spacing w:before="39" w:line="207" w:lineRule="auto"/>
              <w:ind w:left="544"/>
            </w:pPr>
            <w:r>
              <w:rPr>
                <w:spacing w:val="-16"/>
              </w:rPr>
              <w:t>四级</w:t>
            </w:r>
          </w:p>
        </w:tc>
        <w:tc>
          <w:tcPr>
            <w:tcW w:w="1110" w:type="dxa"/>
            <w:vAlign w:val="top"/>
          </w:tcPr>
          <w:p w14:paraId="772AEED6">
            <w:pPr>
              <w:pStyle w:val="6"/>
              <w:spacing w:before="39" w:line="207" w:lineRule="auto"/>
              <w:ind w:left="325"/>
            </w:pPr>
            <w:r>
              <w:rPr>
                <w:spacing w:val="-7"/>
              </w:rPr>
              <w:t>五级</w:t>
            </w:r>
          </w:p>
        </w:tc>
      </w:tr>
      <w:tr w14:paraId="74B01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023" w:type="dxa"/>
            <w:vAlign w:val="top"/>
          </w:tcPr>
          <w:p w14:paraId="64EEF43B">
            <w:pPr>
              <w:pStyle w:val="6"/>
              <w:spacing w:before="36" w:line="223" w:lineRule="auto"/>
              <w:ind w:left="902" w:right="168" w:hanging="724"/>
            </w:pPr>
            <w:r>
              <w:rPr>
                <w:spacing w:val="-2"/>
              </w:rPr>
              <w:t>昼间平均等效声</w:t>
            </w:r>
            <w:r>
              <w:rPr>
                <w:spacing w:val="4"/>
              </w:rPr>
              <w:t xml:space="preserve"> </w:t>
            </w:r>
            <w:r>
              <w:t>级</w:t>
            </w:r>
          </w:p>
        </w:tc>
        <w:tc>
          <w:tcPr>
            <w:tcW w:w="1410" w:type="dxa"/>
            <w:vAlign w:val="top"/>
          </w:tcPr>
          <w:p w14:paraId="52421094">
            <w:pPr>
              <w:spacing w:before="235" w:line="188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≤50.0</w:t>
            </w:r>
          </w:p>
        </w:tc>
        <w:tc>
          <w:tcPr>
            <w:tcW w:w="1507" w:type="dxa"/>
            <w:vAlign w:val="top"/>
          </w:tcPr>
          <w:p w14:paraId="4BA1CE99">
            <w:pPr>
              <w:pStyle w:val="6"/>
              <w:spacing w:before="193" w:line="236" w:lineRule="auto"/>
              <w:ind w:left="223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50.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55.0</w:t>
            </w:r>
          </w:p>
        </w:tc>
        <w:tc>
          <w:tcPr>
            <w:tcW w:w="1509" w:type="dxa"/>
            <w:vAlign w:val="top"/>
          </w:tcPr>
          <w:p w14:paraId="3A8473F6">
            <w:pPr>
              <w:pStyle w:val="6"/>
              <w:spacing w:before="193" w:line="236" w:lineRule="auto"/>
              <w:ind w:left="223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55.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60.0</w:t>
            </w:r>
          </w:p>
        </w:tc>
        <w:tc>
          <w:tcPr>
            <w:tcW w:w="1506" w:type="dxa"/>
            <w:vAlign w:val="top"/>
          </w:tcPr>
          <w:p w14:paraId="07943301">
            <w:pPr>
              <w:pStyle w:val="6"/>
              <w:spacing w:before="193" w:line="236" w:lineRule="auto"/>
              <w:ind w:left="222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60.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65.0</w:t>
            </w:r>
          </w:p>
        </w:tc>
        <w:tc>
          <w:tcPr>
            <w:tcW w:w="1110" w:type="dxa"/>
            <w:vAlign w:val="top"/>
          </w:tcPr>
          <w:p w14:paraId="15714772">
            <w:pPr>
              <w:pStyle w:val="6"/>
              <w:spacing w:before="193" w:line="236" w:lineRule="auto"/>
              <w:ind w:left="254"/>
              <w:rPr>
                <w:rFonts w:ascii="Times New Roman" w:hAnsi="Times New Roman" w:eastAsia="Times New Roman" w:cs="Times New Roman"/>
              </w:rPr>
            </w:pPr>
            <w:r>
              <w:rPr>
                <w:spacing w:val="17"/>
              </w:rPr>
              <w:t>&gt;</w:t>
            </w:r>
            <w:r>
              <w:rPr>
                <w:rFonts w:ascii="Times New Roman" w:hAnsi="Times New Roman" w:eastAsia="Times New Roman" w:cs="Times New Roman"/>
                <w:spacing w:val="17"/>
              </w:rPr>
              <w:t>65.0</w:t>
            </w:r>
          </w:p>
        </w:tc>
      </w:tr>
      <w:tr w14:paraId="6A3F0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023" w:type="dxa"/>
            <w:vAlign w:val="top"/>
          </w:tcPr>
          <w:p w14:paraId="52053DED">
            <w:pPr>
              <w:pStyle w:val="6"/>
              <w:spacing w:before="37" w:line="206" w:lineRule="auto"/>
              <w:ind w:left="302"/>
            </w:pPr>
            <w:r>
              <w:rPr>
                <w:spacing w:val="-3"/>
              </w:rPr>
              <w:t>夜间等效声级</w:t>
            </w:r>
          </w:p>
        </w:tc>
        <w:tc>
          <w:tcPr>
            <w:tcW w:w="1410" w:type="dxa"/>
            <w:vAlign w:val="top"/>
          </w:tcPr>
          <w:p w14:paraId="0372DB4B">
            <w:pPr>
              <w:spacing w:before="79" w:line="188" w:lineRule="auto"/>
              <w:ind w:left="4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≤40.0</w:t>
            </w:r>
          </w:p>
        </w:tc>
        <w:tc>
          <w:tcPr>
            <w:tcW w:w="1507" w:type="dxa"/>
            <w:vAlign w:val="top"/>
          </w:tcPr>
          <w:p w14:paraId="52C5D7EC">
            <w:pPr>
              <w:pStyle w:val="6"/>
              <w:spacing w:before="37" w:line="206" w:lineRule="auto"/>
              <w:ind w:left="21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4"/>
              </w:rPr>
              <w:t>40.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</w:t>
            </w:r>
            <w:r>
              <w:rPr>
                <w:spacing w:val="-4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45.0</w:t>
            </w:r>
          </w:p>
        </w:tc>
        <w:tc>
          <w:tcPr>
            <w:tcW w:w="1509" w:type="dxa"/>
            <w:vAlign w:val="top"/>
          </w:tcPr>
          <w:p w14:paraId="33FE8E63">
            <w:pPr>
              <w:pStyle w:val="6"/>
              <w:spacing w:before="37" w:line="206" w:lineRule="auto"/>
              <w:ind w:left="21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4"/>
              </w:rPr>
              <w:t>45.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</w:t>
            </w:r>
            <w:r>
              <w:rPr>
                <w:spacing w:val="-4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50.0</w:t>
            </w:r>
          </w:p>
        </w:tc>
        <w:tc>
          <w:tcPr>
            <w:tcW w:w="1506" w:type="dxa"/>
            <w:vAlign w:val="top"/>
          </w:tcPr>
          <w:p w14:paraId="7C3039BF">
            <w:pPr>
              <w:pStyle w:val="6"/>
              <w:spacing w:before="37" w:line="206" w:lineRule="auto"/>
              <w:ind w:left="224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50.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55.0</w:t>
            </w:r>
          </w:p>
        </w:tc>
        <w:tc>
          <w:tcPr>
            <w:tcW w:w="1110" w:type="dxa"/>
            <w:vAlign w:val="top"/>
          </w:tcPr>
          <w:p w14:paraId="0D84AC83">
            <w:pPr>
              <w:pStyle w:val="6"/>
              <w:spacing w:before="37" w:line="206" w:lineRule="auto"/>
              <w:ind w:left="254"/>
              <w:rPr>
                <w:rFonts w:ascii="Times New Roman" w:hAnsi="Times New Roman" w:eastAsia="Times New Roman" w:cs="Times New Roman"/>
              </w:rPr>
            </w:pPr>
            <w:r>
              <w:rPr>
                <w:spacing w:val="17"/>
              </w:rPr>
              <w:t>&gt;</w:t>
            </w:r>
            <w:r>
              <w:rPr>
                <w:rFonts w:ascii="Times New Roman" w:hAnsi="Times New Roman" w:eastAsia="Times New Roman" w:cs="Times New Roman"/>
                <w:spacing w:val="17"/>
              </w:rPr>
              <w:t>55.0</w:t>
            </w:r>
          </w:p>
        </w:tc>
      </w:tr>
      <w:tr w14:paraId="68BC6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023" w:type="dxa"/>
            <w:vAlign w:val="top"/>
          </w:tcPr>
          <w:p w14:paraId="268DB463">
            <w:pPr>
              <w:pStyle w:val="6"/>
              <w:spacing w:before="42" w:line="206" w:lineRule="auto"/>
              <w:ind w:left="778"/>
            </w:pPr>
            <w:r>
              <w:rPr>
                <w:spacing w:val="-5"/>
              </w:rPr>
              <w:t>评价</w:t>
            </w:r>
          </w:p>
        </w:tc>
        <w:tc>
          <w:tcPr>
            <w:tcW w:w="1410" w:type="dxa"/>
            <w:vAlign w:val="top"/>
          </w:tcPr>
          <w:p w14:paraId="3A3D9283">
            <w:pPr>
              <w:pStyle w:val="6"/>
              <w:spacing w:before="42" w:line="206" w:lineRule="auto"/>
              <w:ind w:left="589"/>
            </w:pPr>
            <w:r>
              <w:t>好</w:t>
            </w:r>
          </w:p>
        </w:tc>
        <w:tc>
          <w:tcPr>
            <w:tcW w:w="1507" w:type="dxa"/>
            <w:vAlign w:val="top"/>
          </w:tcPr>
          <w:p w14:paraId="5CEF2352">
            <w:pPr>
              <w:pStyle w:val="6"/>
              <w:spacing w:before="42" w:line="206" w:lineRule="auto"/>
              <w:ind w:left="521"/>
            </w:pPr>
            <w:r>
              <w:rPr>
                <w:spacing w:val="-5"/>
              </w:rPr>
              <w:t>较好</w:t>
            </w:r>
          </w:p>
        </w:tc>
        <w:tc>
          <w:tcPr>
            <w:tcW w:w="1509" w:type="dxa"/>
            <w:vAlign w:val="top"/>
          </w:tcPr>
          <w:p w14:paraId="614AB08E">
            <w:pPr>
              <w:pStyle w:val="6"/>
              <w:spacing w:before="42" w:line="206" w:lineRule="auto"/>
              <w:ind w:left="525"/>
            </w:pPr>
            <w:r>
              <w:rPr>
                <w:spacing w:val="-7"/>
              </w:rPr>
              <w:t>一般</w:t>
            </w:r>
          </w:p>
        </w:tc>
        <w:tc>
          <w:tcPr>
            <w:tcW w:w="1506" w:type="dxa"/>
            <w:vAlign w:val="top"/>
          </w:tcPr>
          <w:p w14:paraId="3D12EE52">
            <w:pPr>
              <w:pStyle w:val="6"/>
              <w:spacing w:before="42" w:line="206" w:lineRule="auto"/>
              <w:ind w:left="521"/>
            </w:pPr>
            <w:r>
              <w:rPr>
                <w:spacing w:val="-5"/>
              </w:rPr>
              <w:t>较差</w:t>
            </w:r>
          </w:p>
        </w:tc>
        <w:tc>
          <w:tcPr>
            <w:tcW w:w="1110" w:type="dxa"/>
            <w:vAlign w:val="top"/>
          </w:tcPr>
          <w:p w14:paraId="36874574">
            <w:pPr>
              <w:pStyle w:val="6"/>
              <w:spacing w:before="42" w:line="206" w:lineRule="auto"/>
              <w:ind w:left="444"/>
            </w:pPr>
            <w:r>
              <w:t>差</w:t>
            </w:r>
          </w:p>
        </w:tc>
      </w:tr>
    </w:tbl>
    <w:p w14:paraId="6BD81061">
      <w:pPr>
        <w:spacing w:before="165" w:line="368" w:lineRule="exact"/>
        <w:ind w:left="13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1"/>
          <w:sz w:val="28"/>
          <w:szCs w:val="28"/>
        </w:rPr>
        <w:t>表</w:t>
      </w:r>
      <w:r>
        <w:rPr>
          <w:rFonts w:ascii="宋体" w:hAnsi="宋体" w:eastAsia="宋体" w:cs="宋体"/>
          <w:spacing w:val="-55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4-2 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开化县区域环境噪声总体水平单位：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dB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A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）</w:t>
      </w:r>
    </w:p>
    <w:p w14:paraId="0E1B7556">
      <w:pPr>
        <w:spacing w:line="27" w:lineRule="exact"/>
      </w:pPr>
    </w:p>
    <w:tbl>
      <w:tblPr>
        <w:tblStyle w:val="5"/>
        <w:tblW w:w="90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9"/>
        <w:gridCol w:w="1731"/>
        <w:gridCol w:w="1137"/>
        <w:gridCol w:w="1119"/>
        <w:gridCol w:w="1702"/>
        <w:gridCol w:w="1089"/>
        <w:gridCol w:w="1223"/>
      </w:tblGrid>
      <w:tr w14:paraId="4551BA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 w14:paraId="371A8147">
            <w:pPr>
              <w:pStyle w:val="6"/>
              <w:spacing w:before="46" w:line="224" w:lineRule="auto"/>
              <w:ind w:left="188" w:right="187" w:firstLine="109"/>
            </w:pPr>
            <w:r>
              <w:rPr>
                <w:spacing w:val="-6"/>
              </w:rPr>
              <w:t>年份</w:t>
            </w:r>
            <w:r>
              <w:t xml:space="preserve"> </w:t>
            </w:r>
            <w:r>
              <w:rPr>
                <w:spacing w:val="-14"/>
              </w:rPr>
              <w:t>（年）</w:t>
            </w:r>
          </w:p>
        </w:tc>
        <w:tc>
          <w:tcPr>
            <w:tcW w:w="3987" w:type="dxa"/>
            <w:gridSpan w:val="3"/>
            <w:vAlign w:val="top"/>
          </w:tcPr>
          <w:p w14:paraId="7DAC4575">
            <w:pPr>
              <w:pStyle w:val="6"/>
              <w:spacing w:before="40" w:line="207" w:lineRule="auto"/>
              <w:ind w:left="1758"/>
            </w:pPr>
            <w:r>
              <w:rPr>
                <w:spacing w:val="-5"/>
              </w:rPr>
              <w:t>昼间</w:t>
            </w:r>
          </w:p>
        </w:tc>
        <w:tc>
          <w:tcPr>
            <w:tcW w:w="4014" w:type="dxa"/>
            <w:gridSpan w:val="3"/>
            <w:vAlign w:val="top"/>
          </w:tcPr>
          <w:p w14:paraId="561093A2">
            <w:pPr>
              <w:pStyle w:val="6"/>
              <w:spacing w:before="40" w:line="207" w:lineRule="auto"/>
              <w:ind w:left="1777"/>
            </w:pPr>
            <w:r>
              <w:rPr>
                <w:spacing w:val="-7"/>
              </w:rPr>
              <w:t>夜间</w:t>
            </w:r>
          </w:p>
        </w:tc>
      </w:tr>
      <w:tr w14:paraId="01116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 w14:paraId="2A531077">
            <w:pPr>
              <w:rPr>
                <w:rFonts w:ascii="Arial"/>
                <w:sz w:val="21"/>
              </w:rPr>
            </w:pPr>
          </w:p>
        </w:tc>
        <w:tc>
          <w:tcPr>
            <w:tcW w:w="1731" w:type="dxa"/>
            <w:vAlign w:val="top"/>
          </w:tcPr>
          <w:p w14:paraId="29CD444C">
            <w:pPr>
              <w:pStyle w:val="6"/>
              <w:spacing w:before="37" w:line="205" w:lineRule="auto"/>
              <w:ind w:left="150"/>
            </w:pPr>
            <w:r>
              <w:rPr>
                <w:spacing w:val="-2"/>
              </w:rPr>
              <w:t>平均等效声级</w:t>
            </w:r>
          </w:p>
        </w:tc>
        <w:tc>
          <w:tcPr>
            <w:tcW w:w="1137" w:type="dxa"/>
            <w:vAlign w:val="top"/>
          </w:tcPr>
          <w:p w14:paraId="2BEB2B8B">
            <w:pPr>
              <w:pStyle w:val="6"/>
              <w:spacing w:before="37" w:line="205" w:lineRule="auto"/>
              <w:ind w:left="338"/>
            </w:pPr>
            <w:r>
              <w:rPr>
                <w:spacing w:val="-6"/>
              </w:rPr>
              <w:t>等级</w:t>
            </w:r>
          </w:p>
        </w:tc>
        <w:tc>
          <w:tcPr>
            <w:tcW w:w="1119" w:type="dxa"/>
            <w:vAlign w:val="top"/>
          </w:tcPr>
          <w:p w14:paraId="516C89D9">
            <w:pPr>
              <w:pStyle w:val="6"/>
              <w:spacing w:before="37" w:line="205" w:lineRule="auto"/>
              <w:ind w:left="330"/>
            </w:pPr>
            <w:r>
              <w:rPr>
                <w:spacing w:val="-7"/>
              </w:rPr>
              <w:t>水平</w:t>
            </w:r>
          </w:p>
        </w:tc>
        <w:tc>
          <w:tcPr>
            <w:tcW w:w="1702" w:type="dxa"/>
            <w:vAlign w:val="top"/>
          </w:tcPr>
          <w:p w14:paraId="1DAF49B1">
            <w:pPr>
              <w:pStyle w:val="6"/>
              <w:spacing w:before="37" w:line="205" w:lineRule="auto"/>
              <w:ind w:left="138"/>
            </w:pPr>
            <w:r>
              <w:rPr>
                <w:spacing w:val="-2"/>
              </w:rPr>
              <w:t>平均等效声级</w:t>
            </w:r>
          </w:p>
        </w:tc>
        <w:tc>
          <w:tcPr>
            <w:tcW w:w="1089" w:type="dxa"/>
            <w:vAlign w:val="top"/>
          </w:tcPr>
          <w:p w14:paraId="551A9896">
            <w:pPr>
              <w:pStyle w:val="6"/>
              <w:spacing w:before="37" w:line="205" w:lineRule="auto"/>
              <w:ind w:left="316"/>
            </w:pPr>
            <w:r>
              <w:rPr>
                <w:spacing w:val="-6"/>
              </w:rPr>
              <w:t>等级</w:t>
            </w:r>
          </w:p>
        </w:tc>
        <w:tc>
          <w:tcPr>
            <w:tcW w:w="1223" w:type="dxa"/>
            <w:vAlign w:val="top"/>
          </w:tcPr>
          <w:p w14:paraId="3EE7F374">
            <w:pPr>
              <w:pStyle w:val="6"/>
              <w:spacing w:before="37" w:line="205" w:lineRule="auto"/>
              <w:ind w:left="380"/>
            </w:pPr>
            <w:r>
              <w:rPr>
                <w:spacing w:val="-7"/>
              </w:rPr>
              <w:t>水平</w:t>
            </w:r>
          </w:p>
        </w:tc>
      </w:tr>
      <w:tr w14:paraId="6859BE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59" w:type="dxa"/>
            <w:vAlign w:val="top"/>
          </w:tcPr>
          <w:p w14:paraId="5CD42F9C">
            <w:pPr>
              <w:spacing w:before="79" w:line="188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2023</w:t>
            </w:r>
          </w:p>
        </w:tc>
        <w:tc>
          <w:tcPr>
            <w:tcW w:w="1731" w:type="dxa"/>
            <w:vAlign w:val="top"/>
          </w:tcPr>
          <w:p w14:paraId="56E52E8D">
            <w:pPr>
              <w:spacing w:before="79" w:line="188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52.1</w:t>
            </w:r>
          </w:p>
        </w:tc>
        <w:tc>
          <w:tcPr>
            <w:tcW w:w="1137" w:type="dxa"/>
            <w:vAlign w:val="top"/>
          </w:tcPr>
          <w:p w14:paraId="4C23C805">
            <w:pPr>
              <w:pStyle w:val="6"/>
              <w:spacing w:before="37" w:line="209" w:lineRule="auto"/>
              <w:ind w:left="340"/>
            </w:pPr>
            <w:r>
              <w:rPr>
                <w:spacing w:val="-7"/>
              </w:rPr>
              <w:t>二级</w:t>
            </w:r>
          </w:p>
        </w:tc>
        <w:tc>
          <w:tcPr>
            <w:tcW w:w="1119" w:type="dxa"/>
            <w:vAlign w:val="top"/>
          </w:tcPr>
          <w:p w14:paraId="05352E43">
            <w:pPr>
              <w:pStyle w:val="6"/>
              <w:spacing w:before="37" w:line="209" w:lineRule="auto"/>
              <w:ind w:left="327"/>
            </w:pPr>
            <w:r>
              <w:rPr>
                <w:spacing w:val="-5"/>
              </w:rPr>
              <w:t>较好</w:t>
            </w:r>
          </w:p>
        </w:tc>
        <w:tc>
          <w:tcPr>
            <w:tcW w:w="1702" w:type="dxa"/>
            <w:vAlign w:val="top"/>
          </w:tcPr>
          <w:p w14:paraId="1D0F92ED">
            <w:pPr>
              <w:spacing w:before="79" w:line="188" w:lineRule="auto"/>
              <w:ind w:left="7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1089" w:type="dxa"/>
            <w:vAlign w:val="top"/>
          </w:tcPr>
          <w:p w14:paraId="27E45754">
            <w:pPr>
              <w:pStyle w:val="6"/>
              <w:spacing w:before="37" w:line="209" w:lineRule="auto"/>
              <w:ind w:left="317"/>
            </w:pPr>
            <w:r>
              <w:rPr>
                <w:spacing w:val="-7"/>
              </w:rPr>
              <w:t>二级</w:t>
            </w:r>
          </w:p>
        </w:tc>
        <w:tc>
          <w:tcPr>
            <w:tcW w:w="1223" w:type="dxa"/>
            <w:vAlign w:val="top"/>
          </w:tcPr>
          <w:p w14:paraId="79EB71B5">
            <w:pPr>
              <w:pStyle w:val="6"/>
              <w:spacing w:before="37" w:line="209" w:lineRule="auto"/>
              <w:ind w:left="377"/>
            </w:pPr>
            <w:r>
              <w:rPr>
                <w:spacing w:val="-5"/>
              </w:rPr>
              <w:t>较好</w:t>
            </w:r>
          </w:p>
        </w:tc>
      </w:tr>
    </w:tbl>
    <w:p w14:paraId="46A6ED44">
      <w:pPr>
        <w:spacing w:before="176" w:line="319" w:lineRule="auto"/>
        <w:ind w:left="125" w:right="187" w:firstLine="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开化县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2023 </w:t>
      </w:r>
      <w:r>
        <w:rPr>
          <w:rFonts w:ascii="宋体" w:hAnsi="宋体" w:eastAsia="宋体" w:cs="宋体"/>
          <w:spacing w:val="9"/>
          <w:sz w:val="31"/>
          <w:szCs w:val="31"/>
        </w:rPr>
        <w:t>年声环境功能区噪声监测工作共开展了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2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次，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其中：</w:t>
      </w:r>
    </w:p>
    <w:p w14:paraId="4AC971DA">
      <w:pPr>
        <w:spacing w:before="2" w:line="316" w:lineRule="auto"/>
        <w:ind w:left="118" w:right="4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 xml:space="preserve">2 </w:t>
      </w:r>
      <w:r>
        <w:rPr>
          <w:rFonts w:ascii="宋体" w:hAnsi="宋体" w:eastAsia="宋体" w:cs="宋体"/>
          <w:sz w:val="31"/>
          <w:szCs w:val="31"/>
        </w:rPr>
        <w:t>月份的监测结果为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 </w:t>
      </w:r>
      <w:r>
        <w:rPr>
          <w:rFonts w:ascii="宋体" w:hAnsi="宋体" w:eastAsia="宋体" w:cs="宋体"/>
          <w:sz w:val="31"/>
          <w:szCs w:val="31"/>
        </w:rPr>
        <w:t>类功能区点位兴岙小区</w:t>
      </w:r>
      <w:r>
        <w:rPr>
          <w:rFonts w:ascii="宋体" w:hAnsi="宋体" w:eastAsia="宋体" w:cs="宋体"/>
          <w:spacing w:val="-9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44.6 db(A)</w:t>
      </w:r>
      <w:r>
        <w:rPr>
          <w:rFonts w:ascii="宋体" w:hAnsi="宋体" w:eastAsia="宋体" w:cs="宋体"/>
          <w:sz w:val="31"/>
          <w:szCs w:val="31"/>
        </w:rPr>
        <w:t xml:space="preserve">（标 </w:t>
      </w:r>
      <w:r>
        <w:rPr>
          <w:rFonts w:ascii="宋体" w:hAnsi="宋体" w:eastAsia="宋体" w:cs="宋体"/>
          <w:spacing w:val="-8"/>
          <w:sz w:val="31"/>
          <w:szCs w:val="31"/>
        </w:rPr>
        <w:t>准：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≤55 db(A)</w:t>
      </w:r>
      <w:r>
        <w:rPr>
          <w:rFonts w:ascii="宋体" w:hAnsi="宋体" w:eastAsia="宋体" w:cs="宋体"/>
          <w:spacing w:val="-8"/>
          <w:sz w:val="31"/>
          <w:szCs w:val="31"/>
        </w:rPr>
        <w:t>）、贝林星月湾点位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50.7 db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(A)</w:t>
      </w:r>
      <w:r>
        <w:rPr>
          <w:rFonts w:ascii="宋体" w:hAnsi="宋体" w:eastAsia="宋体" w:cs="宋体"/>
          <w:spacing w:val="-9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>≤55 db(A)</w:t>
      </w:r>
      <w:r>
        <w:rPr>
          <w:rFonts w:ascii="宋体" w:hAnsi="宋体" w:eastAsia="宋体" w:cs="宋体"/>
          <w:spacing w:val="-9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2"/>
          <w:sz w:val="31"/>
          <w:szCs w:val="31"/>
        </w:rPr>
        <w:t>类功能区点位金佰汇广场点位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50.1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(A)</w:t>
      </w:r>
      <w:r>
        <w:rPr>
          <w:rFonts w:ascii="宋体" w:hAnsi="宋体" w:eastAsia="宋体" w:cs="宋体"/>
          <w:spacing w:val="2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≤60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A)</w:t>
      </w:r>
      <w:r>
        <w:rPr>
          <w:rFonts w:ascii="宋体" w:hAnsi="宋体" w:eastAsia="宋体" w:cs="宋体"/>
          <w:spacing w:val="1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华埠镇政府点位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48.7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(A)</w:t>
      </w:r>
      <w:r>
        <w:rPr>
          <w:rFonts w:ascii="宋体" w:hAnsi="宋体" w:eastAsia="宋体" w:cs="宋体"/>
          <w:spacing w:val="8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≤ 60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(A)</w:t>
      </w:r>
      <w:r>
        <w:rPr>
          <w:rFonts w:ascii="宋体" w:hAnsi="宋体" w:eastAsia="宋体" w:cs="宋体"/>
          <w:spacing w:val="8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8"/>
          <w:sz w:val="31"/>
          <w:szCs w:val="31"/>
        </w:rPr>
        <w:t>类功能</w:t>
      </w:r>
      <w:r>
        <w:rPr>
          <w:rFonts w:ascii="宋体" w:hAnsi="宋体" w:eastAsia="宋体" w:cs="宋体"/>
          <w:spacing w:val="7"/>
          <w:sz w:val="31"/>
          <w:szCs w:val="31"/>
        </w:rPr>
        <w:t>区点</w:t>
      </w:r>
    </w:p>
    <w:p w14:paraId="294777A8">
      <w:pPr>
        <w:spacing w:line="316" w:lineRule="auto"/>
        <w:rPr>
          <w:rFonts w:ascii="宋体" w:hAnsi="宋体" w:eastAsia="宋体" w:cs="宋体"/>
          <w:sz w:val="31"/>
          <w:szCs w:val="31"/>
        </w:rPr>
        <w:sectPr>
          <w:footerReference r:id="rId33" w:type="default"/>
          <w:pgSz w:w="11906" w:h="16839"/>
          <w:pgMar w:top="1431" w:right="1361" w:bottom="1151" w:left="1474" w:header="0" w:footer="989" w:gutter="0"/>
          <w:cols w:space="720" w:num="1"/>
        </w:sectPr>
      </w:pPr>
    </w:p>
    <w:p w14:paraId="595EE9A9">
      <w:pPr>
        <w:pStyle w:val="2"/>
        <w:spacing w:line="345" w:lineRule="auto"/>
      </w:pPr>
    </w:p>
    <w:p w14:paraId="18899EB5">
      <w:pPr>
        <w:pStyle w:val="2"/>
        <w:spacing w:line="345" w:lineRule="auto"/>
      </w:pPr>
    </w:p>
    <w:p w14:paraId="1C51B6DD">
      <w:pPr>
        <w:spacing w:before="101" w:line="310" w:lineRule="auto"/>
        <w:ind w:left="4" w:right="268" w:firstLine="1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位明峰电子点位</w:t>
      </w:r>
      <w:r>
        <w:rPr>
          <w:rFonts w:ascii="宋体" w:hAnsi="宋体" w:eastAsia="宋体" w:cs="宋体"/>
          <w:spacing w:val="-4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55.9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≤65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）、德源装饰材料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点位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53.2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≤65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6"/>
          <w:sz w:val="31"/>
          <w:szCs w:val="31"/>
        </w:rPr>
        <w:t>类功能</w:t>
      </w:r>
      <w:r>
        <w:rPr>
          <w:rFonts w:ascii="宋体" w:hAnsi="宋体" w:eastAsia="宋体" w:cs="宋体"/>
          <w:spacing w:val="5"/>
          <w:sz w:val="31"/>
          <w:szCs w:val="31"/>
        </w:rPr>
        <w:t>区点位园区管委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会点位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61.5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≤70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）。</w:t>
      </w:r>
    </w:p>
    <w:p w14:paraId="664EDB64">
      <w:pPr>
        <w:spacing w:before="114" w:line="324" w:lineRule="auto"/>
        <w:ind w:right="160" w:firstLine="649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 xml:space="preserve">5 </w:t>
      </w:r>
      <w:r>
        <w:rPr>
          <w:rFonts w:ascii="宋体" w:hAnsi="宋体" w:eastAsia="宋体" w:cs="宋体"/>
          <w:sz w:val="31"/>
          <w:szCs w:val="31"/>
        </w:rPr>
        <w:t>月份的监测结果为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 </w:t>
      </w:r>
      <w:r>
        <w:rPr>
          <w:rFonts w:ascii="宋体" w:hAnsi="宋体" w:eastAsia="宋体" w:cs="宋体"/>
          <w:sz w:val="31"/>
          <w:szCs w:val="31"/>
        </w:rPr>
        <w:t>类功能区点位兴岙小区</w:t>
      </w:r>
      <w:r>
        <w:rPr>
          <w:rFonts w:ascii="宋体" w:hAnsi="宋体" w:eastAsia="宋体" w:cs="宋体"/>
          <w:spacing w:val="-9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42.9 db(A)</w:t>
      </w:r>
      <w:r>
        <w:rPr>
          <w:rFonts w:ascii="宋体" w:hAnsi="宋体" w:eastAsia="宋体" w:cs="宋体"/>
          <w:spacing w:val="-1"/>
          <w:sz w:val="31"/>
          <w:szCs w:val="31"/>
        </w:rPr>
        <w:t>（标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准：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≤55 db(A)</w:t>
      </w:r>
      <w:r>
        <w:rPr>
          <w:rFonts w:ascii="宋体" w:hAnsi="宋体" w:eastAsia="宋体" w:cs="宋体"/>
          <w:spacing w:val="-7"/>
          <w:sz w:val="31"/>
          <w:szCs w:val="31"/>
        </w:rPr>
        <w:t>）、贝林星月湾点位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47.6db(A)</w:t>
      </w:r>
      <w:r>
        <w:rPr>
          <w:rFonts w:ascii="宋体" w:hAnsi="宋体" w:eastAsia="宋体" w:cs="宋体"/>
          <w:spacing w:val="-7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≤55 db(A)</w:t>
      </w:r>
      <w:r>
        <w:rPr>
          <w:rFonts w:ascii="宋体" w:hAnsi="宋体" w:eastAsia="宋体" w:cs="宋体"/>
          <w:spacing w:val="-7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4"/>
          <w:sz w:val="31"/>
          <w:szCs w:val="31"/>
        </w:rPr>
        <w:t>类功能区点位金佰汇广场点位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45.7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(A)</w:t>
      </w:r>
      <w:r>
        <w:rPr>
          <w:rFonts w:ascii="宋体" w:hAnsi="宋体" w:eastAsia="宋体" w:cs="宋体"/>
          <w:spacing w:val="4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≤60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(A)</w:t>
      </w:r>
      <w:r>
        <w:rPr>
          <w:rFonts w:ascii="宋体" w:hAnsi="宋体" w:eastAsia="宋体" w:cs="宋体"/>
          <w:spacing w:val="4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华埠镇政府点位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51.1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(A)</w:t>
      </w:r>
      <w:r>
        <w:rPr>
          <w:rFonts w:ascii="宋体" w:hAnsi="宋体" w:eastAsia="宋体" w:cs="宋体"/>
          <w:spacing w:val="8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≤ 60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(A)</w:t>
      </w:r>
      <w:r>
        <w:rPr>
          <w:rFonts w:ascii="宋体" w:hAnsi="宋体" w:eastAsia="宋体" w:cs="宋体"/>
          <w:spacing w:val="7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7"/>
          <w:sz w:val="31"/>
          <w:szCs w:val="31"/>
        </w:rPr>
        <w:t>类功能区点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位明峰电子点位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58.7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≤65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）、德源装饰材料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点位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57.1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≤65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6"/>
          <w:sz w:val="31"/>
          <w:szCs w:val="31"/>
        </w:rPr>
        <w:t>类功能区点位园</w:t>
      </w:r>
      <w:r>
        <w:rPr>
          <w:rFonts w:ascii="宋体" w:hAnsi="宋体" w:eastAsia="宋体" w:cs="宋体"/>
          <w:spacing w:val="5"/>
          <w:sz w:val="31"/>
          <w:szCs w:val="31"/>
        </w:rPr>
        <w:t>区管委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会点位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61.4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≤70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）。</w:t>
      </w:r>
    </w:p>
    <w:p w14:paraId="3A3DC3CE">
      <w:pPr>
        <w:spacing w:before="110" w:line="324" w:lineRule="auto"/>
        <w:ind w:right="160" w:firstLine="65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 xml:space="preserve">8 </w:t>
      </w:r>
      <w:r>
        <w:rPr>
          <w:rFonts w:ascii="宋体" w:hAnsi="宋体" w:eastAsia="宋体" w:cs="宋体"/>
          <w:sz w:val="31"/>
          <w:szCs w:val="31"/>
        </w:rPr>
        <w:t>月份的监测结果为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 </w:t>
      </w:r>
      <w:r>
        <w:rPr>
          <w:rFonts w:ascii="宋体" w:hAnsi="宋体" w:eastAsia="宋体" w:cs="宋体"/>
          <w:sz w:val="31"/>
          <w:szCs w:val="31"/>
        </w:rPr>
        <w:t>类功能区点位兴岙小区</w:t>
      </w:r>
      <w:r>
        <w:rPr>
          <w:rFonts w:ascii="宋体" w:hAnsi="宋体" w:eastAsia="宋体" w:cs="宋体"/>
          <w:spacing w:val="-8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43.3 d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b(A)</w:t>
      </w:r>
      <w:r>
        <w:rPr>
          <w:rFonts w:ascii="宋体" w:hAnsi="宋体" w:eastAsia="宋体" w:cs="宋体"/>
          <w:spacing w:val="-1"/>
          <w:sz w:val="31"/>
          <w:szCs w:val="31"/>
        </w:rPr>
        <w:t>（标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7"/>
          <w:sz w:val="31"/>
          <w:szCs w:val="31"/>
        </w:rPr>
        <w:t>准：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≤55 db(A)</w:t>
      </w:r>
      <w:r>
        <w:rPr>
          <w:rFonts w:ascii="宋体" w:hAnsi="宋体" w:eastAsia="宋体" w:cs="宋体"/>
          <w:spacing w:val="-7"/>
          <w:sz w:val="31"/>
          <w:szCs w:val="31"/>
        </w:rPr>
        <w:t>）、贝林星月湾点位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47.9db(A)</w:t>
      </w:r>
      <w:r>
        <w:rPr>
          <w:rFonts w:ascii="宋体" w:hAnsi="宋体" w:eastAsia="宋体" w:cs="宋体"/>
          <w:spacing w:val="-7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≤55 db(A)</w:t>
      </w:r>
      <w:r>
        <w:rPr>
          <w:rFonts w:ascii="宋体" w:hAnsi="宋体" w:eastAsia="宋体" w:cs="宋体"/>
          <w:spacing w:val="-7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4"/>
          <w:sz w:val="31"/>
          <w:szCs w:val="31"/>
        </w:rPr>
        <w:t>类功能区点位金佰汇广场点位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51.5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(A)</w:t>
      </w:r>
      <w:r>
        <w:rPr>
          <w:rFonts w:ascii="宋体" w:hAnsi="宋体" w:eastAsia="宋体" w:cs="宋体"/>
          <w:spacing w:val="4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≤60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(A)</w:t>
      </w:r>
      <w:r>
        <w:rPr>
          <w:rFonts w:ascii="宋体" w:hAnsi="宋体" w:eastAsia="宋体" w:cs="宋体"/>
          <w:spacing w:val="4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华埠镇政府点位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52.1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(A)</w:t>
      </w:r>
      <w:r>
        <w:rPr>
          <w:rFonts w:ascii="宋体" w:hAnsi="宋体" w:eastAsia="宋体" w:cs="宋体"/>
          <w:spacing w:val="8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≤ 60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(A)</w:t>
      </w:r>
      <w:r>
        <w:rPr>
          <w:rFonts w:ascii="宋体" w:hAnsi="宋体" w:eastAsia="宋体" w:cs="宋体"/>
          <w:spacing w:val="7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7"/>
          <w:sz w:val="31"/>
          <w:szCs w:val="31"/>
        </w:rPr>
        <w:t>类功能区点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位明峰电子点位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54.8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≤65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）、德源装饰材料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点位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52.7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≤65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6"/>
          <w:sz w:val="31"/>
          <w:szCs w:val="31"/>
        </w:rPr>
        <w:t>类功能区点位园</w:t>
      </w:r>
      <w:r>
        <w:rPr>
          <w:rFonts w:ascii="宋体" w:hAnsi="宋体" w:eastAsia="宋体" w:cs="宋体"/>
          <w:spacing w:val="5"/>
          <w:sz w:val="31"/>
          <w:szCs w:val="31"/>
        </w:rPr>
        <w:t>区管委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会点位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63.7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≤70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）。</w:t>
      </w:r>
    </w:p>
    <w:p w14:paraId="59739D3B">
      <w:pPr>
        <w:spacing w:before="114" w:line="320" w:lineRule="auto"/>
        <w:ind w:firstLine="671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11</w:t>
      </w:r>
      <w:r>
        <w:rPr>
          <w:rFonts w:ascii="Times New Roman" w:hAnsi="Times New Roman" w:eastAsia="Times New Roman" w:cs="Times New Roman"/>
          <w:spacing w:val="4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月份的监测结果为</w:t>
      </w:r>
      <w:r>
        <w:rPr>
          <w:rFonts w:ascii="宋体" w:hAnsi="宋体" w:eastAsia="宋体" w:cs="宋体"/>
          <w:spacing w:val="-2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7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类功能区点位兴岙小区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47.8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(A)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  </w:t>
      </w:r>
      <w:r>
        <w:rPr>
          <w:rFonts w:ascii="宋体" w:hAnsi="宋体" w:eastAsia="宋体" w:cs="宋体"/>
          <w:spacing w:val="-14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-14"/>
          <w:sz w:val="31"/>
          <w:szCs w:val="31"/>
        </w:rPr>
        <w:t>≤55 db(A)</w:t>
      </w:r>
      <w:r>
        <w:rPr>
          <w:rFonts w:ascii="宋体" w:hAnsi="宋体" w:eastAsia="宋体" w:cs="宋体"/>
          <w:spacing w:val="-14"/>
          <w:sz w:val="31"/>
          <w:szCs w:val="31"/>
        </w:rPr>
        <w:t>）、贝林星月湾点位</w:t>
      </w:r>
      <w:r>
        <w:rPr>
          <w:rFonts w:ascii="Times New Roman" w:hAnsi="Times New Roman" w:eastAsia="Times New Roman" w:cs="Times New Roman"/>
          <w:spacing w:val="-14"/>
          <w:sz w:val="31"/>
          <w:szCs w:val="31"/>
        </w:rPr>
        <w:t>44.0db</w:t>
      </w:r>
      <w:r>
        <w:rPr>
          <w:rFonts w:ascii="Times New Roman" w:hAnsi="Times New Roman" w:eastAsia="Times New Roman" w:cs="Times New Roman"/>
          <w:spacing w:val="-15"/>
          <w:sz w:val="31"/>
          <w:szCs w:val="31"/>
        </w:rPr>
        <w:t>(A)</w:t>
      </w:r>
      <w:r>
        <w:rPr>
          <w:rFonts w:ascii="宋体" w:hAnsi="宋体" w:eastAsia="宋体" w:cs="宋体"/>
          <w:spacing w:val="-1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-15"/>
          <w:sz w:val="31"/>
          <w:szCs w:val="31"/>
        </w:rPr>
        <w:t>≤55 db(A)</w:t>
      </w:r>
      <w:r>
        <w:rPr>
          <w:rFonts w:ascii="宋体" w:hAnsi="宋体" w:eastAsia="宋体" w:cs="宋体"/>
          <w:spacing w:val="-15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6"/>
          <w:sz w:val="31"/>
          <w:szCs w:val="31"/>
        </w:rPr>
        <w:t>类功能区点位金佰汇广场点位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54.7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≤60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）、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华埠镇政府点位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50.2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(A)</w:t>
      </w:r>
      <w:r>
        <w:rPr>
          <w:rFonts w:ascii="宋体" w:hAnsi="宋体" w:eastAsia="宋体" w:cs="宋体"/>
          <w:spacing w:val="8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≤ 60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(A)</w:t>
      </w:r>
      <w:r>
        <w:rPr>
          <w:rFonts w:ascii="宋体" w:hAnsi="宋体" w:eastAsia="宋体" w:cs="宋体"/>
          <w:spacing w:val="7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7"/>
          <w:sz w:val="31"/>
          <w:szCs w:val="31"/>
        </w:rPr>
        <w:t>类功能区点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6"/>
          <w:sz w:val="31"/>
          <w:szCs w:val="31"/>
        </w:rPr>
        <w:t>位明峰电子点位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56.2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(A)</w:t>
      </w:r>
      <w:r>
        <w:rPr>
          <w:rFonts w:ascii="宋体" w:hAnsi="宋体" w:eastAsia="宋体" w:cs="宋体"/>
          <w:spacing w:val="6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≤65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）、德源装饰材料</w:t>
      </w:r>
    </w:p>
    <w:p w14:paraId="1DDA51EF">
      <w:pPr>
        <w:spacing w:line="320" w:lineRule="auto"/>
        <w:rPr>
          <w:rFonts w:ascii="宋体" w:hAnsi="宋体" w:eastAsia="宋体" w:cs="宋体"/>
          <w:sz w:val="31"/>
          <w:szCs w:val="31"/>
        </w:rPr>
        <w:sectPr>
          <w:footerReference r:id="rId34" w:type="default"/>
          <w:pgSz w:w="11906" w:h="16839"/>
          <w:pgMar w:top="1431" w:right="1204" w:bottom="1151" w:left="1593" w:header="0" w:footer="989" w:gutter="0"/>
          <w:cols w:space="720" w:num="1"/>
        </w:sectPr>
      </w:pPr>
    </w:p>
    <w:p w14:paraId="4F603799">
      <w:pPr>
        <w:pStyle w:val="2"/>
        <w:spacing w:line="344" w:lineRule="auto"/>
      </w:pPr>
    </w:p>
    <w:p w14:paraId="0149AB90">
      <w:pPr>
        <w:pStyle w:val="2"/>
        <w:spacing w:line="344" w:lineRule="auto"/>
      </w:pPr>
    </w:p>
    <w:p w14:paraId="3450CC87">
      <w:pPr>
        <w:spacing w:before="101" w:line="299" w:lineRule="auto"/>
        <w:ind w:left="123" w:right="114" w:firstLine="1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点位</w:t>
      </w:r>
      <w:r>
        <w:rPr>
          <w:rFonts w:ascii="宋体" w:hAnsi="宋体" w:eastAsia="宋体" w:cs="宋体"/>
          <w:spacing w:val="-4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53.4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≤65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）、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5"/>
          <w:sz w:val="31"/>
          <w:szCs w:val="31"/>
        </w:rPr>
        <w:t>类功能区点位园区管委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会点位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64.4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（标准：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≤70 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(A)</w:t>
      </w:r>
      <w:r>
        <w:rPr>
          <w:rFonts w:ascii="宋体" w:hAnsi="宋体" w:eastAsia="宋体" w:cs="宋体"/>
          <w:spacing w:val="5"/>
          <w:sz w:val="31"/>
          <w:szCs w:val="31"/>
        </w:rPr>
        <w:t>）。</w:t>
      </w:r>
    </w:p>
    <w:p w14:paraId="7ACD2CD8">
      <w:pPr>
        <w:spacing w:before="244" w:line="225" w:lineRule="auto"/>
        <w:ind w:left="758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4.2.2  </w:t>
      </w:r>
      <w:r>
        <w:rPr>
          <w:rFonts w:ascii="宋体" w:hAnsi="宋体" w:eastAsia="宋体" w:cs="宋体"/>
          <w:spacing w:val="6"/>
          <w:sz w:val="31"/>
          <w:szCs w:val="31"/>
        </w:rPr>
        <w:t>道路交通环境噪声现状</w:t>
      </w:r>
    </w:p>
    <w:p w14:paraId="2EAC80A5">
      <w:pPr>
        <w:spacing w:before="200" w:line="323" w:lineRule="auto"/>
        <w:ind w:left="123" w:right="112" w:firstLine="64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开化县城市道路交通噪声等效声级，共测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20 </w:t>
      </w:r>
      <w:r>
        <w:rPr>
          <w:rFonts w:ascii="宋体" w:hAnsi="宋体" w:eastAsia="宋体" w:cs="宋体"/>
          <w:spacing w:val="10"/>
          <w:sz w:val="31"/>
          <w:szCs w:val="31"/>
        </w:rPr>
        <w:t>个点、交通干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线总长度为</w:t>
      </w:r>
      <w:r>
        <w:rPr>
          <w:rFonts w:ascii="宋体" w:hAnsi="宋体" w:eastAsia="宋体" w:cs="宋体"/>
          <w:spacing w:val="-4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29600 </w:t>
      </w:r>
      <w:r>
        <w:rPr>
          <w:rFonts w:ascii="宋体" w:hAnsi="宋体" w:eastAsia="宋体" w:cs="宋体"/>
          <w:spacing w:val="4"/>
          <w:sz w:val="31"/>
          <w:szCs w:val="31"/>
        </w:rPr>
        <w:t>米，经监测统计，全县昼间交通干线路长加权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平均等效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A</w:t>
      </w: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声级为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66.9[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(A)]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，夜间交通干线路长</w:t>
      </w:r>
      <w:r>
        <w:rPr>
          <w:rFonts w:ascii="宋体" w:hAnsi="宋体" w:eastAsia="宋体" w:cs="宋体"/>
          <w:spacing w:val="8"/>
          <w:sz w:val="31"/>
          <w:szCs w:val="31"/>
        </w:rPr>
        <w:t>加权平均等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效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A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声级为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56[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(A)]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，对照环境噪声监测技术规范城市声环境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常规监测》（</w:t>
      </w:r>
      <w:r>
        <w:rPr>
          <w:rFonts w:ascii="Times New Roman" w:hAnsi="Times New Roman" w:eastAsia="Times New Roman" w:cs="Times New Roman"/>
          <w:sz w:val="31"/>
          <w:szCs w:val="31"/>
        </w:rPr>
        <w:t>HJ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640-2012</w:t>
      </w:r>
      <w:r>
        <w:rPr>
          <w:rFonts w:ascii="宋体" w:hAnsi="宋体" w:eastAsia="宋体" w:cs="宋体"/>
          <w:spacing w:val="-2"/>
          <w:sz w:val="31"/>
          <w:szCs w:val="31"/>
        </w:rPr>
        <w:t>），</w:t>
      </w:r>
      <w:r>
        <w:rPr>
          <w:rFonts w:ascii="宋体" w:hAnsi="宋体" w:eastAsia="宋体" w:cs="宋体"/>
          <w:spacing w:val="6"/>
          <w:sz w:val="31"/>
          <w:szCs w:val="31"/>
        </w:rPr>
        <w:t>全县城市道路交通噪声等效声级等</w:t>
      </w:r>
      <w:r>
        <w:rPr>
          <w:rFonts w:ascii="宋体" w:hAnsi="宋体" w:eastAsia="宋体" w:cs="宋体"/>
          <w:spacing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级划分为一级，评价为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宋体" w:hAnsi="宋体" w:eastAsia="宋体" w:cs="宋体"/>
          <w:spacing w:val="7"/>
          <w:sz w:val="31"/>
          <w:szCs w:val="31"/>
        </w:rPr>
        <w:t>好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。</w:t>
      </w:r>
    </w:p>
    <w:p w14:paraId="6DE7C6D4">
      <w:pPr>
        <w:spacing w:before="96" w:line="369" w:lineRule="exact"/>
        <w:ind w:left="150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1"/>
          <w:sz w:val="28"/>
          <w:szCs w:val="28"/>
        </w:rPr>
        <w:t>表</w:t>
      </w:r>
      <w:r>
        <w:rPr>
          <w:rFonts w:ascii="宋体" w:hAnsi="宋体" w:eastAsia="宋体" w:cs="宋体"/>
          <w:spacing w:val="-56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4-3 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道路交通噪声强度等级划分单位：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dB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A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）</w:t>
      </w:r>
    </w:p>
    <w:p w14:paraId="63E2C096">
      <w:pPr>
        <w:spacing w:line="26" w:lineRule="exact"/>
      </w:pPr>
    </w:p>
    <w:tbl>
      <w:tblPr>
        <w:tblStyle w:val="5"/>
        <w:tblW w:w="906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9"/>
        <w:gridCol w:w="1054"/>
        <w:gridCol w:w="1507"/>
        <w:gridCol w:w="1509"/>
        <w:gridCol w:w="1506"/>
        <w:gridCol w:w="1110"/>
      </w:tblGrid>
      <w:tr w14:paraId="13FCB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379" w:type="dxa"/>
            <w:vAlign w:val="top"/>
          </w:tcPr>
          <w:p w14:paraId="02EE0B58">
            <w:pPr>
              <w:pStyle w:val="6"/>
              <w:spacing w:before="70" w:line="220" w:lineRule="auto"/>
              <w:ind w:left="958"/>
            </w:pPr>
            <w:r>
              <w:rPr>
                <w:spacing w:val="-6"/>
              </w:rPr>
              <w:t>等级</w:t>
            </w:r>
          </w:p>
        </w:tc>
        <w:tc>
          <w:tcPr>
            <w:tcW w:w="1054" w:type="dxa"/>
            <w:vAlign w:val="top"/>
          </w:tcPr>
          <w:p w14:paraId="16BFBB7C">
            <w:pPr>
              <w:pStyle w:val="6"/>
              <w:spacing w:before="70" w:line="222" w:lineRule="auto"/>
              <w:ind w:left="295"/>
            </w:pPr>
            <w:r>
              <w:rPr>
                <w:spacing w:val="-7"/>
              </w:rPr>
              <w:t>一级</w:t>
            </w:r>
          </w:p>
        </w:tc>
        <w:tc>
          <w:tcPr>
            <w:tcW w:w="1507" w:type="dxa"/>
            <w:vAlign w:val="top"/>
          </w:tcPr>
          <w:p w14:paraId="0C2AC438">
            <w:pPr>
              <w:pStyle w:val="6"/>
              <w:spacing w:before="70" w:line="222" w:lineRule="auto"/>
              <w:ind w:left="525"/>
            </w:pPr>
            <w:r>
              <w:rPr>
                <w:spacing w:val="-7"/>
              </w:rPr>
              <w:t>二级</w:t>
            </w:r>
          </w:p>
        </w:tc>
        <w:tc>
          <w:tcPr>
            <w:tcW w:w="1509" w:type="dxa"/>
            <w:vAlign w:val="top"/>
          </w:tcPr>
          <w:p w14:paraId="08B05F0C">
            <w:pPr>
              <w:pStyle w:val="6"/>
              <w:spacing w:before="70" w:line="222" w:lineRule="auto"/>
              <w:ind w:left="521"/>
            </w:pPr>
            <w:r>
              <w:rPr>
                <w:spacing w:val="-5"/>
              </w:rPr>
              <w:t>三级</w:t>
            </w:r>
          </w:p>
        </w:tc>
        <w:tc>
          <w:tcPr>
            <w:tcW w:w="1506" w:type="dxa"/>
            <w:vAlign w:val="top"/>
          </w:tcPr>
          <w:p w14:paraId="1102CAA3">
            <w:pPr>
              <w:pStyle w:val="6"/>
              <w:spacing w:before="70" w:line="222" w:lineRule="auto"/>
              <w:ind w:left="544"/>
            </w:pPr>
            <w:r>
              <w:rPr>
                <w:spacing w:val="-16"/>
              </w:rPr>
              <w:t>四级</w:t>
            </w:r>
          </w:p>
        </w:tc>
        <w:tc>
          <w:tcPr>
            <w:tcW w:w="1110" w:type="dxa"/>
            <w:vAlign w:val="top"/>
          </w:tcPr>
          <w:p w14:paraId="2A054C97">
            <w:pPr>
              <w:pStyle w:val="6"/>
              <w:spacing w:before="70" w:line="222" w:lineRule="auto"/>
              <w:ind w:left="325"/>
            </w:pPr>
            <w:r>
              <w:rPr>
                <w:spacing w:val="-7"/>
              </w:rPr>
              <w:t>五级</w:t>
            </w:r>
          </w:p>
        </w:tc>
      </w:tr>
      <w:tr w14:paraId="7E692C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2379" w:type="dxa"/>
            <w:vAlign w:val="top"/>
          </w:tcPr>
          <w:p w14:paraId="0D56E0EF">
            <w:pPr>
              <w:pStyle w:val="6"/>
              <w:spacing w:before="118" w:line="220" w:lineRule="auto"/>
              <w:ind w:left="235"/>
            </w:pPr>
            <w:r>
              <w:rPr>
                <w:spacing w:val="-2"/>
              </w:rPr>
              <w:t>昼间平均等效声级</w:t>
            </w:r>
          </w:p>
        </w:tc>
        <w:tc>
          <w:tcPr>
            <w:tcW w:w="1054" w:type="dxa"/>
            <w:vAlign w:val="top"/>
          </w:tcPr>
          <w:p w14:paraId="46FDF309">
            <w:pPr>
              <w:spacing w:before="160" w:line="188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≤68.0</w:t>
            </w:r>
          </w:p>
        </w:tc>
        <w:tc>
          <w:tcPr>
            <w:tcW w:w="1507" w:type="dxa"/>
            <w:vAlign w:val="top"/>
          </w:tcPr>
          <w:p w14:paraId="7521EB4D">
            <w:pPr>
              <w:pStyle w:val="6"/>
              <w:spacing w:before="119" w:line="236" w:lineRule="auto"/>
              <w:ind w:left="222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68.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70.0</w:t>
            </w:r>
          </w:p>
        </w:tc>
        <w:tc>
          <w:tcPr>
            <w:tcW w:w="1509" w:type="dxa"/>
            <w:vAlign w:val="top"/>
          </w:tcPr>
          <w:p w14:paraId="4F30299F">
            <w:pPr>
              <w:pStyle w:val="6"/>
              <w:spacing w:before="119" w:line="236" w:lineRule="auto"/>
              <w:ind w:left="220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70.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72.0</w:t>
            </w:r>
          </w:p>
        </w:tc>
        <w:tc>
          <w:tcPr>
            <w:tcW w:w="1506" w:type="dxa"/>
            <w:vAlign w:val="top"/>
          </w:tcPr>
          <w:p w14:paraId="24F4F716">
            <w:pPr>
              <w:pStyle w:val="6"/>
              <w:spacing w:before="119" w:line="236" w:lineRule="auto"/>
              <w:ind w:left="221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72.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74.0</w:t>
            </w:r>
          </w:p>
        </w:tc>
        <w:tc>
          <w:tcPr>
            <w:tcW w:w="1110" w:type="dxa"/>
            <w:vAlign w:val="top"/>
          </w:tcPr>
          <w:p w14:paraId="7E7F7E5A">
            <w:pPr>
              <w:pStyle w:val="6"/>
              <w:spacing w:before="119" w:line="236" w:lineRule="auto"/>
              <w:ind w:left="254"/>
              <w:rPr>
                <w:rFonts w:ascii="Times New Roman" w:hAnsi="Times New Roman" w:eastAsia="Times New Roman" w:cs="Times New Roman"/>
              </w:rPr>
            </w:pPr>
            <w:r>
              <w:rPr>
                <w:spacing w:val="17"/>
              </w:rPr>
              <w:t>&gt;</w:t>
            </w:r>
            <w:r>
              <w:rPr>
                <w:rFonts w:ascii="Times New Roman" w:hAnsi="Times New Roman" w:eastAsia="Times New Roman" w:cs="Times New Roman"/>
                <w:spacing w:val="17"/>
              </w:rPr>
              <w:t>74.0</w:t>
            </w:r>
          </w:p>
        </w:tc>
      </w:tr>
      <w:tr w14:paraId="484554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2379" w:type="dxa"/>
            <w:vAlign w:val="top"/>
          </w:tcPr>
          <w:p w14:paraId="7CE4C320">
            <w:pPr>
              <w:pStyle w:val="6"/>
              <w:spacing w:before="101" w:line="220" w:lineRule="auto"/>
              <w:ind w:left="240"/>
            </w:pPr>
            <w:r>
              <w:rPr>
                <w:spacing w:val="-2"/>
              </w:rPr>
              <w:t>夜间平均等效声级</w:t>
            </w:r>
          </w:p>
        </w:tc>
        <w:tc>
          <w:tcPr>
            <w:tcW w:w="1054" w:type="dxa"/>
            <w:vAlign w:val="top"/>
          </w:tcPr>
          <w:p w14:paraId="59C1E87C">
            <w:pPr>
              <w:spacing w:before="142" w:line="188" w:lineRule="auto"/>
              <w:ind w:left="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≤58.0</w:t>
            </w:r>
          </w:p>
        </w:tc>
        <w:tc>
          <w:tcPr>
            <w:tcW w:w="1507" w:type="dxa"/>
            <w:vAlign w:val="top"/>
          </w:tcPr>
          <w:p w14:paraId="13E05B46">
            <w:pPr>
              <w:pStyle w:val="6"/>
              <w:spacing w:before="101" w:line="236" w:lineRule="auto"/>
              <w:ind w:left="223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58.</w:t>
            </w:r>
            <w:r>
              <w:rPr>
                <w:rFonts w:ascii="Times New Roman" w:hAnsi="Times New Roman" w:eastAsia="Times New Roman" w:cs="Times New Roman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60.0</w:t>
            </w:r>
          </w:p>
        </w:tc>
        <w:tc>
          <w:tcPr>
            <w:tcW w:w="1509" w:type="dxa"/>
            <w:vAlign w:val="top"/>
          </w:tcPr>
          <w:p w14:paraId="313AB8F5">
            <w:pPr>
              <w:pStyle w:val="6"/>
              <w:spacing w:before="101" w:line="236" w:lineRule="auto"/>
              <w:ind w:left="222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60.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62.0</w:t>
            </w:r>
          </w:p>
        </w:tc>
        <w:tc>
          <w:tcPr>
            <w:tcW w:w="1506" w:type="dxa"/>
            <w:vAlign w:val="top"/>
          </w:tcPr>
          <w:p w14:paraId="5C42A074">
            <w:pPr>
              <w:pStyle w:val="6"/>
              <w:spacing w:before="101" w:line="236" w:lineRule="auto"/>
              <w:ind w:left="222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pacing w:val="-5"/>
              </w:rPr>
              <w:t>62.</w:t>
            </w:r>
            <w:r>
              <w:rPr>
                <w:rFonts w:ascii="Times New Roman" w:hAnsi="Times New Roman" w:eastAsia="Times New Roman" w:cs="Times New Roman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</w:t>
            </w:r>
            <w:r>
              <w:rPr>
                <w:spacing w:val="-5"/>
              </w:rPr>
              <w:t>～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64.0</w:t>
            </w:r>
          </w:p>
        </w:tc>
        <w:tc>
          <w:tcPr>
            <w:tcW w:w="1110" w:type="dxa"/>
            <w:vAlign w:val="top"/>
          </w:tcPr>
          <w:p w14:paraId="063EB51F">
            <w:pPr>
              <w:pStyle w:val="6"/>
              <w:spacing w:before="101" w:line="236" w:lineRule="auto"/>
              <w:ind w:left="254"/>
              <w:rPr>
                <w:rFonts w:ascii="Times New Roman" w:hAnsi="Times New Roman" w:eastAsia="Times New Roman" w:cs="Times New Roman"/>
              </w:rPr>
            </w:pPr>
            <w:r>
              <w:rPr>
                <w:spacing w:val="17"/>
              </w:rPr>
              <w:t>&gt;</w:t>
            </w:r>
            <w:r>
              <w:rPr>
                <w:rFonts w:ascii="Times New Roman" w:hAnsi="Times New Roman" w:eastAsia="Times New Roman" w:cs="Times New Roman"/>
                <w:spacing w:val="17"/>
              </w:rPr>
              <w:t>64.0</w:t>
            </w:r>
          </w:p>
        </w:tc>
      </w:tr>
      <w:tr w14:paraId="49F20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2379" w:type="dxa"/>
            <w:vAlign w:val="top"/>
          </w:tcPr>
          <w:p w14:paraId="4F27F3BD">
            <w:pPr>
              <w:pStyle w:val="6"/>
              <w:spacing w:before="119" w:line="219" w:lineRule="auto"/>
              <w:ind w:left="955"/>
            </w:pPr>
            <w:r>
              <w:rPr>
                <w:spacing w:val="-5"/>
              </w:rPr>
              <w:t>评价</w:t>
            </w:r>
          </w:p>
        </w:tc>
        <w:tc>
          <w:tcPr>
            <w:tcW w:w="1054" w:type="dxa"/>
            <w:vAlign w:val="top"/>
          </w:tcPr>
          <w:p w14:paraId="4EC8D48D">
            <w:pPr>
              <w:pStyle w:val="6"/>
              <w:spacing w:before="119" w:line="220" w:lineRule="auto"/>
              <w:ind w:left="411"/>
            </w:pPr>
            <w:r>
              <w:t>好</w:t>
            </w:r>
          </w:p>
        </w:tc>
        <w:tc>
          <w:tcPr>
            <w:tcW w:w="1507" w:type="dxa"/>
            <w:vAlign w:val="top"/>
          </w:tcPr>
          <w:p w14:paraId="03548CB4">
            <w:pPr>
              <w:pStyle w:val="6"/>
              <w:spacing w:before="119" w:line="220" w:lineRule="auto"/>
              <w:ind w:left="521"/>
            </w:pPr>
            <w:r>
              <w:rPr>
                <w:spacing w:val="-5"/>
              </w:rPr>
              <w:t>较好</w:t>
            </w:r>
          </w:p>
        </w:tc>
        <w:tc>
          <w:tcPr>
            <w:tcW w:w="1509" w:type="dxa"/>
            <w:vAlign w:val="top"/>
          </w:tcPr>
          <w:p w14:paraId="0C4F9D81">
            <w:pPr>
              <w:pStyle w:val="6"/>
              <w:spacing w:before="119" w:line="222" w:lineRule="auto"/>
              <w:ind w:left="525"/>
            </w:pPr>
            <w:r>
              <w:rPr>
                <w:spacing w:val="-7"/>
              </w:rPr>
              <w:t>一般</w:t>
            </w:r>
          </w:p>
        </w:tc>
        <w:tc>
          <w:tcPr>
            <w:tcW w:w="1506" w:type="dxa"/>
            <w:vAlign w:val="top"/>
          </w:tcPr>
          <w:p w14:paraId="75BC200A">
            <w:pPr>
              <w:pStyle w:val="6"/>
              <w:spacing w:before="120" w:line="222" w:lineRule="auto"/>
              <w:ind w:left="521"/>
            </w:pPr>
            <w:r>
              <w:rPr>
                <w:spacing w:val="-5"/>
              </w:rPr>
              <w:t>较差</w:t>
            </w:r>
          </w:p>
        </w:tc>
        <w:tc>
          <w:tcPr>
            <w:tcW w:w="1110" w:type="dxa"/>
            <w:vAlign w:val="top"/>
          </w:tcPr>
          <w:p w14:paraId="00192B47">
            <w:pPr>
              <w:pStyle w:val="6"/>
              <w:spacing w:before="120" w:line="227" w:lineRule="auto"/>
              <w:ind w:left="444"/>
            </w:pPr>
            <w:r>
              <w:t>差</w:t>
            </w:r>
          </w:p>
        </w:tc>
      </w:tr>
    </w:tbl>
    <w:p w14:paraId="166794E2">
      <w:pPr>
        <w:spacing w:before="208" w:line="219" w:lineRule="auto"/>
        <w:ind w:left="6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开化县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20 </w:t>
      </w:r>
      <w:r>
        <w:rPr>
          <w:rFonts w:ascii="宋体" w:hAnsi="宋体" w:eastAsia="宋体" w:cs="宋体"/>
          <w:spacing w:val="-1"/>
          <w:sz w:val="28"/>
          <w:szCs w:val="28"/>
        </w:rPr>
        <w:t>条道路交通监测点位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2023 </w:t>
      </w:r>
      <w:r>
        <w:rPr>
          <w:rFonts w:ascii="宋体" w:hAnsi="宋体" w:eastAsia="宋体" w:cs="宋体"/>
          <w:spacing w:val="-1"/>
          <w:sz w:val="28"/>
          <w:szCs w:val="28"/>
        </w:rPr>
        <w:t>年监测结果及评价见下表。</w:t>
      </w:r>
    </w:p>
    <w:p w14:paraId="4E0DF6F0">
      <w:pPr>
        <w:spacing w:before="186" w:line="368" w:lineRule="exact"/>
        <w:ind w:left="13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1"/>
          <w:sz w:val="28"/>
          <w:szCs w:val="28"/>
        </w:rPr>
        <w:t>表</w:t>
      </w:r>
      <w:r>
        <w:rPr>
          <w:rFonts w:ascii="宋体" w:hAnsi="宋体" w:eastAsia="宋体" w:cs="宋体"/>
          <w:spacing w:val="-55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4-4 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开化县道路交通噪声总体水平单位：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dB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A</w:t>
      </w:r>
      <w:r>
        <w:rPr>
          <w:rFonts w:ascii="宋体" w:hAnsi="宋体" w:eastAsia="宋体" w:cs="宋体"/>
          <w:spacing w:val="-1"/>
          <w:position w:val="1"/>
          <w:sz w:val="28"/>
          <w:szCs w:val="28"/>
        </w:rPr>
        <w:t>）</w:t>
      </w:r>
    </w:p>
    <w:p w14:paraId="527B7F8F">
      <w:pPr>
        <w:spacing w:line="26" w:lineRule="exact"/>
      </w:pPr>
    </w:p>
    <w:tbl>
      <w:tblPr>
        <w:tblStyle w:val="5"/>
        <w:tblW w:w="90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9"/>
        <w:gridCol w:w="1722"/>
        <w:gridCol w:w="1173"/>
        <w:gridCol w:w="1087"/>
        <w:gridCol w:w="1686"/>
        <w:gridCol w:w="1108"/>
        <w:gridCol w:w="1225"/>
      </w:tblGrid>
      <w:tr w14:paraId="0BB68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59" w:type="dxa"/>
            <w:vMerge w:val="restart"/>
            <w:tcBorders>
              <w:bottom w:val="nil"/>
            </w:tcBorders>
            <w:vAlign w:val="top"/>
          </w:tcPr>
          <w:p w14:paraId="535BD85D">
            <w:pPr>
              <w:pStyle w:val="6"/>
              <w:spacing w:before="44" w:line="225" w:lineRule="auto"/>
              <w:ind w:left="188" w:right="187" w:firstLine="109"/>
            </w:pPr>
            <w:r>
              <w:rPr>
                <w:spacing w:val="-6"/>
              </w:rPr>
              <w:t>年份</w:t>
            </w:r>
            <w:r>
              <w:t xml:space="preserve"> </w:t>
            </w:r>
            <w:r>
              <w:rPr>
                <w:spacing w:val="-14"/>
              </w:rPr>
              <w:t>（年）</w:t>
            </w:r>
          </w:p>
        </w:tc>
        <w:tc>
          <w:tcPr>
            <w:tcW w:w="3982" w:type="dxa"/>
            <w:gridSpan w:val="3"/>
            <w:vAlign w:val="top"/>
          </w:tcPr>
          <w:p w14:paraId="7706E021">
            <w:pPr>
              <w:pStyle w:val="6"/>
              <w:spacing w:before="41" w:line="206" w:lineRule="auto"/>
              <w:ind w:left="1756"/>
            </w:pPr>
            <w:r>
              <w:rPr>
                <w:spacing w:val="-5"/>
              </w:rPr>
              <w:t>昼间</w:t>
            </w:r>
          </w:p>
        </w:tc>
        <w:tc>
          <w:tcPr>
            <w:tcW w:w="4019" w:type="dxa"/>
            <w:gridSpan w:val="3"/>
            <w:vAlign w:val="top"/>
          </w:tcPr>
          <w:p w14:paraId="087B76D1">
            <w:pPr>
              <w:pStyle w:val="6"/>
              <w:spacing w:before="41" w:line="206" w:lineRule="auto"/>
              <w:ind w:left="1777"/>
            </w:pPr>
            <w:r>
              <w:rPr>
                <w:spacing w:val="-7"/>
              </w:rPr>
              <w:t>夜间</w:t>
            </w:r>
          </w:p>
        </w:tc>
      </w:tr>
      <w:tr w14:paraId="6249A6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5" w:hRule="atLeast"/>
        </w:trPr>
        <w:tc>
          <w:tcPr>
            <w:tcW w:w="1059" w:type="dxa"/>
            <w:vMerge w:val="continue"/>
            <w:tcBorders>
              <w:top w:val="nil"/>
            </w:tcBorders>
            <w:vAlign w:val="top"/>
          </w:tcPr>
          <w:p w14:paraId="4222E43E">
            <w:pPr>
              <w:rPr>
                <w:rFonts w:ascii="Arial"/>
                <w:sz w:val="21"/>
              </w:rPr>
            </w:pPr>
          </w:p>
        </w:tc>
        <w:tc>
          <w:tcPr>
            <w:tcW w:w="1722" w:type="dxa"/>
            <w:vAlign w:val="top"/>
          </w:tcPr>
          <w:p w14:paraId="7671AFD9">
            <w:pPr>
              <w:pStyle w:val="6"/>
              <w:spacing w:before="37" w:line="206" w:lineRule="auto"/>
              <w:ind w:left="146"/>
            </w:pPr>
            <w:r>
              <w:rPr>
                <w:spacing w:val="-2"/>
              </w:rPr>
              <w:t>平均等效声级</w:t>
            </w:r>
          </w:p>
        </w:tc>
        <w:tc>
          <w:tcPr>
            <w:tcW w:w="1173" w:type="dxa"/>
            <w:vAlign w:val="top"/>
          </w:tcPr>
          <w:p w14:paraId="4DFBE812">
            <w:pPr>
              <w:pStyle w:val="6"/>
              <w:spacing w:before="37" w:line="206" w:lineRule="auto"/>
              <w:ind w:left="354"/>
            </w:pPr>
            <w:r>
              <w:rPr>
                <w:spacing w:val="-6"/>
              </w:rPr>
              <w:t>等级</w:t>
            </w:r>
          </w:p>
        </w:tc>
        <w:tc>
          <w:tcPr>
            <w:tcW w:w="1087" w:type="dxa"/>
            <w:vAlign w:val="top"/>
          </w:tcPr>
          <w:p w14:paraId="48A76376">
            <w:pPr>
              <w:pStyle w:val="6"/>
              <w:spacing w:before="37" w:line="206" w:lineRule="auto"/>
              <w:ind w:left="312"/>
            </w:pPr>
            <w:r>
              <w:rPr>
                <w:spacing w:val="-7"/>
              </w:rPr>
              <w:t>水平</w:t>
            </w:r>
          </w:p>
        </w:tc>
        <w:tc>
          <w:tcPr>
            <w:tcW w:w="1686" w:type="dxa"/>
            <w:vAlign w:val="top"/>
          </w:tcPr>
          <w:p w14:paraId="7F8B1373">
            <w:pPr>
              <w:pStyle w:val="6"/>
              <w:spacing w:before="37" w:line="206" w:lineRule="auto"/>
              <w:ind w:left="129"/>
            </w:pPr>
            <w:r>
              <w:rPr>
                <w:spacing w:val="-2"/>
              </w:rPr>
              <w:t>平均等效声级</w:t>
            </w:r>
          </w:p>
        </w:tc>
        <w:tc>
          <w:tcPr>
            <w:tcW w:w="1108" w:type="dxa"/>
            <w:vAlign w:val="top"/>
          </w:tcPr>
          <w:p w14:paraId="6A584D41">
            <w:pPr>
              <w:pStyle w:val="6"/>
              <w:spacing w:before="37" w:line="206" w:lineRule="auto"/>
              <w:ind w:left="325"/>
            </w:pPr>
            <w:r>
              <w:rPr>
                <w:spacing w:val="-6"/>
              </w:rPr>
              <w:t>等级</w:t>
            </w:r>
          </w:p>
        </w:tc>
        <w:tc>
          <w:tcPr>
            <w:tcW w:w="1225" w:type="dxa"/>
            <w:vAlign w:val="top"/>
          </w:tcPr>
          <w:p w14:paraId="1D1C4FF0">
            <w:pPr>
              <w:pStyle w:val="6"/>
              <w:spacing w:before="37" w:line="206" w:lineRule="auto"/>
              <w:ind w:left="382"/>
            </w:pPr>
            <w:r>
              <w:rPr>
                <w:spacing w:val="-7"/>
              </w:rPr>
              <w:t>水平</w:t>
            </w:r>
          </w:p>
        </w:tc>
      </w:tr>
      <w:tr w14:paraId="342860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59" w:type="dxa"/>
            <w:vAlign w:val="top"/>
          </w:tcPr>
          <w:p w14:paraId="140C0F54">
            <w:pPr>
              <w:spacing w:before="125" w:line="188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2023</w:t>
            </w:r>
          </w:p>
        </w:tc>
        <w:tc>
          <w:tcPr>
            <w:tcW w:w="1722" w:type="dxa"/>
            <w:vAlign w:val="top"/>
          </w:tcPr>
          <w:p w14:paraId="0CFC8BF5">
            <w:pPr>
              <w:spacing w:before="125" w:line="188" w:lineRule="auto"/>
              <w:ind w:left="6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66.9</w:t>
            </w:r>
          </w:p>
        </w:tc>
        <w:tc>
          <w:tcPr>
            <w:tcW w:w="1173" w:type="dxa"/>
            <w:vAlign w:val="top"/>
          </w:tcPr>
          <w:p w14:paraId="34E09A61">
            <w:pPr>
              <w:pStyle w:val="6"/>
              <w:spacing w:before="84" w:line="222" w:lineRule="auto"/>
              <w:ind w:left="356"/>
            </w:pPr>
            <w:r>
              <w:rPr>
                <w:spacing w:val="-7"/>
              </w:rPr>
              <w:t>一级</w:t>
            </w:r>
          </w:p>
        </w:tc>
        <w:tc>
          <w:tcPr>
            <w:tcW w:w="1087" w:type="dxa"/>
            <w:vAlign w:val="top"/>
          </w:tcPr>
          <w:p w14:paraId="4206FD95">
            <w:pPr>
              <w:pStyle w:val="6"/>
              <w:spacing w:before="84" w:line="220" w:lineRule="auto"/>
              <w:ind w:left="429"/>
            </w:pPr>
            <w:r>
              <w:t>好</w:t>
            </w:r>
          </w:p>
        </w:tc>
        <w:tc>
          <w:tcPr>
            <w:tcW w:w="1686" w:type="dxa"/>
            <w:vAlign w:val="top"/>
          </w:tcPr>
          <w:p w14:paraId="26A06576">
            <w:pPr>
              <w:spacing w:before="125" w:line="188" w:lineRule="auto"/>
              <w:ind w:left="7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1108" w:type="dxa"/>
            <w:vAlign w:val="top"/>
          </w:tcPr>
          <w:p w14:paraId="564D2F8D">
            <w:pPr>
              <w:pStyle w:val="6"/>
              <w:spacing w:before="84" w:line="222" w:lineRule="auto"/>
              <w:ind w:left="327"/>
            </w:pPr>
            <w:r>
              <w:rPr>
                <w:spacing w:val="-7"/>
              </w:rPr>
              <w:t>一级</w:t>
            </w:r>
          </w:p>
        </w:tc>
        <w:tc>
          <w:tcPr>
            <w:tcW w:w="1225" w:type="dxa"/>
            <w:vAlign w:val="top"/>
          </w:tcPr>
          <w:p w14:paraId="227198E5">
            <w:pPr>
              <w:pStyle w:val="6"/>
              <w:spacing w:before="84" w:line="220" w:lineRule="auto"/>
              <w:ind w:left="499"/>
            </w:pPr>
            <w:r>
              <w:t>好</w:t>
            </w:r>
          </w:p>
        </w:tc>
      </w:tr>
    </w:tbl>
    <w:p w14:paraId="77B103F3">
      <w:pPr>
        <w:spacing w:before="256" w:line="225" w:lineRule="auto"/>
        <w:ind w:left="758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4.2.3  </w:t>
      </w:r>
      <w:r>
        <w:rPr>
          <w:rFonts w:ascii="宋体" w:hAnsi="宋体" w:eastAsia="宋体" w:cs="宋体"/>
          <w:spacing w:val="6"/>
          <w:sz w:val="31"/>
          <w:szCs w:val="31"/>
        </w:rPr>
        <w:t>功能区环境噪声现状</w:t>
      </w:r>
    </w:p>
    <w:p w14:paraId="0D816DC9">
      <w:pPr>
        <w:spacing w:before="201" w:line="225" w:lineRule="auto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4"/>
          <w:sz w:val="31"/>
          <w:szCs w:val="31"/>
        </w:rPr>
        <w:t>开化县功能区点位共计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7 </w:t>
      </w:r>
      <w:r>
        <w:rPr>
          <w:rFonts w:ascii="宋体" w:hAnsi="宋体" w:eastAsia="宋体" w:cs="宋体"/>
          <w:spacing w:val="-4"/>
          <w:sz w:val="31"/>
          <w:szCs w:val="31"/>
        </w:rPr>
        <w:t>个，其中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-4"/>
          <w:sz w:val="31"/>
          <w:szCs w:val="31"/>
        </w:rPr>
        <w:t>类区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-4"/>
          <w:sz w:val="31"/>
          <w:szCs w:val="31"/>
        </w:rPr>
        <w:t>个，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-4"/>
          <w:sz w:val="31"/>
          <w:szCs w:val="31"/>
        </w:rPr>
        <w:t>类区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个，</w:t>
      </w:r>
    </w:p>
    <w:p w14:paraId="7966449F">
      <w:pPr>
        <w:spacing w:before="184" w:line="225" w:lineRule="auto"/>
        <w:ind w:left="12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4"/>
          <w:sz w:val="31"/>
          <w:szCs w:val="31"/>
        </w:rPr>
        <w:t>类区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4"/>
          <w:sz w:val="31"/>
          <w:szCs w:val="31"/>
        </w:rPr>
        <w:t>个，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4"/>
          <w:sz w:val="31"/>
          <w:szCs w:val="31"/>
        </w:rPr>
        <w:t>类区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个，点位信息详见表</w:t>
      </w:r>
      <w:r>
        <w:rPr>
          <w:rFonts w:ascii="宋体" w:hAnsi="宋体" w:eastAsia="宋体" w:cs="宋体"/>
          <w:spacing w:val="-7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4-5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71BE45F9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35" w:type="default"/>
          <w:pgSz w:w="11906" w:h="16839"/>
          <w:pgMar w:top="1431" w:right="1361" w:bottom="1151" w:left="1474" w:header="0" w:footer="989" w:gutter="0"/>
          <w:cols w:space="720" w:num="1"/>
        </w:sectPr>
      </w:pPr>
    </w:p>
    <w:p w14:paraId="42582B41">
      <w:pPr>
        <w:pStyle w:val="2"/>
        <w:spacing w:line="259" w:lineRule="auto"/>
      </w:pPr>
    </w:p>
    <w:p w14:paraId="570741D0">
      <w:pPr>
        <w:pStyle w:val="2"/>
        <w:spacing w:line="260" w:lineRule="auto"/>
      </w:pPr>
    </w:p>
    <w:p w14:paraId="1F0AD4E1">
      <w:pPr>
        <w:pStyle w:val="2"/>
        <w:spacing w:line="260" w:lineRule="auto"/>
      </w:pPr>
    </w:p>
    <w:p w14:paraId="7A645716">
      <w:pPr>
        <w:spacing w:before="91" w:line="221" w:lineRule="auto"/>
        <w:ind w:left="24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表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4-5 </w:t>
      </w:r>
      <w:r>
        <w:rPr>
          <w:rFonts w:ascii="宋体" w:hAnsi="宋体" w:eastAsia="宋体" w:cs="宋体"/>
          <w:spacing w:val="-1"/>
          <w:sz w:val="28"/>
          <w:szCs w:val="28"/>
        </w:rPr>
        <w:t>现行功能区监测点位情况表</w:t>
      </w:r>
    </w:p>
    <w:p w14:paraId="65515FC2">
      <w:pPr>
        <w:spacing w:line="16" w:lineRule="exact"/>
      </w:pPr>
    </w:p>
    <w:tbl>
      <w:tblPr>
        <w:tblStyle w:val="5"/>
        <w:tblW w:w="90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8"/>
        <w:gridCol w:w="1566"/>
        <w:gridCol w:w="1192"/>
        <w:gridCol w:w="1114"/>
        <w:gridCol w:w="1007"/>
        <w:gridCol w:w="1925"/>
        <w:gridCol w:w="994"/>
      </w:tblGrid>
      <w:tr w14:paraId="7E2A73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268" w:type="dxa"/>
            <w:vAlign w:val="top"/>
          </w:tcPr>
          <w:p w14:paraId="50B0ED43">
            <w:pPr>
              <w:pStyle w:val="6"/>
              <w:spacing w:before="196" w:line="220" w:lineRule="auto"/>
              <w:ind w:left="170"/>
            </w:pPr>
            <w:r>
              <w:rPr>
                <w:spacing w:val="-5"/>
              </w:rPr>
              <w:t>点位编码</w:t>
            </w:r>
          </w:p>
        </w:tc>
        <w:tc>
          <w:tcPr>
            <w:tcW w:w="1566" w:type="dxa"/>
            <w:vAlign w:val="top"/>
          </w:tcPr>
          <w:p w14:paraId="3377EB93">
            <w:pPr>
              <w:pStyle w:val="6"/>
              <w:spacing w:before="196" w:line="222" w:lineRule="auto"/>
              <w:ind w:left="308"/>
            </w:pPr>
            <w:r>
              <w:rPr>
                <w:spacing w:val="-3"/>
              </w:rPr>
              <w:t>测点名称</w:t>
            </w:r>
          </w:p>
        </w:tc>
        <w:tc>
          <w:tcPr>
            <w:tcW w:w="1192" w:type="dxa"/>
            <w:vAlign w:val="top"/>
          </w:tcPr>
          <w:p w14:paraId="6BF99F49">
            <w:pPr>
              <w:pStyle w:val="6"/>
              <w:spacing w:before="196" w:line="221" w:lineRule="auto"/>
              <w:ind w:left="165"/>
            </w:pPr>
            <w:r>
              <w:rPr>
                <w:spacing w:val="-14"/>
              </w:rPr>
              <w:t>测点经度</w:t>
            </w:r>
          </w:p>
        </w:tc>
        <w:tc>
          <w:tcPr>
            <w:tcW w:w="1114" w:type="dxa"/>
            <w:vAlign w:val="top"/>
          </w:tcPr>
          <w:p w14:paraId="5656712A">
            <w:pPr>
              <w:pStyle w:val="6"/>
              <w:spacing w:before="196" w:line="221" w:lineRule="auto"/>
              <w:ind w:left="128"/>
            </w:pPr>
            <w:r>
              <w:rPr>
                <w:spacing w:val="-14"/>
              </w:rPr>
              <w:t>测点纬度</w:t>
            </w:r>
          </w:p>
        </w:tc>
        <w:tc>
          <w:tcPr>
            <w:tcW w:w="1007" w:type="dxa"/>
            <w:vAlign w:val="top"/>
          </w:tcPr>
          <w:p w14:paraId="5004DD9E">
            <w:pPr>
              <w:pStyle w:val="6"/>
              <w:spacing w:before="39" w:line="224" w:lineRule="auto"/>
              <w:ind w:left="216" w:right="140" w:hanging="65"/>
              <w:rPr>
                <w:rFonts w:ascii="Times New Roman" w:hAnsi="Times New Roman" w:eastAsia="Times New Roman" w:cs="Times New Roman"/>
              </w:rPr>
            </w:pPr>
            <w:r>
              <w:rPr>
                <w:spacing w:val="-4"/>
              </w:rPr>
              <w:t>测点高</w:t>
            </w:r>
            <w:r>
              <w:t xml:space="preserve"> </w:t>
            </w:r>
            <w:r>
              <w:rPr>
                <w:spacing w:val="-3"/>
              </w:rPr>
              <w:t>度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(m)</w:t>
            </w:r>
          </w:p>
        </w:tc>
        <w:tc>
          <w:tcPr>
            <w:tcW w:w="1925" w:type="dxa"/>
            <w:vAlign w:val="top"/>
          </w:tcPr>
          <w:p w14:paraId="48674374">
            <w:pPr>
              <w:pStyle w:val="6"/>
              <w:spacing w:before="196" w:line="222" w:lineRule="auto"/>
              <w:ind w:left="371"/>
            </w:pPr>
            <w:r>
              <w:rPr>
                <w:spacing w:val="-3"/>
              </w:rPr>
              <w:t>测点参照物</w:t>
            </w:r>
          </w:p>
        </w:tc>
        <w:tc>
          <w:tcPr>
            <w:tcW w:w="994" w:type="dxa"/>
            <w:vAlign w:val="top"/>
          </w:tcPr>
          <w:p w14:paraId="118F3B2A">
            <w:pPr>
              <w:pStyle w:val="6"/>
              <w:spacing w:before="39" w:line="224" w:lineRule="auto"/>
              <w:ind w:left="263" w:right="133" w:hanging="115"/>
            </w:pPr>
            <w:r>
              <w:rPr>
                <w:spacing w:val="-5"/>
              </w:rPr>
              <w:t>功能区</w:t>
            </w:r>
            <w:r>
              <w:t xml:space="preserve"> </w:t>
            </w:r>
            <w:r>
              <w:rPr>
                <w:spacing w:val="-5"/>
              </w:rPr>
              <w:t>代码</w:t>
            </w:r>
          </w:p>
        </w:tc>
      </w:tr>
      <w:tr w14:paraId="03D04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68" w:type="dxa"/>
            <w:vAlign w:val="top"/>
          </w:tcPr>
          <w:p w14:paraId="74EBC9C2">
            <w:pPr>
              <w:spacing w:before="93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33082431</w:t>
            </w:r>
          </w:p>
          <w:p w14:paraId="254A8F54">
            <w:pPr>
              <w:spacing w:before="59" w:line="188" w:lineRule="auto"/>
              <w:ind w:left="4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0008</w:t>
            </w:r>
          </w:p>
        </w:tc>
        <w:tc>
          <w:tcPr>
            <w:tcW w:w="1566" w:type="dxa"/>
            <w:vAlign w:val="top"/>
          </w:tcPr>
          <w:p w14:paraId="0C46F3BA">
            <w:pPr>
              <w:pStyle w:val="6"/>
              <w:spacing w:before="190" w:line="222" w:lineRule="auto"/>
              <w:ind w:left="312"/>
            </w:pPr>
            <w:r>
              <w:rPr>
                <w:spacing w:val="-4"/>
              </w:rPr>
              <w:t>兴岙小区</w:t>
            </w:r>
          </w:p>
        </w:tc>
        <w:tc>
          <w:tcPr>
            <w:tcW w:w="1192" w:type="dxa"/>
            <w:vAlign w:val="top"/>
          </w:tcPr>
          <w:p w14:paraId="2EC283DC">
            <w:pPr>
              <w:spacing w:before="232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118.4048</w:t>
            </w:r>
          </w:p>
        </w:tc>
        <w:tc>
          <w:tcPr>
            <w:tcW w:w="1114" w:type="dxa"/>
            <w:vAlign w:val="top"/>
          </w:tcPr>
          <w:p w14:paraId="170484AE">
            <w:pPr>
              <w:spacing w:before="232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29.1135</w:t>
            </w:r>
          </w:p>
        </w:tc>
        <w:tc>
          <w:tcPr>
            <w:tcW w:w="1007" w:type="dxa"/>
            <w:vAlign w:val="top"/>
          </w:tcPr>
          <w:p w14:paraId="11BAE833">
            <w:pPr>
              <w:spacing w:before="232" w:line="188" w:lineRule="auto"/>
              <w:ind w:left="4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925" w:type="dxa"/>
            <w:vAlign w:val="top"/>
          </w:tcPr>
          <w:p w14:paraId="65CA233A">
            <w:pPr>
              <w:pStyle w:val="6"/>
              <w:spacing w:before="33" w:line="224" w:lineRule="auto"/>
              <w:ind w:left="729" w:right="179" w:hanging="534"/>
            </w:pPr>
            <w:r>
              <w:rPr>
                <w:spacing w:val="-5"/>
              </w:rPr>
              <w:t>兴岙小区</w:t>
            </w:r>
            <w:r>
              <w:rPr>
                <w:spacing w:val="-5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46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spacing w:val="-5"/>
              </w:rPr>
              <w:t>号</w:t>
            </w:r>
            <w:r>
              <w:t xml:space="preserve"> </w:t>
            </w:r>
            <w:r>
              <w:rPr>
                <w:spacing w:val="-5"/>
              </w:rPr>
              <w:t>楼顶</w:t>
            </w:r>
          </w:p>
        </w:tc>
        <w:tc>
          <w:tcPr>
            <w:tcW w:w="994" w:type="dxa"/>
            <w:vAlign w:val="top"/>
          </w:tcPr>
          <w:p w14:paraId="12192E35">
            <w:pPr>
              <w:spacing w:before="232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</w:tr>
      <w:tr w14:paraId="22FB60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268" w:type="dxa"/>
            <w:vAlign w:val="top"/>
          </w:tcPr>
          <w:p w14:paraId="4DF021AD">
            <w:pPr>
              <w:spacing w:before="95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33082431</w:t>
            </w:r>
          </w:p>
          <w:p w14:paraId="0BEE16F2">
            <w:pPr>
              <w:spacing w:before="59" w:line="188" w:lineRule="auto"/>
              <w:ind w:left="4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0012</w:t>
            </w:r>
          </w:p>
        </w:tc>
        <w:tc>
          <w:tcPr>
            <w:tcW w:w="1566" w:type="dxa"/>
            <w:vAlign w:val="top"/>
          </w:tcPr>
          <w:p w14:paraId="17F32851">
            <w:pPr>
              <w:pStyle w:val="6"/>
              <w:spacing w:before="37" w:line="223" w:lineRule="auto"/>
              <w:ind w:left="553" w:right="182" w:hanging="363"/>
            </w:pPr>
            <w:r>
              <w:rPr>
                <w:spacing w:val="-3"/>
              </w:rPr>
              <w:t>大棚坞贝林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小区</w:t>
            </w:r>
          </w:p>
        </w:tc>
        <w:tc>
          <w:tcPr>
            <w:tcW w:w="1192" w:type="dxa"/>
            <w:vAlign w:val="top"/>
          </w:tcPr>
          <w:p w14:paraId="591E34B4">
            <w:pPr>
              <w:spacing w:before="235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118.4144</w:t>
            </w:r>
          </w:p>
        </w:tc>
        <w:tc>
          <w:tcPr>
            <w:tcW w:w="1114" w:type="dxa"/>
            <w:vAlign w:val="top"/>
          </w:tcPr>
          <w:p w14:paraId="1F44E603">
            <w:pPr>
              <w:spacing w:before="235" w:line="188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29.0927</w:t>
            </w:r>
          </w:p>
        </w:tc>
        <w:tc>
          <w:tcPr>
            <w:tcW w:w="1007" w:type="dxa"/>
            <w:vAlign w:val="top"/>
          </w:tcPr>
          <w:p w14:paraId="784F66CD">
            <w:pPr>
              <w:spacing w:before="235" w:line="188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925" w:type="dxa"/>
            <w:vAlign w:val="top"/>
          </w:tcPr>
          <w:p w14:paraId="7C9D4E2C">
            <w:pPr>
              <w:pStyle w:val="6"/>
              <w:spacing w:before="37" w:line="223" w:lineRule="auto"/>
              <w:ind w:left="728" w:right="114" w:hanging="596"/>
            </w:pPr>
            <w:r>
              <w:rPr>
                <w:spacing w:val="-4"/>
              </w:rPr>
              <w:t>贝林小区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51-102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5"/>
              </w:rPr>
              <w:t>楼顶</w:t>
            </w:r>
          </w:p>
        </w:tc>
        <w:tc>
          <w:tcPr>
            <w:tcW w:w="994" w:type="dxa"/>
            <w:vAlign w:val="top"/>
          </w:tcPr>
          <w:p w14:paraId="3800BD6D">
            <w:pPr>
              <w:spacing w:before="235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</w:tr>
      <w:tr w14:paraId="5D40D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68" w:type="dxa"/>
            <w:vAlign w:val="top"/>
          </w:tcPr>
          <w:p w14:paraId="6B78BD93">
            <w:pPr>
              <w:spacing w:before="97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33082432</w:t>
            </w:r>
          </w:p>
          <w:p w14:paraId="43A5F171">
            <w:pPr>
              <w:spacing w:before="57" w:line="188" w:lineRule="auto"/>
              <w:ind w:left="4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0009</w:t>
            </w:r>
          </w:p>
        </w:tc>
        <w:tc>
          <w:tcPr>
            <w:tcW w:w="1566" w:type="dxa"/>
            <w:vAlign w:val="top"/>
          </w:tcPr>
          <w:p w14:paraId="42EDA78A">
            <w:pPr>
              <w:pStyle w:val="6"/>
              <w:spacing w:before="36" w:line="223" w:lineRule="auto"/>
              <w:ind w:left="547" w:right="182" w:hanging="358"/>
            </w:pPr>
            <w:r>
              <w:rPr>
                <w:spacing w:val="-3"/>
              </w:rPr>
              <w:t>金佰汇商业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广场</w:t>
            </w:r>
          </w:p>
        </w:tc>
        <w:tc>
          <w:tcPr>
            <w:tcW w:w="1192" w:type="dxa"/>
            <w:vAlign w:val="top"/>
          </w:tcPr>
          <w:p w14:paraId="07E9DEE0">
            <w:pPr>
              <w:spacing w:before="234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118.4106</w:t>
            </w:r>
          </w:p>
        </w:tc>
        <w:tc>
          <w:tcPr>
            <w:tcW w:w="1114" w:type="dxa"/>
            <w:vAlign w:val="top"/>
          </w:tcPr>
          <w:p w14:paraId="49C18B1F">
            <w:pPr>
              <w:spacing w:before="234" w:line="188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29.1245</w:t>
            </w:r>
          </w:p>
        </w:tc>
        <w:tc>
          <w:tcPr>
            <w:tcW w:w="1007" w:type="dxa"/>
            <w:vAlign w:val="top"/>
          </w:tcPr>
          <w:p w14:paraId="01C2FD2A">
            <w:pPr>
              <w:spacing w:before="23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1925" w:type="dxa"/>
            <w:vAlign w:val="top"/>
          </w:tcPr>
          <w:p w14:paraId="4C042390">
            <w:pPr>
              <w:pStyle w:val="6"/>
              <w:spacing w:before="36" w:line="223" w:lineRule="auto"/>
              <w:ind w:left="629" w:right="119" w:hanging="497"/>
            </w:pPr>
            <w:r>
              <w:rPr>
                <w:spacing w:val="-2"/>
              </w:rPr>
              <w:t>金佰汇文创幼儿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园楼顶</w:t>
            </w:r>
          </w:p>
        </w:tc>
        <w:tc>
          <w:tcPr>
            <w:tcW w:w="994" w:type="dxa"/>
            <w:vAlign w:val="top"/>
          </w:tcPr>
          <w:p w14:paraId="5264457E">
            <w:pPr>
              <w:spacing w:before="234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</w:tr>
      <w:tr w14:paraId="5945A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268" w:type="dxa"/>
            <w:vAlign w:val="top"/>
          </w:tcPr>
          <w:p w14:paraId="393DCF95">
            <w:pPr>
              <w:spacing w:before="64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33082431</w:t>
            </w:r>
          </w:p>
          <w:p w14:paraId="360D4BE1">
            <w:pPr>
              <w:spacing w:before="57" w:line="182" w:lineRule="auto"/>
              <w:ind w:left="4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0013</w:t>
            </w:r>
          </w:p>
        </w:tc>
        <w:tc>
          <w:tcPr>
            <w:tcW w:w="1566" w:type="dxa"/>
            <w:vAlign w:val="top"/>
          </w:tcPr>
          <w:p w14:paraId="01BAD8FB">
            <w:pPr>
              <w:pStyle w:val="6"/>
              <w:spacing w:before="159" w:line="219" w:lineRule="auto"/>
              <w:ind w:left="188"/>
            </w:pPr>
            <w:r>
              <w:rPr>
                <w:spacing w:val="-3"/>
              </w:rPr>
              <w:t>华埠镇政府</w:t>
            </w:r>
          </w:p>
        </w:tc>
        <w:tc>
          <w:tcPr>
            <w:tcW w:w="1192" w:type="dxa"/>
            <w:vAlign w:val="top"/>
          </w:tcPr>
          <w:p w14:paraId="528643D5">
            <w:pPr>
              <w:spacing w:before="200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118.3591</w:t>
            </w:r>
          </w:p>
        </w:tc>
        <w:tc>
          <w:tcPr>
            <w:tcW w:w="1114" w:type="dxa"/>
            <w:vAlign w:val="top"/>
          </w:tcPr>
          <w:p w14:paraId="4D156A45">
            <w:pPr>
              <w:spacing w:before="200" w:line="188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28.0075</w:t>
            </w:r>
          </w:p>
        </w:tc>
        <w:tc>
          <w:tcPr>
            <w:tcW w:w="1007" w:type="dxa"/>
            <w:vAlign w:val="top"/>
          </w:tcPr>
          <w:p w14:paraId="4F2626C3">
            <w:pPr>
              <w:spacing w:before="20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1925" w:type="dxa"/>
            <w:vAlign w:val="top"/>
          </w:tcPr>
          <w:p w14:paraId="7A5C5EDD">
            <w:pPr>
              <w:pStyle w:val="6"/>
              <w:spacing w:before="159" w:line="219" w:lineRule="auto"/>
              <w:ind w:left="371"/>
            </w:pPr>
            <w:r>
              <w:rPr>
                <w:spacing w:val="-3"/>
              </w:rPr>
              <w:t>华埠镇政府</w:t>
            </w:r>
          </w:p>
        </w:tc>
        <w:tc>
          <w:tcPr>
            <w:tcW w:w="994" w:type="dxa"/>
            <w:vAlign w:val="top"/>
          </w:tcPr>
          <w:p w14:paraId="58538BF4">
            <w:pPr>
              <w:spacing w:before="200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</w:tr>
      <w:tr w14:paraId="0975C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268" w:type="dxa"/>
            <w:vAlign w:val="top"/>
          </w:tcPr>
          <w:p w14:paraId="21AFB733">
            <w:pPr>
              <w:spacing w:before="61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33082433</w:t>
            </w:r>
          </w:p>
          <w:p w14:paraId="0AC04C1E">
            <w:pPr>
              <w:spacing w:before="60" w:line="182" w:lineRule="auto"/>
              <w:ind w:left="4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0010</w:t>
            </w:r>
          </w:p>
        </w:tc>
        <w:tc>
          <w:tcPr>
            <w:tcW w:w="1566" w:type="dxa"/>
            <w:vAlign w:val="top"/>
          </w:tcPr>
          <w:p w14:paraId="53308505">
            <w:pPr>
              <w:pStyle w:val="6"/>
              <w:spacing w:before="158" w:line="220" w:lineRule="auto"/>
              <w:ind w:left="330"/>
            </w:pPr>
            <w:r>
              <w:rPr>
                <w:spacing w:val="-8"/>
              </w:rPr>
              <w:t>明峰电子</w:t>
            </w:r>
          </w:p>
        </w:tc>
        <w:tc>
          <w:tcPr>
            <w:tcW w:w="1192" w:type="dxa"/>
            <w:vAlign w:val="top"/>
          </w:tcPr>
          <w:p w14:paraId="48962BA8">
            <w:pPr>
              <w:spacing w:before="200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118.3894</w:t>
            </w:r>
          </w:p>
        </w:tc>
        <w:tc>
          <w:tcPr>
            <w:tcW w:w="1114" w:type="dxa"/>
            <w:vAlign w:val="top"/>
          </w:tcPr>
          <w:p w14:paraId="71B59154">
            <w:pPr>
              <w:spacing w:before="200" w:line="188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28.0766</w:t>
            </w:r>
          </w:p>
        </w:tc>
        <w:tc>
          <w:tcPr>
            <w:tcW w:w="1007" w:type="dxa"/>
            <w:vAlign w:val="top"/>
          </w:tcPr>
          <w:p w14:paraId="05557AFF">
            <w:pPr>
              <w:spacing w:before="20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1925" w:type="dxa"/>
            <w:vAlign w:val="top"/>
          </w:tcPr>
          <w:p w14:paraId="18354BA9">
            <w:pPr>
              <w:pStyle w:val="6"/>
              <w:spacing w:before="158" w:line="220" w:lineRule="auto"/>
              <w:ind w:left="152"/>
            </w:pPr>
            <w:r>
              <w:rPr>
                <w:spacing w:val="-5"/>
              </w:rPr>
              <w:t>明峰电子停车场</w:t>
            </w:r>
          </w:p>
        </w:tc>
        <w:tc>
          <w:tcPr>
            <w:tcW w:w="994" w:type="dxa"/>
            <w:vAlign w:val="top"/>
          </w:tcPr>
          <w:p w14:paraId="7D82903E">
            <w:pPr>
              <w:spacing w:before="200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</w:tr>
      <w:tr w14:paraId="51D88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68" w:type="dxa"/>
            <w:vAlign w:val="top"/>
          </w:tcPr>
          <w:p w14:paraId="7FA1139C">
            <w:pPr>
              <w:spacing w:before="96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33082433</w:t>
            </w:r>
          </w:p>
          <w:p w14:paraId="26DC683A">
            <w:pPr>
              <w:spacing w:before="59" w:line="188" w:lineRule="auto"/>
              <w:ind w:left="4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0014</w:t>
            </w:r>
          </w:p>
        </w:tc>
        <w:tc>
          <w:tcPr>
            <w:tcW w:w="1566" w:type="dxa"/>
            <w:vAlign w:val="top"/>
          </w:tcPr>
          <w:p w14:paraId="04EAF06E">
            <w:pPr>
              <w:pStyle w:val="6"/>
              <w:spacing w:before="38" w:line="222" w:lineRule="auto"/>
              <w:ind w:left="308" w:right="182" w:hanging="119"/>
            </w:pPr>
            <w:r>
              <w:rPr>
                <w:spacing w:val="-3"/>
              </w:rPr>
              <w:t>永六新材料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有限公司</w:t>
            </w:r>
          </w:p>
        </w:tc>
        <w:tc>
          <w:tcPr>
            <w:tcW w:w="1192" w:type="dxa"/>
            <w:vAlign w:val="top"/>
          </w:tcPr>
          <w:p w14:paraId="728ADAB9">
            <w:pPr>
              <w:spacing w:before="236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118.3897</w:t>
            </w:r>
          </w:p>
        </w:tc>
        <w:tc>
          <w:tcPr>
            <w:tcW w:w="1114" w:type="dxa"/>
            <w:vAlign w:val="top"/>
          </w:tcPr>
          <w:p w14:paraId="51117189">
            <w:pPr>
              <w:spacing w:before="236" w:line="188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28.0061</w:t>
            </w:r>
          </w:p>
        </w:tc>
        <w:tc>
          <w:tcPr>
            <w:tcW w:w="1007" w:type="dxa"/>
            <w:vAlign w:val="top"/>
          </w:tcPr>
          <w:p w14:paraId="3BEEE450">
            <w:pPr>
              <w:spacing w:before="236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1925" w:type="dxa"/>
            <w:vAlign w:val="top"/>
          </w:tcPr>
          <w:p w14:paraId="4E8F82EC">
            <w:pPr>
              <w:pStyle w:val="6"/>
              <w:spacing w:before="38" w:line="222" w:lineRule="auto"/>
              <w:ind w:left="137" w:right="119" w:hanging="5"/>
            </w:pPr>
            <w:r>
              <w:rPr>
                <w:spacing w:val="-2"/>
              </w:rPr>
              <w:t>永六新材料有限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公司办公楼楼顶</w:t>
            </w:r>
          </w:p>
        </w:tc>
        <w:tc>
          <w:tcPr>
            <w:tcW w:w="994" w:type="dxa"/>
            <w:vAlign w:val="top"/>
          </w:tcPr>
          <w:p w14:paraId="2615AC98">
            <w:pPr>
              <w:spacing w:before="236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</w:tr>
      <w:tr w14:paraId="7D78D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68" w:type="dxa"/>
            <w:vAlign w:val="top"/>
          </w:tcPr>
          <w:p w14:paraId="4507D787">
            <w:pPr>
              <w:spacing w:before="63" w:line="188" w:lineRule="auto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33082434</w:t>
            </w:r>
          </w:p>
          <w:p w14:paraId="1141E38C">
            <w:pPr>
              <w:spacing w:before="59" w:line="184" w:lineRule="auto"/>
              <w:ind w:left="4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0011</w:t>
            </w:r>
          </w:p>
        </w:tc>
        <w:tc>
          <w:tcPr>
            <w:tcW w:w="1566" w:type="dxa"/>
            <w:vAlign w:val="top"/>
          </w:tcPr>
          <w:p w14:paraId="261D181A">
            <w:pPr>
              <w:pStyle w:val="6"/>
              <w:spacing w:before="158" w:line="222" w:lineRule="auto"/>
              <w:ind w:left="207"/>
            </w:pPr>
            <w:r>
              <w:rPr>
                <w:spacing w:val="-6"/>
              </w:rPr>
              <w:t>园区加油站</w:t>
            </w:r>
          </w:p>
        </w:tc>
        <w:tc>
          <w:tcPr>
            <w:tcW w:w="1192" w:type="dxa"/>
            <w:vAlign w:val="top"/>
          </w:tcPr>
          <w:p w14:paraId="339FD76B">
            <w:pPr>
              <w:spacing w:before="200" w:line="188" w:lineRule="auto"/>
              <w:ind w:left="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118.4075</w:t>
            </w:r>
          </w:p>
        </w:tc>
        <w:tc>
          <w:tcPr>
            <w:tcW w:w="1114" w:type="dxa"/>
            <w:vAlign w:val="top"/>
          </w:tcPr>
          <w:p w14:paraId="177C1D70">
            <w:pPr>
              <w:spacing w:before="200" w:line="188" w:lineRule="auto"/>
              <w:ind w:left="1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29.0919</w:t>
            </w:r>
          </w:p>
        </w:tc>
        <w:tc>
          <w:tcPr>
            <w:tcW w:w="1007" w:type="dxa"/>
            <w:vAlign w:val="top"/>
          </w:tcPr>
          <w:p w14:paraId="5E090FA6">
            <w:pPr>
              <w:spacing w:before="200" w:line="188" w:lineRule="auto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925" w:type="dxa"/>
            <w:vAlign w:val="top"/>
          </w:tcPr>
          <w:p w14:paraId="5904FE80">
            <w:pPr>
              <w:pStyle w:val="6"/>
              <w:spacing w:before="158" w:line="222" w:lineRule="auto"/>
              <w:ind w:left="390"/>
            </w:pPr>
            <w:r>
              <w:rPr>
                <w:spacing w:val="-6"/>
              </w:rPr>
              <w:t>园区加油站</w:t>
            </w:r>
          </w:p>
        </w:tc>
        <w:tc>
          <w:tcPr>
            <w:tcW w:w="994" w:type="dxa"/>
            <w:vAlign w:val="top"/>
          </w:tcPr>
          <w:p w14:paraId="24F756A8">
            <w:pPr>
              <w:spacing w:before="200" w:line="188" w:lineRule="auto"/>
              <w:ind w:left="3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</w:tr>
    </w:tbl>
    <w:p w14:paraId="537A37BD">
      <w:pPr>
        <w:spacing w:before="256" w:line="225" w:lineRule="auto"/>
        <w:ind w:left="758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4.2.4  </w:t>
      </w:r>
      <w:r>
        <w:rPr>
          <w:rFonts w:ascii="宋体" w:hAnsi="宋体" w:eastAsia="宋体" w:cs="宋体"/>
          <w:spacing w:val="6"/>
          <w:sz w:val="31"/>
          <w:szCs w:val="31"/>
        </w:rPr>
        <w:t>原有存在问题</w:t>
      </w:r>
    </w:p>
    <w:p w14:paraId="3B784E37">
      <w:pPr>
        <w:spacing w:before="198" w:line="280" w:lineRule="auto"/>
        <w:ind w:left="124" w:right="115" w:firstLine="66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、现状及规划与原有功能区划分存在一定的出入，具体见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第六章节表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6-8</w:t>
      </w:r>
      <w:r>
        <w:rPr>
          <w:rFonts w:ascii="宋体" w:hAnsi="宋体" w:eastAsia="宋体" w:cs="宋体"/>
          <w:spacing w:val="3"/>
          <w:sz w:val="31"/>
          <w:szCs w:val="31"/>
        </w:rPr>
        <w:t>；</w:t>
      </w:r>
    </w:p>
    <w:p w14:paraId="65CA5DD6">
      <w:pPr>
        <w:spacing w:before="180" w:line="280" w:lineRule="auto"/>
        <w:ind w:left="131" w:right="27" w:firstLine="62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、原有多个区划单元面积小于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0.50 </w:t>
      </w:r>
      <w:r>
        <w:rPr>
          <w:rFonts w:ascii="宋体" w:hAnsi="宋体" w:eastAsia="宋体" w:cs="宋体"/>
          <w:spacing w:val="2"/>
          <w:sz w:val="31"/>
          <w:szCs w:val="31"/>
        </w:rPr>
        <w:t>平</w:t>
      </w:r>
      <w:r>
        <w:rPr>
          <w:rFonts w:ascii="宋体" w:hAnsi="宋体" w:eastAsia="宋体" w:cs="宋体"/>
          <w:spacing w:val="1"/>
          <w:sz w:val="31"/>
          <w:szCs w:val="31"/>
        </w:rPr>
        <w:t>方千米，合计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12 </w:t>
      </w:r>
      <w:r>
        <w:rPr>
          <w:rFonts w:ascii="宋体" w:hAnsi="宋体" w:eastAsia="宋体" w:cs="宋体"/>
          <w:spacing w:val="1"/>
          <w:sz w:val="31"/>
          <w:szCs w:val="31"/>
        </w:rPr>
        <w:t>个，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亟需整合；</w:t>
      </w:r>
    </w:p>
    <w:p w14:paraId="053BF49B">
      <w:pPr>
        <w:spacing w:before="181" w:line="280" w:lineRule="auto"/>
        <w:ind w:left="125" w:right="115" w:firstLine="64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、原有多个区划单元内包含了林地、草地、绿地等，导致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面积增加。</w:t>
      </w:r>
    </w:p>
    <w:p w14:paraId="70EDD72A">
      <w:pPr>
        <w:spacing w:line="280" w:lineRule="auto"/>
        <w:rPr>
          <w:rFonts w:ascii="宋体" w:hAnsi="宋体" w:eastAsia="宋体" w:cs="宋体"/>
          <w:sz w:val="31"/>
          <w:szCs w:val="31"/>
        </w:rPr>
        <w:sectPr>
          <w:footerReference r:id="rId36" w:type="default"/>
          <w:pgSz w:w="11906" w:h="16839"/>
          <w:pgMar w:top="1431" w:right="1360" w:bottom="1151" w:left="1474" w:header="0" w:footer="989" w:gutter="0"/>
          <w:cols w:space="720" w:num="1"/>
        </w:sectPr>
      </w:pPr>
    </w:p>
    <w:p w14:paraId="392C1994">
      <w:pPr>
        <w:pStyle w:val="2"/>
        <w:spacing w:line="281" w:lineRule="auto"/>
      </w:pPr>
    </w:p>
    <w:p w14:paraId="1B1E9EBA">
      <w:pPr>
        <w:pStyle w:val="2"/>
        <w:spacing w:line="281" w:lineRule="auto"/>
      </w:pPr>
    </w:p>
    <w:p w14:paraId="2A53CA35">
      <w:pPr>
        <w:pStyle w:val="2"/>
        <w:spacing w:line="281" w:lineRule="auto"/>
      </w:pPr>
    </w:p>
    <w:p w14:paraId="0626446E">
      <w:pPr>
        <w:pStyle w:val="2"/>
        <w:spacing w:line="282" w:lineRule="auto"/>
      </w:pPr>
    </w:p>
    <w:p w14:paraId="2B91DA24">
      <w:pPr>
        <w:spacing w:before="101" w:line="226" w:lineRule="auto"/>
        <w:ind w:left="644"/>
        <w:outlineLvl w:val="0"/>
        <w:rPr>
          <w:rFonts w:ascii="宋体" w:hAnsi="宋体" w:eastAsia="宋体" w:cs="宋体"/>
          <w:sz w:val="31"/>
          <w:szCs w:val="31"/>
        </w:rPr>
      </w:pPr>
      <w:bookmarkStart w:id="86" w:name="bookmark41"/>
      <w:bookmarkEnd w:id="86"/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7"/>
          <w:sz w:val="31"/>
          <w:szCs w:val="31"/>
        </w:rPr>
        <w:t>声环境功能区划工作方法</w:t>
      </w:r>
    </w:p>
    <w:p w14:paraId="247FF9CE">
      <w:pPr>
        <w:spacing w:before="280" w:line="225" w:lineRule="auto"/>
        <w:ind w:left="640"/>
        <w:outlineLvl w:val="1"/>
        <w:rPr>
          <w:rFonts w:ascii="宋体" w:hAnsi="宋体" w:eastAsia="宋体" w:cs="宋体"/>
          <w:sz w:val="31"/>
          <w:szCs w:val="31"/>
        </w:rPr>
      </w:pPr>
      <w:bookmarkStart w:id="87" w:name="bookmark44"/>
      <w:bookmarkEnd w:id="87"/>
      <w:bookmarkStart w:id="88" w:name="bookmark42"/>
      <w:bookmarkEnd w:id="88"/>
      <w:bookmarkStart w:id="89" w:name="bookmark43"/>
      <w:bookmarkEnd w:id="89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5.1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声环境功能区的分类</w:t>
      </w:r>
    </w:p>
    <w:p w14:paraId="73EAE1E4">
      <w:pPr>
        <w:spacing w:before="204" w:line="326" w:lineRule="auto"/>
        <w:ind w:right="2" w:firstLine="642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城市声环境功能区划是在分析城市环境噪声污染特点，发展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趋势以及城市环境管理要求等基础上，根据城市总体规划对功能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区的划分和规划用地的主导功能，确定城市范围内《声环境质量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标准》适用区域划分及其执行标准。</w:t>
      </w:r>
    </w:p>
    <w:p w14:paraId="3278092C">
      <w:pPr>
        <w:spacing w:before="48" w:line="324" w:lineRule="auto"/>
        <w:ind w:left="6" w:firstLine="63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根据《声环境质量标准》（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3096-2008</w:t>
      </w:r>
      <w:r>
        <w:rPr>
          <w:rFonts w:ascii="宋体" w:hAnsi="宋体" w:eastAsia="宋体" w:cs="宋体"/>
          <w:spacing w:val="7"/>
          <w:sz w:val="31"/>
          <w:szCs w:val="31"/>
        </w:rPr>
        <w:t>）的规定，声环境</w:t>
      </w:r>
      <w:r>
        <w:rPr>
          <w:rFonts w:ascii="宋体" w:hAnsi="宋体" w:eastAsia="宋体" w:cs="宋体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功能区按区域的使用功能特点和环境质量要求，分为五类声环境 </w:t>
      </w:r>
      <w:r>
        <w:rPr>
          <w:rFonts w:ascii="宋体" w:hAnsi="宋体" w:eastAsia="宋体" w:cs="宋体"/>
          <w:spacing w:val="6"/>
          <w:sz w:val="31"/>
          <w:szCs w:val="31"/>
        </w:rPr>
        <w:t>功能区，包括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0 </w:t>
      </w:r>
      <w:r>
        <w:rPr>
          <w:rFonts w:ascii="宋体" w:hAnsi="宋体" w:eastAsia="宋体" w:cs="宋体"/>
          <w:spacing w:val="6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6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6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6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类，其中：</w:t>
      </w:r>
    </w:p>
    <w:p w14:paraId="01D27855">
      <w:pPr>
        <w:spacing w:before="46" w:line="225" w:lineRule="auto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0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类声环境功能区：指康复疗养区等特别需要安静的区域。</w:t>
      </w:r>
    </w:p>
    <w:p w14:paraId="12A80D6B">
      <w:pPr>
        <w:spacing w:before="181" w:line="280" w:lineRule="auto"/>
        <w:ind w:left="1" w:right="17" w:firstLine="66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类声环境功能区：指以居民住宅、医疗卫生、文化教育、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科研设计、行政办公为主要功能，需要保持安静的区域。</w:t>
      </w:r>
    </w:p>
    <w:p w14:paraId="1828E2E3">
      <w:pPr>
        <w:spacing w:before="181" w:line="279" w:lineRule="auto"/>
        <w:ind w:left="5" w:right="39" w:firstLine="63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类声环境功能区：指以商业金融、集市贸易为主要功能，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或者居住、商业、工业混杂，需要维护住宅安静的</w:t>
      </w:r>
      <w:r>
        <w:rPr>
          <w:rFonts w:ascii="宋体" w:hAnsi="宋体" w:eastAsia="宋体" w:cs="宋体"/>
          <w:spacing w:val="8"/>
          <w:sz w:val="31"/>
          <w:szCs w:val="31"/>
        </w:rPr>
        <w:t>区域。</w:t>
      </w:r>
    </w:p>
    <w:p w14:paraId="078FA8AC">
      <w:pPr>
        <w:spacing w:before="185" w:line="279" w:lineRule="auto"/>
        <w:ind w:left="16" w:right="39" w:firstLine="62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类声环境功能区：指以工业生产、仓储物流为主要功能，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需要防止工业噪声对周围环境产生严重影响的区域。</w:t>
      </w:r>
    </w:p>
    <w:p w14:paraId="3FF0E83C">
      <w:pPr>
        <w:spacing w:before="182" w:line="318" w:lineRule="auto"/>
        <w:ind w:left="1" w:firstLine="63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8"/>
          <w:sz w:val="31"/>
          <w:szCs w:val="31"/>
        </w:rPr>
        <w:t>类声环境功能区：指交通干线两侧一定距离之内，需要防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止交通噪声对周围环境产生严重影响的区域，包括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4a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类和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4"/>
          <w:sz w:val="31"/>
          <w:szCs w:val="31"/>
        </w:rPr>
        <w:t>类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两种类别。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14"/>
          <w:sz w:val="31"/>
          <w:szCs w:val="31"/>
        </w:rPr>
        <w:t>类为高速公路、一级公路、二级公</w:t>
      </w:r>
      <w:r>
        <w:rPr>
          <w:rFonts w:ascii="宋体" w:hAnsi="宋体" w:eastAsia="宋体" w:cs="宋体"/>
          <w:spacing w:val="13"/>
          <w:sz w:val="31"/>
          <w:szCs w:val="31"/>
        </w:rPr>
        <w:t>路、城市快速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路、城市主干路、城市次干路、城市轨道交通（地面段）、内河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航道两侧区域；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8"/>
          <w:sz w:val="31"/>
          <w:szCs w:val="31"/>
        </w:rPr>
        <w:t>类为铁路干线两侧区域。</w:t>
      </w:r>
    </w:p>
    <w:p w14:paraId="3E9D960B">
      <w:pPr>
        <w:spacing w:line="318" w:lineRule="auto"/>
        <w:rPr>
          <w:rFonts w:ascii="宋体" w:hAnsi="宋体" w:eastAsia="宋体" w:cs="宋体"/>
          <w:sz w:val="31"/>
          <w:szCs w:val="31"/>
        </w:rPr>
        <w:sectPr>
          <w:footerReference r:id="rId37" w:type="default"/>
          <w:pgSz w:w="11906" w:h="16839"/>
          <w:pgMar w:top="1431" w:right="1473" w:bottom="1151" w:left="1597" w:header="0" w:footer="989" w:gutter="0"/>
          <w:cols w:space="720" w:num="1"/>
        </w:sectPr>
      </w:pPr>
    </w:p>
    <w:p w14:paraId="0E977488">
      <w:pPr>
        <w:pStyle w:val="2"/>
        <w:spacing w:line="245" w:lineRule="auto"/>
      </w:pPr>
    </w:p>
    <w:p w14:paraId="26CBD103">
      <w:pPr>
        <w:pStyle w:val="2"/>
        <w:spacing w:line="245" w:lineRule="auto"/>
      </w:pPr>
    </w:p>
    <w:p w14:paraId="06973AC4">
      <w:pPr>
        <w:pStyle w:val="2"/>
        <w:spacing w:line="246" w:lineRule="auto"/>
      </w:pPr>
    </w:p>
    <w:p w14:paraId="2ECEB635">
      <w:pPr>
        <w:spacing w:before="101" w:line="309" w:lineRule="auto"/>
        <w:ind w:left="123" w:right="112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根据《声环境质量标准》（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3096-2008</w:t>
      </w:r>
      <w:r>
        <w:rPr>
          <w:rFonts w:ascii="宋体" w:hAnsi="宋体" w:eastAsia="宋体" w:cs="宋体"/>
          <w:spacing w:val="7"/>
          <w:sz w:val="31"/>
          <w:szCs w:val="31"/>
        </w:rPr>
        <w:t>）和《声环境功能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区划分技术规范》</w:t>
      </w:r>
      <w:r>
        <w:rPr>
          <w:rFonts w:ascii="宋体" w:hAnsi="宋体" w:eastAsia="宋体" w:cs="宋体"/>
          <w:spacing w:val="-10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/T15190-2014</w:t>
      </w:r>
      <w:r>
        <w:rPr>
          <w:rFonts w:ascii="宋体" w:hAnsi="宋体" w:eastAsia="宋体" w:cs="宋体"/>
          <w:spacing w:val="8"/>
          <w:sz w:val="31"/>
          <w:szCs w:val="31"/>
        </w:rPr>
        <w:t>）</w:t>
      </w:r>
      <w:r>
        <w:rPr>
          <w:rFonts w:ascii="宋体" w:hAnsi="宋体" w:eastAsia="宋体" w:cs="宋体"/>
          <w:spacing w:val="-8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的规定，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8"/>
          <w:sz w:val="31"/>
          <w:szCs w:val="31"/>
        </w:rPr>
        <w:t>类、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8"/>
          <w:sz w:val="31"/>
          <w:szCs w:val="31"/>
        </w:rPr>
        <w:t>类声功能区环境噪声限值见</w:t>
      </w:r>
      <w:r>
        <w:rPr>
          <w:rFonts w:ascii="宋体" w:hAnsi="宋体" w:eastAsia="宋体" w:cs="宋体"/>
          <w:spacing w:val="7"/>
          <w:sz w:val="31"/>
          <w:szCs w:val="31"/>
        </w:rPr>
        <w:t>下表。</w:t>
      </w:r>
    </w:p>
    <w:p w14:paraId="0441268B">
      <w:pPr>
        <w:spacing w:before="112" w:line="369" w:lineRule="exact"/>
        <w:ind w:left="307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6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5-1)</w:t>
      </w:r>
      <w:r>
        <w:rPr>
          <w:rFonts w:ascii="Times New Roman" w:hAnsi="Times New Roman" w:eastAsia="Times New Roman" w:cs="Times New Roman"/>
          <w:spacing w:val="5"/>
          <w:position w:val="3"/>
          <w:sz w:val="28"/>
          <w:szCs w:val="28"/>
        </w:rPr>
        <w:t xml:space="preserve">      </w:t>
      </w:r>
      <w:r>
        <w:rPr>
          <w:rFonts w:ascii="宋体" w:hAnsi="宋体" w:eastAsia="宋体" w:cs="宋体"/>
          <w:spacing w:val="-3"/>
          <w:position w:val="3"/>
          <w:sz w:val="28"/>
          <w:szCs w:val="28"/>
        </w:rPr>
        <w:t>环境噪声限值</w:t>
      </w:r>
    </w:p>
    <w:p w14:paraId="27CA78FE">
      <w:pPr>
        <w:spacing w:line="27" w:lineRule="exact"/>
      </w:pPr>
    </w:p>
    <w:tbl>
      <w:tblPr>
        <w:tblStyle w:val="5"/>
        <w:tblW w:w="906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8"/>
        <w:gridCol w:w="1374"/>
        <w:gridCol w:w="3233"/>
        <w:gridCol w:w="3078"/>
      </w:tblGrid>
      <w:tr w14:paraId="3FBE4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752" w:type="dxa"/>
            <w:gridSpan w:val="2"/>
            <w:vMerge w:val="restart"/>
            <w:tcBorders>
              <w:bottom w:val="nil"/>
            </w:tcBorders>
            <w:vAlign w:val="top"/>
          </w:tcPr>
          <w:p w14:paraId="46D48D27">
            <w:pPr>
              <w:pStyle w:val="6"/>
              <w:spacing w:before="239" w:line="220" w:lineRule="auto"/>
              <w:ind w:left="667"/>
            </w:pPr>
            <w:r>
              <w:rPr>
                <w:spacing w:val="-3"/>
              </w:rPr>
              <w:t>声功能区类别</w:t>
            </w:r>
          </w:p>
        </w:tc>
        <w:tc>
          <w:tcPr>
            <w:tcW w:w="6311" w:type="dxa"/>
            <w:gridSpan w:val="2"/>
            <w:vAlign w:val="top"/>
          </w:tcPr>
          <w:p w14:paraId="19853E33">
            <w:pPr>
              <w:pStyle w:val="6"/>
              <w:spacing w:before="64" w:line="211" w:lineRule="auto"/>
              <w:ind w:left="2933"/>
            </w:pPr>
            <w:r>
              <w:rPr>
                <w:spacing w:val="-11"/>
              </w:rPr>
              <w:t>时段</w:t>
            </w:r>
          </w:p>
        </w:tc>
      </w:tr>
      <w:tr w14:paraId="493F5F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752" w:type="dxa"/>
            <w:gridSpan w:val="2"/>
            <w:vMerge w:val="continue"/>
            <w:tcBorders>
              <w:top w:val="nil"/>
            </w:tcBorders>
            <w:vAlign w:val="top"/>
          </w:tcPr>
          <w:p w14:paraId="1C74BF86">
            <w:pPr>
              <w:rPr>
                <w:rFonts w:ascii="Arial"/>
                <w:sz w:val="21"/>
              </w:rPr>
            </w:pPr>
          </w:p>
        </w:tc>
        <w:tc>
          <w:tcPr>
            <w:tcW w:w="3233" w:type="dxa"/>
            <w:vAlign w:val="top"/>
          </w:tcPr>
          <w:p w14:paraId="37F57475">
            <w:pPr>
              <w:pStyle w:val="6"/>
              <w:spacing w:before="25" w:line="237" w:lineRule="auto"/>
              <w:ind w:left="1046"/>
              <w:rPr>
                <w:rFonts w:ascii="Times New Roman" w:hAnsi="Times New Roman" w:eastAsia="Times New Roman" w:cs="Times New Roman"/>
              </w:rPr>
            </w:pPr>
            <w:r>
              <w:rPr>
                <w:spacing w:val="-3"/>
              </w:rPr>
              <w:t>昼间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dB(A)</w:t>
            </w:r>
          </w:p>
        </w:tc>
        <w:tc>
          <w:tcPr>
            <w:tcW w:w="3078" w:type="dxa"/>
            <w:vAlign w:val="top"/>
          </w:tcPr>
          <w:p w14:paraId="50B76206">
            <w:pPr>
              <w:pStyle w:val="6"/>
              <w:spacing w:before="25" w:line="237" w:lineRule="auto"/>
              <w:ind w:left="972"/>
              <w:rPr>
                <w:rFonts w:ascii="Times New Roman" w:hAnsi="Times New Roman" w:eastAsia="Times New Roman" w:cs="Times New Roman"/>
              </w:rPr>
            </w:pPr>
            <w:r>
              <w:rPr>
                <w:spacing w:val="-4"/>
              </w:rPr>
              <w:t>夜间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dB(A)</w:t>
            </w:r>
          </w:p>
        </w:tc>
      </w:tr>
      <w:tr w14:paraId="380ED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752" w:type="dxa"/>
            <w:gridSpan w:val="2"/>
            <w:vAlign w:val="top"/>
          </w:tcPr>
          <w:p w14:paraId="17D478BE">
            <w:pPr>
              <w:pStyle w:val="6"/>
              <w:spacing w:before="62" w:line="209" w:lineRule="auto"/>
              <w:ind w:left="1173"/>
            </w:pPr>
            <w:r>
              <w:rPr>
                <w:rFonts w:ascii="Times New Roman" w:hAnsi="Times New Roman" w:eastAsia="Times New Roman" w:cs="Times New Roman"/>
                <w:spacing w:val="-5"/>
              </w:rPr>
              <w:t>0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5"/>
              </w:rPr>
              <w:t>类</w:t>
            </w:r>
          </w:p>
        </w:tc>
        <w:tc>
          <w:tcPr>
            <w:tcW w:w="3233" w:type="dxa"/>
            <w:vAlign w:val="top"/>
          </w:tcPr>
          <w:p w14:paraId="11E5D88B">
            <w:pPr>
              <w:spacing w:before="104" w:line="188" w:lineRule="auto"/>
              <w:ind w:left="1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3078" w:type="dxa"/>
            <w:vAlign w:val="top"/>
          </w:tcPr>
          <w:p w14:paraId="3BE53546">
            <w:pPr>
              <w:spacing w:before="104" w:line="188" w:lineRule="auto"/>
              <w:ind w:left="1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</w:tr>
      <w:tr w14:paraId="4E930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752" w:type="dxa"/>
            <w:gridSpan w:val="2"/>
            <w:vAlign w:val="top"/>
          </w:tcPr>
          <w:p w14:paraId="026CE062">
            <w:pPr>
              <w:pStyle w:val="6"/>
              <w:spacing w:before="63" w:line="208" w:lineRule="auto"/>
              <w:ind w:left="1192"/>
            </w:pPr>
            <w:r>
              <w:rPr>
                <w:rFonts w:ascii="Times New Roman" w:hAnsi="Times New Roman" w:eastAsia="Times New Roman" w:cs="Times New Roman"/>
                <w:spacing w:val="-15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15"/>
              </w:rPr>
              <w:t>类</w:t>
            </w:r>
          </w:p>
        </w:tc>
        <w:tc>
          <w:tcPr>
            <w:tcW w:w="3233" w:type="dxa"/>
            <w:vAlign w:val="top"/>
          </w:tcPr>
          <w:p w14:paraId="2676F61B">
            <w:pPr>
              <w:spacing w:before="109" w:line="185" w:lineRule="auto"/>
              <w:ind w:left="1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3078" w:type="dxa"/>
            <w:vAlign w:val="top"/>
          </w:tcPr>
          <w:p w14:paraId="272D8AB0">
            <w:pPr>
              <w:spacing w:before="105" w:line="188" w:lineRule="auto"/>
              <w:ind w:left="1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</w:tr>
      <w:tr w14:paraId="529A8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752" w:type="dxa"/>
            <w:gridSpan w:val="2"/>
            <w:vAlign w:val="top"/>
          </w:tcPr>
          <w:p w14:paraId="5AD714E6">
            <w:pPr>
              <w:pStyle w:val="6"/>
              <w:spacing w:before="64" w:line="207" w:lineRule="auto"/>
              <w:ind w:left="1169"/>
            </w:pPr>
            <w:r>
              <w:rPr>
                <w:rFonts w:ascii="Times New Roman" w:hAnsi="Times New Roman" w:eastAsia="Times New Roman" w:cs="Times New Roman"/>
                <w:spacing w:val="-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3"/>
              </w:rPr>
              <w:t>类</w:t>
            </w:r>
          </w:p>
        </w:tc>
        <w:tc>
          <w:tcPr>
            <w:tcW w:w="3233" w:type="dxa"/>
            <w:vAlign w:val="top"/>
          </w:tcPr>
          <w:p w14:paraId="299C0130">
            <w:pPr>
              <w:spacing w:before="104" w:line="188" w:lineRule="auto"/>
              <w:ind w:left="15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3078" w:type="dxa"/>
            <w:vAlign w:val="top"/>
          </w:tcPr>
          <w:p w14:paraId="52F8E1DA">
            <w:pPr>
              <w:spacing w:before="104" w:line="188" w:lineRule="auto"/>
              <w:ind w:left="1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</w:tr>
      <w:tr w14:paraId="3B5BC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752" w:type="dxa"/>
            <w:gridSpan w:val="2"/>
            <w:vAlign w:val="top"/>
          </w:tcPr>
          <w:p w14:paraId="05172785">
            <w:pPr>
              <w:pStyle w:val="6"/>
              <w:spacing w:before="67" w:line="206" w:lineRule="auto"/>
              <w:ind w:left="1174"/>
            </w:pPr>
            <w:r>
              <w:rPr>
                <w:rFonts w:ascii="Times New Roman" w:hAnsi="Times New Roman" w:eastAsia="Times New Roman" w:cs="Times New Roman"/>
                <w:spacing w:val="-5"/>
              </w:rPr>
              <w:t>3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5"/>
              </w:rPr>
              <w:t>类</w:t>
            </w:r>
          </w:p>
        </w:tc>
        <w:tc>
          <w:tcPr>
            <w:tcW w:w="3233" w:type="dxa"/>
            <w:vAlign w:val="top"/>
          </w:tcPr>
          <w:p w14:paraId="63083DC9">
            <w:pPr>
              <w:spacing w:before="105" w:line="188" w:lineRule="auto"/>
              <w:ind w:left="15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3078" w:type="dxa"/>
            <w:vAlign w:val="top"/>
          </w:tcPr>
          <w:p w14:paraId="5ECEA20B">
            <w:pPr>
              <w:spacing w:before="109" w:line="185" w:lineRule="auto"/>
              <w:ind w:left="1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</w:tr>
      <w:tr w14:paraId="7431E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78" w:type="dxa"/>
            <w:vMerge w:val="restart"/>
            <w:tcBorders>
              <w:bottom w:val="nil"/>
            </w:tcBorders>
            <w:vAlign w:val="top"/>
          </w:tcPr>
          <w:p w14:paraId="32B3BE01">
            <w:pPr>
              <w:pStyle w:val="6"/>
              <w:spacing w:before="239" w:line="220" w:lineRule="auto"/>
              <w:ind w:left="479"/>
            </w:pPr>
            <w:r>
              <w:rPr>
                <w:rFonts w:ascii="Times New Roman" w:hAnsi="Times New Roman" w:eastAsia="Times New Roman" w:cs="Times New Roman"/>
                <w:spacing w:val="-2"/>
              </w:rPr>
              <w:t>4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2"/>
              </w:rPr>
              <w:t>类</w:t>
            </w:r>
          </w:p>
        </w:tc>
        <w:tc>
          <w:tcPr>
            <w:tcW w:w="1374" w:type="dxa"/>
            <w:vAlign w:val="top"/>
          </w:tcPr>
          <w:p w14:paraId="0259AEC3">
            <w:pPr>
              <w:pStyle w:val="6"/>
              <w:spacing w:before="64" w:line="208" w:lineRule="auto"/>
              <w:ind w:left="424"/>
            </w:pPr>
            <w:r>
              <w:rPr>
                <w:rFonts w:ascii="Times New Roman" w:hAnsi="Times New Roman" w:eastAsia="Times New Roman" w:cs="Times New Roman"/>
                <w:spacing w:val="-2"/>
              </w:rPr>
              <w:t>4a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2"/>
              </w:rPr>
              <w:t>类</w:t>
            </w:r>
          </w:p>
        </w:tc>
        <w:tc>
          <w:tcPr>
            <w:tcW w:w="3233" w:type="dxa"/>
            <w:vAlign w:val="top"/>
          </w:tcPr>
          <w:p w14:paraId="17434895">
            <w:pPr>
              <w:spacing w:before="106" w:line="188" w:lineRule="auto"/>
              <w:ind w:left="15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3078" w:type="dxa"/>
            <w:vAlign w:val="top"/>
          </w:tcPr>
          <w:p w14:paraId="21F72C85">
            <w:pPr>
              <w:spacing w:before="109" w:line="185" w:lineRule="auto"/>
              <w:ind w:left="14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</w:tr>
      <w:tr w14:paraId="2551F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378" w:type="dxa"/>
            <w:vMerge w:val="continue"/>
            <w:tcBorders>
              <w:top w:val="nil"/>
            </w:tcBorders>
            <w:vAlign w:val="top"/>
          </w:tcPr>
          <w:p w14:paraId="534A480B">
            <w:pPr>
              <w:rPr>
                <w:rFonts w:ascii="Arial"/>
                <w:sz w:val="21"/>
              </w:rPr>
            </w:pPr>
          </w:p>
        </w:tc>
        <w:tc>
          <w:tcPr>
            <w:tcW w:w="1374" w:type="dxa"/>
            <w:vAlign w:val="top"/>
          </w:tcPr>
          <w:p w14:paraId="71B38D6E">
            <w:pPr>
              <w:pStyle w:val="6"/>
              <w:spacing w:before="29" w:line="238" w:lineRule="auto"/>
              <w:ind w:left="416"/>
            </w:pPr>
            <w:r>
              <w:rPr>
                <w:rFonts w:ascii="Times New Roman" w:hAnsi="Times New Roman" w:eastAsia="Times New Roman" w:cs="Times New Roman"/>
                <w:spacing w:val="-2"/>
              </w:rPr>
              <w:t>4b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2"/>
              </w:rPr>
              <w:t>类</w:t>
            </w:r>
          </w:p>
        </w:tc>
        <w:tc>
          <w:tcPr>
            <w:tcW w:w="3233" w:type="dxa"/>
            <w:vAlign w:val="top"/>
          </w:tcPr>
          <w:p w14:paraId="3C1BCB26">
            <w:pPr>
              <w:spacing w:before="106" w:line="188" w:lineRule="auto"/>
              <w:ind w:left="15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3078" w:type="dxa"/>
            <w:vAlign w:val="top"/>
          </w:tcPr>
          <w:p w14:paraId="069D9344">
            <w:pPr>
              <w:spacing w:before="106" w:line="188" w:lineRule="auto"/>
              <w:ind w:left="14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</w:tr>
    </w:tbl>
    <w:p w14:paraId="79D1BD75">
      <w:pPr>
        <w:spacing w:before="255" w:line="225" w:lineRule="auto"/>
        <w:ind w:left="762"/>
        <w:outlineLvl w:val="1"/>
        <w:rPr>
          <w:rFonts w:ascii="宋体" w:hAnsi="宋体" w:eastAsia="宋体" w:cs="宋体"/>
          <w:sz w:val="31"/>
          <w:szCs w:val="31"/>
        </w:rPr>
      </w:pPr>
      <w:bookmarkStart w:id="90" w:name="bookmark45"/>
      <w:bookmarkEnd w:id="90"/>
      <w:bookmarkStart w:id="91" w:name="bookmark46"/>
      <w:bookmarkEnd w:id="91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5.2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声环境功能区划分次序及方法</w:t>
      </w:r>
    </w:p>
    <w:p w14:paraId="4AB727F2">
      <w:pPr>
        <w:spacing w:before="282" w:line="225" w:lineRule="auto"/>
        <w:ind w:left="767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5.2.1  </w:t>
      </w:r>
      <w:r>
        <w:rPr>
          <w:rFonts w:ascii="宋体" w:hAnsi="宋体" w:eastAsia="宋体" w:cs="宋体"/>
          <w:spacing w:val="6"/>
          <w:sz w:val="31"/>
          <w:szCs w:val="31"/>
        </w:rPr>
        <w:t>声环境功能区划分次序</w:t>
      </w:r>
    </w:p>
    <w:p w14:paraId="26393482">
      <w:pPr>
        <w:spacing w:before="157" w:line="329" w:lineRule="auto"/>
        <w:ind w:left="124" w:right="113" w:firstLine="639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根据《声环境功能区划分技术规范》（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/T15190-2014</w:t>
      </w:r>
      <w:r>
        <w:rPr>
          <w:rFonts w:ascii="宋体" w:hAnsi="宋体" w:eastAsia="宋体" w:cs="宋体"/>
          <w:spacing w:val="3"/>
          <w:sz w:val="31"/>
          <w:szCs w:val="31"/>
        </w:rPr>
        <w:t>）规</w:t>
      </w:r>
      <w:r>
        <w:rPr>
          <w:rFonts w:ascii="宋体" w:hAnsi="宋体" w:eastAsia="宋体" w:cs="宋体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定，功能区划分首先对</w:t>
      </w:r>
      <w:r>
        <w:rPr>
          <w:rFonts w:ascii="宋体" w:hAnsi="宋体" w:eastAsia="宋体" w:cs="宋体"/>
          <w:spacing w:val="-3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类声环境功能区确认划分</w:t>
      </w:r>
      <w:r>
        <w:rPr>
          <w:rFonts w:ascii="宋体" w:hAnsi="宋体" w:eastAsia="宋体" w:cs="宋体"/>
          <w:spacing w:val="9"/>
          <w:sz w:val="31"/>
          <w:szCs w:val="31"/>
        </w:rPr>
        <w:t>，余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3"/>
          <w:sz w:val="31"/>
          <w:szCs w:val="31"/>
        </w:rPr>
        <w:t>下区域划分为</w:t>
      </w:r>
      <w:r>
        <w:rPr>
          <w:rFonts w:ascii="宋体" w:hAnsi="宋体" w:eastAsia="宋体" w:cs="宋体"/>
          <w:spacing w:val="-2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3"/>
          <w:sz w:val="31"/>
          <w:szCs w:val="31"/>
        </w:rPr>
        <w:t>类声环境功能区，在此基础上划分</w:t>
      </w:r>
      <w:r>
        <w:rPr>
          <w:rFonts w:ascii="宋体" w:hAnsi="宋体" w:eastAsia="宋体" w:cs="宋体"/>
          <w:spacing w:val="-4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3"/>
          <w:sz w:val="31"/>
          <w:szCs w:val="31"/>
        </w:rPr>
        <w:t>类声环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1"/>
          <w:sz w:val="31"/>
          <w:szCs w:val="31"/>
        </w:rPr>
        <w:t>境功能区。</w:t>
      </w:r>
    </w:p>
    <w:p w14:paraId="7CC33603">
      <w:pPr>
        <w:spacing w:before="156" w:line="225" w:lineRule="auto"/>
        <w:ind w:left="767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5.2.2 0-3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类声环境功能区划分</w:t>
      </w:r>
    </w:p>
    <w:p w14:paraId="51C238A1">
      <w:pPr>
        <w:spacing w:before="198" w:line="280" w:lineRule="auto"/>
        <w:ind w:left="149" w:right="47" w:firstLine="6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1</w:t>
      </w:r>
      <w:r>
        <w:rPr>
          <w:rFonts w:ascii="宋体" w:hAnsi="宋体" w:eastAsia="宋体" w:cs="宋体"/>
          <w:spacing w:val="13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0 </w:t>
      </w:r>
      <w:r>
        <w:rPr>
          <w:rFonts w:ascii="宋体" w:hAnsi="宋体" w:eastAsia="宋体" w:cs="宋体"/>
          <w:spacing w:val="13"/>
          <w:sz w:val="31"/>
          <w:szCs w:val="31"/>
        </w:rPr>
        <w:t>类声环境功能区适用于康复疗养区等特别需要安静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的区域。该区域内及附近区域应无明显噪声源，</w:t>
      </w:r>
      <w:r>
        <w:rPr>
          <w:rFonts w:ascii="宋体" w:hAnsi="宋体" w:eastAsia="宋体" w:cs="宋体"/>
          <w:spacing w:val="6"/>
          <w:sz w:val="31"/>
          <w:szCs w:val="31"/>
        </w:rPr>
        <w:t>区域界限明确。</w:t>
      </w:r>
    </w:p>
    <w:p w14:paraId="0854456A">
      <w:pPr>
        <w:spacing w:before="183" w:line="225" w:lineRule="auto"/>
        <w:ind w:left="77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</w:t>
      </w:r>
      <w:r>
        <w:rPr>
          <w:rFonts w:ascii="宋体" w:hAnsi="宋体" w:eastAsia="宋体" w:cs="宋体"/>
          <w:spacing w:val="6"/>
          <w:sz w:val="31"/>
          <w:szCs w:val="31"/>
        </w:rPr>
        <w:t>）符合下列条件之一的划为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类声环境功能区：</w:t>
      </w:r>
    </w:p>
    <w:p w14:paraId="0C900183">
      <w:pPr>
        <w:spacing w:before="182" w:line="297" w:lineRule="auto"/>
        <w:ind w:left="136" w:right="3" w:firstLine="65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）城市用地现状已形成一定规模或近期规划已明确主要功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能的区域，其用地性质符合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“1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类声环境功能区（指以居民住宅、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医疗卫生、文化教育、科研设计、行政办公为主要功能，需保持</w:t>
      </w:r>
    </w:p>
    <w:p w14:paraId="0815F1BF">
      <w:pPr>
        <w:spacing w:line="297" w:lineRule="auto"/>
        <w:rPr>
          <w:rFonts w:ascii="宋体" w:hAnsi="宋体" w:eastAsia="宋体" w:cs="宋体"/>
          <w:sz w:val="31"/>
          <w:szCs w:val="31"/>
        </w:rPr>
        <w:sectPr>
          <w:footerReference r:id="rId38" w:type="default"/>
          <w:pgSz w:w="11906" w:h="16839"/>
          <w:pgMar w:top="1431" w:right="1362" w:bottom="1151" w:left="1475" w:header="0" w:footer="989" w:gutter="0"/>
          <w:cols w:space="720" w:num="1"/>
        </w:sectPr>
      </w:pPr>
    </w:p>
    <w:p w14:paraId="1BC2B1D1">
      <w:pPr>
        <w:pStyle w:val="2"/>
        <w:spacing w:line="245" w:lineRule="auto"/>
      </w:pPr>
    </w:p>
    <w:p w14:paraId="7A9E5642">
      <w:pPr>
        <w:pStyle w:val="2"/>
        <w:spacing w:line="245" w:lineRule="auto"/>
      </w:pPr>
    </w:p>
    <w:p w14:paraId="6E80A35B">
      <w:pPr>
        <w:pStyle w:val="2"/>
        <w:spacing w:line="246" w:lineRule="auto"/>
      </w:pPr>
    </w:p>
    <w:p w14:paraId="3184679B">
      <w:pPr>
        <w:spacing w:before="101" w:line="225" w:lineRule="auto"/>
        <w:ind w:left="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安静的区域）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规定的区域；</w:t>
      </w:r>
    </w:p>
    <w:p w14:paraId="07D7B549">
      <w:pPr>
        <w:spacing w:before="134" w:line="419" w:lineRule="exact"/>
        <w:ind w:left="63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2</w:t>
      </w:r>
      <w:r>
        <w:rPr>
          <w:rFonts w:ascii="宋体" w:hAnsi="宋体" w:eastAsia="宋体" w:cs="宋体"/>
          <w:spacing w:val="3"/>
          <w:position w:val="1"/>
          <w:sz w:val="31"/>
          <w:szCs w:val="31"/>
        </w:rPr>
        <w:t>）</w:t>
      </w:r>
      <w:r>
        <w:rPr>
          <w:rFonts w:ascii="宋体" w:hAnsi="宋体" w:eastAsia="宋体" w:cs="宋体"/>
          <w:spacing w:val="-29"/>
          <w:position w:val="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position w:val="1"/>
          <w:sz w:val="31"/>
          <w:szCs w:val="31"/>
        </w:rPr>
        <w:t>Ⅰ类用地占地率大于</w:t>
      </w:r>
      <w:r>
        <w:rPr>
          <w:rFonts w:ascii="宋体" w:hAnsi="宋体" w:eastAsia="宋体" w:cs="宋体"/>
          <w:spacing w:val="-61"/>
          <w:position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70%</w:t>
      </w:r>
      <w:r>
        <w:rPr>
          <w:rFonts w:ascii="宋体" w:hAnsi="宋体" w:eastAsia="宋体" w:cs="宋体"/>
          <w:spacing w:val="3"/>
          <w:position w:val="1"/>
          <w:sz w:val="31"/>
          <w:szCs w:val="31"/>
        </w:rPr>
        <w:t>（含</w:t>
      </w:r>
      <w:r>
        <w:rPr>
          <w:rFonts w:ascii="宋体" w:hAnsi="宋体" w:eastAsia="宋体" w:cs="宋体"/>
          <w:spacing w:val="-62"/>
          <w:position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70%</w:t>
      </w:r>
      <w:r>
        <w:rPr>
          <w:rFonts w:ascii="宋体" w:hAnsi="宋体" w:eastAsia="宋体" w:cs="宋体"/>
          <w:spacing w:val="3"/>
          <w:position w:val="1"/>
          <w:sz w:val="31"/>
          <w:szCs w:val="31"/>
        </w:rPr>
        <w:t>）的混</w:t>
      </w:r>
      <w:r>
        <w:rPr>
          <w:rFonts w:ascii="宋体" w:hAnsi="宋体" w:eastAsia="宋体" w:cs="宋体"/>
          <w:spacing w:val="2"/>
          <w:position w:val="1"/>
          <w:sz w:val="31"/>
          <w:szCs w:val="31"/>
        </w:rPr>
        <w:t>合用地区域。</w:t>
      </w:r>
    </w:p>
    <w:p w14:paraId="34D09798">
      <w:pPr>
        <w:spacing w:before="188" w:line="225" w:lineRule="auto"/>
        <w:ind w:left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</w:t>
      </w:r>
      <w:r>
        <w:rPr>
          <w:rFonts w:ascii="宋体" w:hAnsi="宋体" w:eastAsia="宋体" w:cs="宋体"/>
          <w:spacing w:val="7"/>
          <w:sz w:val="31"/>
          <w:szCs w:val="31"/>
        </w:rPr>
        <w:t>）符合下列条件之一的划为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类声环境功能区：</w:t>
      </w:r>
    </w:p>
    <w:p w14:paraId="08472E4A">
      <w:pPr>
        <w:spacing w:before="185" w:line="306" w:lineRule="auto"/>
        <w:ind w:left="1" w:firstLine="66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）城市用地现状已形成一定规模或近期规划已明确主要功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能的区域，其用地性质符合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“2 </w:t>
      </w:r>
      <w:r>
        <w:rPr>
          <w:rFonts w:ascii="宋体" w:hAnsi="宋体" w:eastAsia="宋体" w:cs="宋体"/>
          <w:spacing w:val="7"/>
          <w:sz w:val="31"/>
          <w:szCs w:val="31"/>
        </w:rPr>
        <w:t>类声环境功</w:t>
      </w:r>
      <w:r>
        <w:rPr>
          <w:rFonts w:ascii="宋体" w:hAnsi="宋体" w:eastAsia="宋体" w:cs="宋体"/>
          <w:spacing w:val="6"/>
          <w:sz w:val="31"/>
          <w:szCs w:val="31"/>
        </w:rPr>
        <w:t>能区（指以商业金融、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集市贸易为主要功能，或者居住、商业、工业混杂，需要维护住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宅安静的区域）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规定的区域；</w:t>
      </w:r>
    </w:p>
    <w:p w14:paraId="3EAD8EE8">
      <w:pPr>
        <w:spacing w:before="182" w:line="279" w:lineRule="auto"/>
        <w:ind w:left="5" w:right="110" w:firstLine="63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</w:t>
      </w:r>
      <w:r>
        <w:rPr>
          <w:rFonts w:ascii="宋体" w:hAnsi="宋体" w:eastAsia="宋体" w:cs="宋体"/>
          <w:spacing w:val="7"/>
          <w:sz w:val="31"/>
          <w:szCs w:val="31"/>
        </w:rPr>
        <w:t>）划定的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类声环境功能区以外居住、商业、工业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混杂区域。</w:t>
      </w:r>
    </w:p>
    <w:p w14:paraId="08F9ABDC">
      <w:pPr>
        <w:spacing w:before="183" w:line="225" w:lineRule="auto"/>
        <w:ind w:left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4</w:t>
      </w:r>
      <w:r>
        <w:rPr>
          <w:rFonts w:ascii="宋体" w:hAnsi="宋体" w:eastAsia="宋体" w:cs="宋体"/>
          <w:spacing w:val="7"/>
          <w:sz w:val="31"/>
          <w:szCs w:val="31"/>
        </w:rPr>
        <w:t>）符合下列条件之一的划为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类声环境功能区：</w:t>
      </w:r>
    </w:p>
    <w:p w14:paraId="473AC527">
      <w:pPr>
        <w:spacing w:before="178" w:line="307" w:lineRule="auto"/>
        <w:ind w:firstLine="66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）城市用地现状已形成一定规模或近期规划已明确主要功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能的区域，其用地性质符合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“3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</w:t>
      </w:r>
      <w:r>
        <w:rPr>
          <w:rFonts w:ascii="宋体" w:hAnsi="宋体" w:eastAsia="宋体" w:cs="宋体"/>
          <w:spacing w:val="6"/>
          <w:sz w:val="31"/>
          <w:szCs w:val="31"/>
        </w:rPr>
        <w:t>区（指以工业生产、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仓储物流为主要功能，需要防止工业噪声对周围环境产生严重影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响的区域）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规定的区域；</w:t>
      </w:r>
    </w:p>
    <w:p w14:paraId="0A93ACAC">
      <w:pPr>
        <w:spacing w:before="134" w:line="294" w:lineRule="auto"/>
        <w:ind w:left="5" w:right="110" w:firstLine="63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</w:t>
      </w:r>
      <w:r>
        <w:rPr>
          <w:rFonts w:ascii="宋体" w:hAnsi="宋体" w:eastAsia="宋体" w:cs="宋体"/>
          <w:spacing w:val="7"/>
          <w:sz w:val="31"/>
          <w:szCs w:val="31"/>
        </w:rPr>
        <w:t>）工业用地和物流仓储用地占地率大于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70%</w:t>
      </w:r>
      <w:r>
        <w:rPr>
          <w:rFonts w:ascii="宋体" w:hAnsi="宋体" w:eastAsia="宋体" w:cs="宋体"/>
          <w:spacing w:val="7"/>
          <w:sz w:val="31"/>
          <w:szCs w:val="31"/>
        </w:rPr>
        <w:t>（含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70%</w:t>
      </w:r>
      <w:r>
        <w:rPr>
          <w:rFonts w:ascii="宋体" w:hAnsi="宋体" w:eastAsia="宋体" w:cs="宋体"/>
          <w:spacing w:val="7"/>
          <w:sz w:val="31"/>
          <w:szCs w:val="31"/>
        </w:rPr>
        <w:t>）的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混合用地区域。</w:t>
      </w:r>
    </w:p>
    <w:p w14:paraId="6C7F1DAC">
      <w:pPr>
        <w:spacing w:before="259" w:line="225" w:lineRule="auto"/>
        <w:ind w:left="644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5.2.3 4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类声环境功能区划分原则</w:t>
      </w:r>
    </w:p>
    <w:p w14:paraId="4CF2456F">
      <w:pPr>
        <w:spacing w:before="282" w:line="225" w:lineRule="auto"/>
        <w:ind w:left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</w:t>
      </w:r>
      <w:r>
        <w:rPr>
          <w:rFonts w:ascii="宋体" w:hAnsi="宋体" w:eastAsia="宋体" w:cs="宋体"/>
          <w:spacing w:val="3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3"/>
          <w:sz w:val="31"/>
          <w:szCs w:val="31"/>
        </w:rPr>
        <w:t>类区</w:t>
      </w:r>
    </w:p>
    <w:p w14:paraId="31F84F2C">
      <w:pPr>
        <w:spacing w:before="204" w:line="326" w:lineRule="auto"/>
        <w:ind w:right="20" w:firstLine="634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15"/>
          <w:sz w:val="31"/>
          <w:szCs w:val="31"/>
        </w:rPr>
        <w:t>类区为高速公路、一级公路、二级公路、城市快速路、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城市主干路、城市次干路、内河航道、城市轨道交通（地面段）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边界线两侧一定距离范围内区域。结合开化县中心城区的具体情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况，将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5"/>
          <w:sz w:val="31"/>
          <w:szCs w:val="31"/>
        </w:rPr>
        <w:t>类交通干线边界线外一定距离内的区域划分为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5"/>
          <w:sz w:val="31"/>
          <w:szCs w:val="31"/>
        </w:rPr>
        <w:t>类声</w:t>
      </w:r>
    </w:p>
    <w:p w14:paraId="6B5C9214">
      <w:pPr>
        <w:spacing w:line="326" w:lineRule="auto"/>
        <w:rPr>
          <w:rFonts w:ascii="宋体" w:hAnsi="宋体" w:eastAsia="宋体" w:cs="宋体"/>
          <w:sz w:val="31"/>
          <w:szCs w:val="31"/>
        </w:rPr>
        <w:sectPr>
          <w:footerReference r:id="rId39" w:type="default"/>
          <w:pgSz w:w="11906" w:h="16839"/>
          <w:pgMar w:top="1431" w:right="1365" w:bottom="1151" w:left="1597" w:header="0" w:footer="989" w:gutter="0"/>
          <w:cols w:space="720" w:num="1"/>
        </w:sectPr>
      </w:pPr>
    </w:p>
    <w:p w14:paraId="229CE509">
      <w:pPr>
        <w:pStyle w:val="2"/>
        <w:spacing w:line="245" w:lineRule="auto"/>
      </w:pPr>
    </w:p>
    <w:p w14:paraId="4BEA88F5">
      <w:pPr>
        <w:pStyle w:val="2"/>
        <w:spacing w:line="246" w:lineRule="auto"/>
      </w:pPr>
    </w:p>
    <w:p w14:paraId="57CC4B2C">
      <w:pPr>
        <w:pStyle w:val="2"/>
        <w:spacing w:line="246" w:lineRule="auto"/>
      </w:pPr>
    </w:p>
    <w:p w14:paraId="3FF41026">
      <w:pPr>
        <w:spacing w:before="100" w:line="226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环境功能区。距离的确定方法如下：</w:t>
      </w:r>
    </w:p>
    <w:p w14:paraId="164D7252">
      <w:pPr>
        <w:spacing w:before="178" w:line="322" w:lineRule="auto"/>
        <w:ind w:left="653" w:right="116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a</w:t>
      </w:r>
      <w:r>
        <w:rPr>
          <w:rFonts w:ascii="宋体" w:hAnsi="宋体" w:eastAsia="宋体" w:cs="宋体"/>
          <w:spacing w:val="3"/>
          <w:sz w:val="31"/>
          <w:szCs w:val="31"/>
        </w:rPr>
        <w:t>）相邻区域为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3"/>
          <w:sz w:val="31"/>
          <w:szCs w:val="31"/>
        </w:rPr>
        <w:t>类声环境功能区，距离为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50m</w:t>
      </w:r>
      <w:r>
        <w:rPr>
          <w:rFonts w:ascii="宋体" w:hAnsi="宋体" w:eastAsia="宋体" w:cs="宋体"/>
          <w:spacing w:val="3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b</w:t>
      </w:r>
      <w:r>
        <w:rPr>
          <w:rFonts w:ascii="宋体" w:hAnsi="宋体" w:eastAsia="宋体" w:cs="宋体"/>
          <w:spacing w:val="3"/>
          <w:sz w:val="31"/>
          <w:szCs w:val="31"/>
        </w:rPr>
        <w:t>）相邻区域为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3"/>
          <w:sz w:val="31"/>
          <w:szCs w:val="31"/>
        </w:rPr>
        <w:t>类声环境功能区，距离为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35m</w:t>
      </w:r>
      <w:r>
        <w:rPr>
          <w:rFonts w:ascii="宋体" w:hAnsi="宋体" w:eastAsia="宋体" w:cs="宋体"/>
          <w:spacing w:val="3"/>
          <w:sz w:val="31"/>
          <w:szCs w:val="31"/>
        </w:rPr>
        <w:t>；</w:t>
      </w:r>
    </w:p>
    <w:p w14:paraId="5A5703A0">
      <w:pPr>
        <w:spacing w:before="41" w:line="225" w:lineRule="auto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c</w:t>
      </w:r>
      <w:r>
        <w:rPr>
          <w:rFonts w:ascii="宋体" w:hAnsi="宋体" w:eastAsia="宋体" w:cs="宋体"/>
          <w:spacing w:val="6"/>
          <w:sz w:val="31"/>
          <w:szCs w:val="31"/>
        </w:rPr>
        <w:t>）相邻区域为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类声环境功能区，距离为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20m</w:t>
      </w:r>
      <w:r>
        <w:rPr>
          <w:rFonts w:ascii="宋体" w:hAnsi="宋体" w:eastAsia="宋体" w:cs="宋体"/>
          <w:spacing w:val="6"/>
          <w:sz w:val="31"/>
          <w:szCs w:val="31"/>
        </w:rPr>
        <w:t>。</w:t>
      </w:r>
    </w:p>
    <w:p w14:paraId="3DFE3962">
      <w:pPr>
        <w:spacing w:before="178" w:line="298" w:lineRule="auto"/>
        <w:ind w:left="2" w:right="87" w:firstLine="66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</w:t>
      </w:r>
      <w:r>
        <w:rPr>
          <w:rFonts w:ascii="宋体" w:hAnsi="宋体" w:eastAsia="宋体" w:cs="宋体"/>
          <w:spacing w:val="4"/>
          <w:sz w:val="31"/>
          <w:szCs w:val="31"/>
        </w:rPr>
        <w:t>）划分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4"/>
          <w:sz w:val="31"/>
          <w:szCs w:val="31"/>
        </w:rPr>
        <w:t>类声环境功能区时，当临街建筑高于三层楼房以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上（含三层）时，将临街建筑面向交通干线至交通干线边界线的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区域定为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类声环境功能区。</w:t>
      </w:r>
    </w:p>
    <w:p w14:paraId="447EE6E0">
      <w:pPr>
        <w:spacing w:before="184" w:line="306" w:lineRule="auto"/>
        <w:ind w:left="3" w:firstLine="63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</w:t>
      </w:r>
      <w:r>
        <w:rPr>
          <w:rFonts w:ascii="宋体" w:hAnsi="宋体" w:eastAsia="宋体" w:cs="宋体"/>
          <w:spacing w:val="11"/>
          <w:sz w:val="31"/>
          <w:szCs w:val="31"/>
        </w:rPr>
        <w:t>）对于高架桥或路面高于周边地面的道路，其旁边的临街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建筑只有当高于高架桥路面或道路路面三层楼房以上（含三层）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时，才将该临街建筑面向高架桥或道路一侧至高架桥或道路边界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线的区域定为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类声环境功能区。</w:t>
      </w:r>
    </w:p>
    <w:p w14:paraId="7A1AFFF4">
      <w:pPr>
        <w:spacing w:before="179" w:line="298" w:lineRule="auto"/>
        <w:ind w:left="27" w:right="87" w:firstLine="61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3</w:t>
      </w:r>
      <w:r>
        <w:rPr>
          <w:rFonts w:ascii="宋体" w:hAnsi="宋体" w:eastAsia="宋体" w:cs="宋体"/>
          <w:spacing w:val="5"/>
          <w:sz w:val="31"/>
          <w:szCs w:val="31"/>
        </w:rPr>
        <w:t>）对于临街建筑之后且位于拟划定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类声环境功能区域范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围内的建筑，若其高于前排建筑并受交通噪声直达声影响，则高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出部分的楼层面向道路一侧执行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类声环境功能区的标准。</w:t>
      </w:r>
    </w:p>
    <w:p w14:paraId="00E31B21">
      <w:pPr>
        <w:spacing w:before="183" w:line="306" w:lineRule="auto"/>
        <w:ind w:left="5" w:right="87" w:firstLine="62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</w:t>
      </w:r>
      <w:r>
        <w:rPr>
          <w:rFonts w:ascii="宋体" w:hAnsi="宋体" w:eastAsia="宋体" w:cs="宋体"/>
          <w:spacing w:val="5"/>
          <w:sz w:val="31"/>
          <w:szCs w:val="31"/>
        </w:rPr>
        <w:t>）对于临街建筑之后且位于拟划定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类声环境功能区域范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围内因楼房错落设置原因使其部分楼体探出临街建筑遮挡，则对 </w:t>
      </w:r>
      <w:r>
        <w:rPr>
          <w:rFonts w:ascii="宋体" w:hAnsi="宋体" w:eastAsia="宋体" w:cs="宋体"/>
          <w:spacing w:val="8"/>
          <w:sz w:val="31"/>
          <w:szCs w:val="31"/>
        </w:rPr>
        <w:t>于探出部分的楼体应按临街建筑对待，按照</w:t>
      </w:r>
      <w:r>
        <w:rPr>
          <w:rFonts w:ascii="宋体" w:hAnsi="宋体" w:eastAsia="宋体" w:cs="宋体"/>
          <w:spacing w:val="-1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</w:t>
      </w:r>
      <w:r>
        <w:rPr>
          <w:rFonts w:ascii="宋体" w:hAnsi="宋体" w:eastAsia="宋体" w:cs="宋体"/>
          <w:spacing w:val="8"/>
          <w:sz w:val="31"/>
          <w:szCs w:val="31"/>
        </w:rPr>
        <w:t>）和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</w:t>
      </w:r>
      <w:r>
        <w:rPr>
          <w:rFonts w:ascii="宋体" w:hAnsi="宋体" w:eastAsia="宋体" w:cs="宋体"/>
          <w:spacing w:val="8"/>
          <w:sz w:val="31"/>
          <w:szCs w:val="31"/>
        </w:rPr>
        <w:t>）的方法确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定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类声环境功能区域。</w:t>
      </w:r>
    </w:p>
    <w:p w14:paraId="41DCD1FC">
      <w:pPr>
        <w:spacing w:before="216" w:line="418" w:lineRule="exact"/>
        <w:ind w:left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position w:val="1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2</w:t>
      </w:r>
      <w:r>
        <w:rPr>
          <w:rFonts w:ascii="宋体" w:hAnsi="宋体" w:eastAsia="宋体" w:cs="宋体"/>
          <w:spacing w:val="3"/>
          <w:position w:val="1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3"/>
          <w:position w:val="1"/>
          <w:sz w:val="31"/>
          <w:szCs w:val="31"/>
        </w:rPr>
        <w:t>类区</w:t>
      </w:r>
    </w:p>
    <w:p w14:paraId="119B07E6">
      <w:pPr>
        <w:spacing w:before="163" w:line="332" w:lineRule="auto"/>
        <w:ind w:left="6" w:right="87" w:firstLine="627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14"/>
          <w:sz w:val="31"/>
          <w:szCs w:val="31"/>
        </w:rPr>
        <w:t>类区为铁路（铁路专用线除外）边界线</w:t>
      </w:r>
      <w:r>
        <w:rPr>
          <w:rFonts w:ascii="宋体" w:hAnsi="宋体" w:eastAsia="宋体" w:cs="宋体"/>
          <w:spacing w:val="13"/>
          <w:sz w:val="31"/>
          <w:szCs w:val="31"/>
        </w:rPr>
        <w:t>两侧一定距离范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围内区域。结合开化县中心城区的实际情况，将铁路干线边界线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外一定距离以内的区域划分为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10"/>
          <w:sz w:val="31"/>
          <w:szCs w:val="31"/>
        </w:rPr>
        <w:t>类声环境功能区。距离的确定</w:t>
      </w:r>
    </w:p>
    <w:p w14:paraId="4B390523">
      <w:pPr>
        <w:spacing w:line="332" w:lineRule="auto"/>
        <w:rPr>
          <w:rFonts w:ascii="宋体" w:hAnsi="宋体" w:eastAsia="宋体" w:cs="宋体"/>
          <w:sz w:val="31"/>
          <w:szCs w:val="31"/>
        </w:rPr>
        <w:sectPr>
          <w:footerReference r:id="rId40" w:type="default"/>
          <w:pgSz w:w="11906" w:h="16839"/>
          <w:pgMar w:top="1431" w:right="1386" w:bottom="1151" w:left="1598" w:header="0" w:footer="989" w:gutter="0"/>
          <w:cols w:space="720" w:num="1"/>
        </w:sectPr>
      </w:pPr>
    </w:p>
    <w:p w14:paraId="6439512C">
      <w:pPr>
        <w:pStyle w:val="2"/>
        <w:spacing w:line="245" w:lineRule="auto"/>
      </w:pPr>
    </w:p>
    <w:p w14:paraId="02C6BCAA">
      <w:pPr>
        <w:pStyle w:val="2"/>
        <w:spacing w:line="246" w:lineRule="auto"/>
      </w:pPr>
    </w:p>
    <w:p w14:paraId="1CB84958">
      <w:pPr>
        <w:pStyle w:val="2"/>
        <w:spacing w:line="246" w:lineRule="auto"/>
      </w:pPr>
    </w:p>
    <w:p w14:paraId="2FCDAB66">
      <w:pPr>
        <w:spacing w:before="100" w:line="226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方法如下：</w:t>
      </w:r>
    </w:p>
    <w:p w14:paraId="387571E3">
      <w:pPr>
        <w:spacing w:before="178" w:line="322" w:lineRule="auto"/>
        <w:ind w:left="652" w:right="13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a</w:t>
      </w:r>
      <w:r>
        <w:rPr>
          <w:rFonts w:ascii="宋体" w:hAnsi="宋体" w:eastAsia="宋体" w:cs="宋体"/>
          <w:spacing w:val="3"/>
          <w:sz w:val="31"/>
          <w:szCs w:val="31"/>
        </w:rPr>
        <w:t>）相邻区域为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3"/>
          <w:sz w:val="31"/>
          <w:szCs w:val="31"/>
        </w:rPr>
        <w:t>类声环境功能区，距离为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50m</w:t>
      </w:r>
      <w:r>
        <w:rPr>
          <w:rFonts w:ascii="宋体" w:hAnsi="宋体" w:eastAsia="宋体" w:cs="宋体"/>
          <w:spacing w:val="3"/>
          <w:sz w:val="31"/>
          <w:szCs w:val="31"/>
        </w:rPr>
        <w:t>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b</w:t>
      </w:r>
      <w:r>
        <w:rPr>
          <w:rFonts w:ascii="宋体" w:hAnsi="宋体" w:eastAsia="宋体" w:cs="宋体"/>
          <w:spacing w:val="3"/>
          <w:sz w:val="31"/>
          <w:szCs w:val="31"/>
        </w:rPr>
        <w:t>）相邻区域为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3"/>
          <w:sz w:val="31"/>
          <w:szCs w:val="31"/>
        </w:rPr>
        <w:t>类声环境功能区，距离为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35m</w:t>
      </w:r>
      <w:r>
        <w:rPr>
          <w:rFonts w:ascii="宋体" w:hAnsi="宋体" w:eastAsia="宋体" w:cs="宋体"/>
          <w:spacing w:val="3"/>
          <w:sz w:val="31"/>
          <w:szCs w:val="31"/>
        </w:rPr>
        <w:t>；</w:t>
      </w:r>
    </w:p>
    <w:p w14:paraId="134D9F96">
      <w:pPr>
        <w:spacing w:before="41" w:line="225" w:lineRule="auto"/>
        <w:ind w:left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c</w:t>
      </w:r>
      <w:r>
        <w:rPr>
          <w:rFonts w:ascii="宋体" w:hAnsi="宋体" w:eastAsia="宋体" w:cs="宋体"/>
          <w:spacing w:val="6"/>
          <w:sz w:val="31"/>
          <w:szCs w:val="31"/>
        </w:rPr>
        <w:t>）相邻区域为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类声环境功能区，距离为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20m</w:t>
      </w:r>
      <w:r>
        <w:rPr>
          <w:rFonts w:ascii="宋体" w:hAnsi="宋体" w:eastAsia="宋体" w:cs="宋体"/>
          <w:spacing w:val="6"/>
          <w:sz w:val="31"/>
          <w:szCs w:val="31"/>
        </w:rPr>
        <w:t>。</w:t>
      </w:r>
    </w:p>
    <w:p w14:paraId="7E226FFE">
      <w:pPr>
        <w:spacing w:before="260" w:line="225" w:lineRule="auto"/>
        <w:ind w:left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</w:t>
      </w:r>
      <w:r>
        <w:rPr>
          <w:rFonts w:ascii="宋体" w:hAnsi="宋体" w:eastAsia="宋体" w:cs="宋体"/>
          <w:spacing w:val="7"/>
          <w:sz w:val="31"/>
          <w:szCs w:val="31"/>
        </w:rPr>
        <w:t>）划分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类声环境功能区的其他规定</w:t>
      </w:r>
    </w:p>
    <w:p w14:paraId="05CFF491">
      <w:pPr>
        <w:spacing w:before="201" w:line="225" w:lineRule="auto"/>
        <w:ind w:left="664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</w:t>
      </w:r>
      <w:r>
        <w:rPr>
          <w:rFonts w:ascii="宋体" w:hAnsi="宋体" w:eastAsia="宋体" w:cs="宋体"/>
          <w:spacing w:val="6"/>
          <w:sz w:val="31"/>
          <w:szCs w:val="31"/>
        </w:rPr>
        <w:t>）交通干线的边界线的确定方法：</w:t>
      </w:r>
    </w:p>
    <w:p w14:paraId="0F44103E">
      <w:pPr>
        <w:spacing w:before="135" w:line="329" w:lineRule="auto"/>
        <w:ind w:left="2" w:firstLine="642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《声环境功能区划分技术规范》（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/T15190-2014</w:t>
      </w:r>
      <w:r>
        <w:rPr>
          <w:rFonts w:ascii="宋体" w:hAnsi="宋体" w:eastAsia="宋体" w:cs="宋体"/>
          <w:spacing w:val="3"/>
          <w:sz w:val="31"/>
          <w:szCs w:val="31"/>
        </w:rPr>
        <w:t>）中</w:t>
      </w:r>
      <w:r>
        <w:rPr>
          <w:rFonts w:ascii="宋体" w:hAnsi="宋体" w:eastAsia="宋体" w:cs="宋体"/>
          <w:spacing w:val="2"/>
          <w:sz w:val="31"/>
          <w:szCs w:val="31"/>
        </w:rPr>
        <w:t>定义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1"/>
          <w:sz w:val="31"/>
          <w:szCs w:val="31"/>
        </w:rPr>
        <w:t>交通干线边界为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宋体" w:hAnsi="宋体" w:eastAsia="宋体" w:cs="宋体"/>
          <w:spacing w:val="11"/>
          <w:sz w:val="31"/>
          <w:szCs w:val="31"/>
        </w:rPr>
        <w:t>各级市政道路与人行道的交界线，无人行道的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  高架道路地面投影边界，各级公路的边界线，铁路交通用地边界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-1"/>
          <w:sz w:val="31"/>
          <w:szCs w:val="31"/>
        </w:rPr>
        <w:t>线，城市轨道交通用地边界线，内河航道的河堤护栏或堤外坡角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”</w:t>
      </w:r>
      <w:r>
        <w:rPr>
          <w:rFonts w:ascii="宋体" w:hAnsi="宋体" w:eastAsia="宋体" w:cs="宋体"/>
          <w:spacing w:val="-1"/>
          <w:sz w:val="31"/>
          <w:szCs w:val="31"/>
        </w:rPr>
        <w:t>。</w:t>
      </w:r>
    </w:p>
    <w:p w14:paraId="2F0C2F6F">
      <w:pPr>
        <w:spacing w:before="78" w:line="286" w:lineRule="auto"/>
        <w:ind w:left="3" w:right="269" w:firstLine="63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7"/>
          <w:sz w:val="31"/>
          <w:szCs w:val="31"/>
        </w:rPr>
        <w:t>①地面段公路和城市道路以最外侧非机动车道路或机非混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行道路外沿为边界。</w:t>
      </w:r>
    </w:p>
    <w:p w14:paraId="3722D3D1">
      <w:pPr>
        <w:spacing w:line="4325" w:lineRule="exact"/>
        <w:ind w:firstLine="247"/>
      </w:pPr>
      <w:r>
        <w:rPr>
          <w:position w:val="-86"/>
        </w:rPr>
        <w:drawing>
          <wp:inline distT="0" distB="0" distL="0" distR="0">
            <wp:extent cx="5274310" cy="27457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F6CD">
      <w:pPr>
        <w:spacing w:before="235" w:line="220" w:lineRule="auto"/>
        <w:ind w:left="24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5-1.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 xml:space="preserve">      </w:t>
      </w:r>
      <w:r>
        <w:rPr>
          <w:rFonts w:ascii="宋体" w:hAnsi="宋体" w:eastAsia="宋体" w:cs="宋体"/>
          <w:spacing w:val="-4"/>
          <w:sz w:val="28"/>
          <w:szCs w:val="28"/>
        </w:rPr>
        <w:t>道路交通干线的边界线</w:t>
      </w:r>
    </w:p>
    <w:p w14:paraId="25BEC61D">
      <w:pPr>
        <w:spacing w:before="195" w:line="223" w:lineRule="auto"/>
        <w:ind w:left="63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②高路基道路以最外侧的边沟或路基边缘为边</w:t>
      </w:r>
      <w:r>
        <w:rPr>
          <w:rFonts w:ascii="宋体" w:hAnsi="宋体" w:eastAsia="宋体" w:cs="宋体"/>
          <w:spacing w:val="8"/>
          <w:sz w:val="31"/>
          <w:szCs w:val="31"/>
        </w:rPr>
        <w:t>界。</w:t>
      </w:r>
    </w:p>
    <w:p w14:paraId="7FEEAE74">
      <w:pPr>
        <w:spacing w:line="223" w:lineRule="auto"/>
        <w:rPr>
          <w:rFonts w:ascii="宋体" w:hAnsi="宋体" w:eastAsia="宋体" w:cs="宋体"/>
          <w:sz w:val="31"/>
          <w:szCs w:val="31"/>
        </w:rPr>
        <w:sectPr>
          <w:footerReference r:id="rId41" w:type="default"/>
          <w:pgSz w:w="11906" w:h="16839"/>
          <w:pgMar w:top="1431" w:right="1203" w:bottom="1151" w:left="1600" w:header="0" w:footer="989" w:gutter="0"/>
          <w:cols w:space="720" w:num="1"/>
        </w:sectPr>
      </w:pPr>
    </w:p>
    <w:p w14:paraId="701BBE10">
      <w:pPr>
        <w:pStyle w:val="2"/>
        <w:spacing w:line="351" w:lineRule="auto"/>
      </w:pPr>
    </w:p>
    <w:p w14:paraId="7DA537CD">
      <w:pPr>
        <w:pStyle w:val="2"/>
        <w:spacing w:line="351" w:lineRule="auto"/>
      </w:pPr>
    </w:p>
    <w:p w14:paraId="79F28BF8">
      <w:pPr>
        <w:spacing w:line="3024" w:lineRule="exact"/>
        <w:ind w:firstLine="249"/>
      </w:pPr>
      <w:r>
        <w:rPr>
          <w:position w:val="-60"/>
        </w:rPr>
        <w:drawing>
          <wp:inline distT="0" distB="0" distL="0" distR="0">
            <wp:extent cx="5274310" cy="192024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E84D">
      <w:pPr>
        <w:spacing w:before="263" w:line="221" w:lineRule="auto"/>
        <w:ind w:left="25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图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5-2.       </w:t>
      </w:r>
      <w:r>
        <w:rPr>
          <w:rFonts w:ascii="宋体" w:hAnsi="宋体" w:eastAsia="宋体" w:cs="宋体"/>
          <w:spacing w:val="-4"/>
          <w:sz w:val="28"/>
          <w:szCs w:val="28"/>
        </w:rPr>
        <w:t>高路基道路的边界线</w:t>
      </w:r>
    </w:p>
    <w:p w14:paraId="508C9BBE">
      <w:pPr>
        <w:spacing w:before="191" w:line="313" w:lineRule="auto"/>
        <w:ind w:right="97" w:firstLine="638"/>
        <w:jc w:val="both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③没有辅路的高架公路和城市道路、城市轨道交通高架线以</w:t>
      </w:r>
      <w:r>
        <w:rPr>
          <w:rFonts w:ascii="宋体" w:hAnsi="宋体" w:eastAsia="宋体" w:cs="宋体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高架段地面垂直投影的最外侧为边界；城市轨道交通路基段，以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城市轨道交通的用地边界为边界，一般为路</w:t>
      </w:r>
      <w:r>
        <w:rPr>
          <w:rFonts w:ascii="宋体" w:hAnsi="宋体" w:eastAsia="宋体" w:cs="宋体"/>
          <w:spacing w:val="6"/>
          <w:sz w:val="31"/>
          <w:szCs w:val="31"/>
        </w:rPr>
        <w:t>基段的安全护网处；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城市轨道交通高架段以地面垂直投影的最外侧为边界</w:t>
      </w:r>
      <w:r>
        <w:rPr>
          <w:rFonts w:ascii="MS PGothic" w:hAnsi="MS PGothic" w:eastAsia="MS PGothic" w:cs="MS PGothic"/>
          <w:spacing w:val="9"/>
          <w:sz w:val="31"/>
          <w:szCs w:val="31"/>
        </w:rPr>
        <w:t>｡</w:t>
      </w:r>
    </w:p>
    <w:p w14:paraId="47CCA654">
      <w:pPr>
        <w:spacing w:line="3360" w:lineRule="exact"/>
        <w:ind w:firstLine="810"/>
      </w:pPr>
      <w:r>
        <w:rPr>
          <w:position w:val="-67"/>
        </w:rPr>
        <w:drawing>
          <wp:inline distT="0" distB="0" distL="0" distR="0">
            <wp:extent cx="4572000" cy="21336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0189">
      <w:pPr>
        <w:spacing w:before="241" w:line="221" w:lineRule="auto"/>
        <w:ind w:left="6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7"/>
          <w:w w:val="97"/>
          <w:sz w:val="28"/>
          <w:szCs w:val="28"/>
        </w:rPr>
        <w:t>图</w:t>
      </w:r>
      <w:r>
        <w:rPr>
          <w:rFonts w:ascii="Times New Roman" w:hAnsi="Times New Roman" w:eastAsia="Times New Roman" w:cs="Times New Roman"/>
          <w:spacing w:val="-27"/>
          <w:w w:val="97"/>
          <w:sz w:val="28"/>
          <w:szCs w:val="28"/>
        </w:rPr>
        <w:t>5-3.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7"/>
          <w:w w:val="97"/>
          <w:sz w:val="28"/>
          <w:szCs w:val="28"/>
        </w:rPr>
        <w:t>没有辅路的高架公路和城市道路、城市轨道交通高架线的边界线</w:t>
      </w:r>
    </w:p>
    <w:p w14:paraId="379D977F">
      <w:pPr>
        <w:spacing w:before="192" w:line="324" w:lineRule="auto"/>
        <w:ind w:left="1" w:firstLine="63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④公路以公路路堤两侧排水沟外边缘（无排水沟时为路堤或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护坡道坡脚）以外，或路堑坡顶截水沟外边缘（无截水沟为坡顶）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以外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1m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处为边界；</w:t>
      </w:r>
    </w:p>
    <w:p w14:paraId="09BE5705">
      <w:pPr>
        <w:spacing w:line="324" w:lineRule="auto"/>
        <w:rPr>
          <w:rFonts w:ascii="宋体" w:hAnsi="宋体" w:eastAsia="宋体" w:cs="宋体"/>
          <w:sz w:val="31"/>
          <w:szCs w:val="31"/>
        </w:rPr>
        <w:sectPr>
          <w:footerReference r:id="rId42" w:type="default"/>
          <w:pgSz w:w="11906" w:h="16839"/>
          <w:pgMar w:top="1431" w:right="1340" w:bottom="1151" w:left="1598" w:header="0" w:footer="989" w:gutter="0"/>
          <w:cols w:space="720" w:num="1"/>
        </w:sectPr>
      </w:pPr>
    </w:p>
    <w:p w14:paraId="3E56B567">
      <w:pPr>
        <w:pStyle w:val="2"/>
        <w:spacing w:line="267" w:lineRule="auto"/>
      </w:pPr>
    </w:p>
    <w:p w14:paraId="4E91DAA6">
      <w:pPr>
        <w:pStyle w:val="2"/>
        <w:spacing w:line="268" w:lineRule="auto"/>
      </w:pPr>
    </w:p>
    <w:p w14:paraId="7D108597">
      <w:pPr>
        <w:pStyle w:val="2"/>
        <w:spacing w:line="268" w:lineRule="auto"/>
      </w:pPr>
    </w:p>
    <w:p w14:paraId="0BDA32F6">
      <w:pPr>
        <w:spacing w:line="4387" w:lineRule="exact"/>
        <w:ind w:firstLine="1938"/>
      </w:pPr>
      <w:r>
        <w:rPr>
          <w:position w:val="-87"/>
        </w:rPr>
        <w:drawing>
          <wp:inline distT="0" distB="0" distL="0" distR="0">
            <wp:extent cx="3124200" cy="27857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0A2B">
      <w:pPr>
        <w:pStyle w:val="2"/>
        <w:spacing w:line="266" w:lineRule="auto"/>
      </w:pPr>
    </w:p>
    <w:p w14:paraId="46C57822">
      <w:pPr>
        <w:spacing w:before="91" w:line="221" w:lineRule="auto"/>
        <w:ind w:left="29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5-4.       </w:t>
      </w:r>
      <w:r>
        <w:rPr>
          <w:rFonts w:ascii="宋体" w:hAnsi="宋体" w:eastAsia="宋体" w:cs="宋体"/>
          <w:spacing w:val="-5"/>
          <w:sz w:val="28"/>
          <w:szCs w:val="28"/>
        </w:rPr>
        <w:t>公路的边界线</w:t>
      </w:r>
    </w:p>
    <w:p w14:paraId="6868E118">
      <w:pPr>
        <w:spacing w:before="192" w:line="223" w:lineRule="auto"/>
        <w:ind w:left="6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⑤内河航道的边界线为河堤护栏或堤外坡角。</w:t>
      </w:r>
    </w:p>
    <w:p w14:paraId="481E4BF1">
      <w:pPr>
        <w:spacing w:before="87" w:line="3279" w:lineRule="exact"/>
        <w:ind w:firstLine="597"/>
      </w:pPr>
      <w:r>
        <w:rPr>
          <w:position w:val="-65"/>
        </w:rPr>
        <w:drawing>
          <wp:inline distT="0" distB="0" distL="0" distR="0">
            <wp:extent cx="4827905" cy="208153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FA4C">
      <w:pPr>
        <w:spacing w:before="282" w:line="221" w:lineRule="auto"/>
        <w:ind w:left="269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图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5-5.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 xml:space="preserve">       </w:t>
      </w:r>
      <w:r>
        <w:rPr>
          <w:rFonts w:ascii="宋体" w:hAnsi="宋体" w:eastAsia="宋体" w:cs="宋体"/>
          <w:spacing w:val="-8"/>
          <w:sz w:val="28"/>
          <w:szCs w:val="28"/>
        </w:rPr>
        <w:t>内河航道的边界线</w:t>
      </w:r>
    </w:p>
    <w:p w14:paraId="3A16F7C7">
      <w:pPr>
        <w:spacing w:before="194" w:line="223" w:lineRule="auto"/>
        <w:ind w:left="6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⑥铁路交通干线边界线为铁路交通用地边界</w:t>
      </w:r>
      <w:r>
        <w:rPr>
          <w:rFonts w:ascii="宋体" w:hAnsi="宋体" w:eastAsia="宋体" w:cs="宋体"/>
          <w:spacing w:val="8"/>
          <w:sz w:val="31"/>
          <w:szCs w:val="31"/>
        </w:rPr>
        <w:t>线。</w:t>
      </w:r>
    </w:p>
    <w:p w14:paraId="3ECA88F2">
      <w:pPr>
        <w:spacing w:before="185" w:line="324" w:lineRule="auto"/>
        <w:ind w:firstLine="63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铁路以国家规定的各类铁路边界为边界，铁路交通用地边界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的确定可采用铁路用地边界处的界标（桩）确定。界标埋设在铁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路两侧用地的边界线上。</w:t>
      </w:r>
    </w:p>
    <w:p w14:paraId="6158577B">
      <w:pPr>
        <w:spacing w:line="418" w:lineRule="exact"/>
        <w:ind w:right="2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position w:val="1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position w:val="1"/>
          <w:sz w:val="31"/>
          <w:szCs w:val="31"/>
        </w:rPr>
        <w:t>）对于</w:t>
      </w:r>
      <w:r>
        <w:rPr>
          <w:rFonts w:ascii="宋体" w:hAnsi="宋体" w:eastAsia="宋体" w:cs="宋体"/>
          <w:spacing w:val="-66"/>
          <w:position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position w:val="1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10"/>
          <w:position w:val="1"/>
          <w:sz w:val="31"/>
          <w:szCs w:val="31"/>
        </w:rPr>
        <w:t>类声环境功能区与</w:t>
      </w:r>
      <w:r>
        <w:rPr>
          <w:rFonts w:ascii="宋体" w:hAnsi="宋体" w:eastAsia="宋体" w:cs="宋体"/>
          <w:spacing w:val="-66"/>
          <w:position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position w:val="1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10"/>
          <w:position w:val="1"/>
          <w:sz w:val="31"/>
          <w:szCs w:val="31"/>
        </w:rPr>
        <w:t>类声环境功</w:t>
      </w:r>
      <w:r>
        <w:rPr>
          <w:rFonts w:ascii="宋体" w:hAnsi="宋体" w:eastAsia="宋体" w:cs="宋体"/>
          <w:spacing w:val="9"/>
          <w:position w:val="1"/>
          <w:sz w:val="31"/>
          <w:szCs w:val="31"/>
        </w:rPr>
        <w:t>能区有重叠的</w:t>
      </w:r>
    </w:p>
    <w:p w14:paraId="13058B12">
      <w:pPr>
        <w:spacing w:line="418" w:lineRule="exact"/>
        <w:rPr>
          <w:rFonts w:ascii="宋体" w:hAnsi="宋体" w:eastAsia="宋体" w:cs="宋体"/>
          <w:sz w:val="31"/>
          <w:szCs w:val="31"/>
        </w:rPr>
        <w:sectPr>
          <w:footerReference r:id="rId43" w:type="default"/>
          <w:pgSz w:w="11906" w:h="16839"/>
          <w:pgMar w:top="1431" w:right="1473" w:bottom="1151" w:left="1601" w:header="0" w:footer="989" w:gutter="0"/>
          <w:cols w:space="720" w:num="1"/>
        </w:sectPr>
      </w:pPr>
    </w:p>
    <w:p w14:paraId="4FCB05A7">
      <w:pPr>
        <w:pStyle w:val="2"/>
        <w:spacing w:line="345" w:lineRule="auto"/>
      </w:pPr>
    </w:p>
    <w:p w14:paraId="3A3595AD">
      <w:pPr>
        <w:pStyle w:val="2"/>
        <w:spacing w:line="345" w:lineRule="auto"/>
      </w:pPr>
    </w:p>
    <w:p w14:paraId="12E56659">
      <w:pPr>
        <w:spacing w:before="101" w:line="418" w:lineRule="exact"/>
        <w:ind w:left="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position w:val="1"/>
          <w:sz w:val="31"/>
          <w:szCs w:val="31"/>
        </w:rPr>
        <w:t>部分，划分为</w:t>
      </w:r>
      <w:r>
        <w:rPr>
          <w:rFonts w:ascii="宋体" w:hAnsi="宋体" w:eastAsia="宋体" w:cs="宋体"/>
          <w:spacing w:val="-53"/>
          <w:position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1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6"/>
          <w:position w:val="1"/>
          <w:sz w:val="31"/>
          <w:szCs w:val="31"/>
        </w:rPr>
        <w:t>类声环境功能区。</w:t>
      </w:r>
    </w:p>
    <w:p w14:paraId="551C76B1">
      <w:pPr>
        <w:spacing w:before="188" w:line="279" w:lineRule="auto"/>
        <w:ind w:left="26" w:firstLine="61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）划分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10"/>
          <w:sz w:val="31"/>
          <w:szCs w:val="31"/>
        </w:rPr>
        <w:t>类声环境功能区时，不同的道路、同一道路不同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的路段、同路段的两侧及道路的同侧其距离可以不统一。</w:t>
      </w:r>
    </w:p>
    <w:p w14:paraId="3E8B7CAA">
      <w:pPr>
        <w:spacing w:before="186" w:line="323" w:lineRule="auto"/>
        <w:ind w:left="5" w:right="2" w:firstLine="628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4</w:t>
      </w:r>
      <w:r>
        <w:rPr>
          <w:rFonts w:ascii="宋体" w:hAnsi="宋体" w:eastAsia="宋体" w:cs="宋体"/>
          <w:spacing w:val="11"/>
          <w:sz w:val="31"/>
          <w:szCs w:val="31"/>
        </w:rPr>
        <w:t>）未列入本划分方案的交通干线〔次干路及以上道路、二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 级公路及以上公路、城市轨道交通（地面段）、内河航道、铁路 （铁路专用线除外）〕边界线外一定距离内的区域</w:t>
      </w:r>
      <w:r>
        <w:rPr>
          <w:rFonts w:ascii="宋体" w:hAnsi="宋体" w:eastAsia="宋体" w:cs="宋体"/>
          <w:spacing w:val="4"/>
          <w:sz w:val="31"/>
          <w:szCs w:val="31"/>
        </w:rPr>
        <w:t>为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4"/>
          <w:sz w:val="31"/>
          <w:szCs w:val="31"/>
        </w:rPr>
        <w:t>类声环境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功能区，距离划分要求参照开化县中心城区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4"/>
          <w:sz w:val="31"/>
          <w:szCs w:val="31"/>
        </w:rPr>
        <w:t>类和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4"/>
          <w:sz w:val="31"/>
          <w:szCs w:val="31"/>
        </w:rPr>
        <w:t>类距离确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定的方法。</w:t>
      </w:r>
    </w:p>
    <w:p w14:paraId="58497835">
      <w:pPr>
        <w:spacing w:before="164" w:line="225" w:lineRule="auto"/>
        <w:ind w:left="643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5.2.4  </w:t>
      </w:r>
      <w:r>
        <w:rPr>
          <w:rFonts w:ascii="宋体" w:hAnsi="宋体" w:eastAsia="宋体" w:cs="宋体"/>
          <w:spacing w:val="6"/>
          <w:sz w:val="31"/>
          <w:szCs w:val="31"/>
        </w:rPr>
        <w:t>乡村声环境功能的确定</w:t>
      </w:r>
    </w:p>
    <w:p w14:paraId="5F88BE16">
      <w:pPr>
        <w:spacing w:before="203" w:line="324" w:lineRule="auto"/>
        <w:ind w:firstLine="654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乡村区域（用地性质暂不明确的区域、与规划目标相差较大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且目前尚为乡村区域的地区）根据声环境管理的需要，按照以下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要求确定适用的声环境质量要求。</w:t>
      </w:r>
    </w:p>
    <w:p w14:paraId="26D4444F">
      <w:pPr>
        <w:spacing w:before="45" w:line="225" w:lineRule="auto"/>
        <w:ind w:left="66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</w:t>
      </w:r>
      <w:r>
        <w:rPr>
          <w:rFonts w:ascii="宋体" w:hAnsi="宋体" w:eastAsia="宋体" w:cs="宋体"/>
          <w:spacing w:val="7"/>
          <w:sz w:val="31"/>
          <w:szCs w:val="31"/>
        </w:rPr>
        <w:t>）位于乡村的康复疗养区执行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0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类声环境功能区要求；</w:t>
      </w:r>
    </w:p>
    <w:p w14:paraId="1F83B5CD">
      <w:pPr>
        <w:spacing w:before="185" w:line="297" w:lineRule="auto"/>
        <w:ind w:left="26" w:firstLine="60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</w:t>
      </w:r>
      <w:r>
        <w:rPr>
          <w:rFonts w:ascii="宋体" w:hAnsi="宋体" w:eastAsia="宋体" w:cs="宋体"/>
          <w:spacing w:val="9"/>
          <w:sz w:val="31"/>
          <w:szCs w:val="31"/>
        </w:rPr>
        <w:t>）村庄原则上执行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9"/>
          <w:sz w:val="31"/>
          <w:szCs w:val="31"/>
        </w:rPr>
        <w:t>类声环境功能区要求，工业活动较多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的村庄以及有交通干线经过的村庄（执行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4"/>
          <w:sz w:val="31"/>
          <w:szCs w:val="31"/>
        </w:rPr>
        <w:t>类声环境功能区要求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以外的地区）可局部或全部执行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类声环境功能区要求；</w:t>
      </w:r>
    </w:p>
    <w:p w14:paraId="6BC26872">
      <w:pPr>
        <w:spacing w:before="183" w:line="225" w:lineRule="auto"/>
        <w:ind w:left="64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</w:t>
      </w:r>
      <w:r>
        <w:rPr>
          <w:rFonts w:ascii="宋体" w:hAnsi="宋体" w:eastAsia="宋体" w:cs="宋体"/>
          <w:spacing w:val="7"/>
          <w:sz w:val="31"/>
          <w:szCs w:val="31"/>
        </w:rPr>
        <w:t>）集镇执行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类声环境功能区要求；</w:t>
      </w:r>
    </w:p>
    <w:p w14:paraId="5922D836">
      <w:pPr>
        <w:spacing w:before="180" w:line="280" w:lineRule="auto"/>
        <w:ind w:right="2" w:firstLine="63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</w:t>
      </w:r>
      <w:r>
        <w:rPr>
          <w:rFonts w:ascii="宋体" w:hAnsi="宋体" w:eastAsia="宋体" w:cs="宋体"/>
          <w:spacing w:val="10"/>
          <w:sz w:val="31"/>
          <w:szCs w:val="31"/>
        </w:rPr>
        <w:t>）独立于村庄、集镇之外的工业、仓储集中区执行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10"/>
          <w:sz w:val="31"/>
          <w:szCs w:val="31"/>
        </w:rPr>
        <w:t>类声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环境功能区要求；</w:t>
      </w:r>
    </w:p>
    <w:p w14:paraId="283B240B">
      <w:pPr>
        <w:spacing w:before="182" w:line="279" w:lineRule="auto"/>
        <w:ind w:right="1" w:firstLine="64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5</w:t>
      </w:r>
      <w:r>
        <w:rPr>
          <w:rFonts w:ascii="宋体" w:hAnsi="宋体" w:eastAsia="宋体" w:cs="宋体"/>
          <w:spacing w:val="13"/>
          <w:sz w:val="31"/>
          <w:szCs w:val="31"/>
        </w:rPr>
        <w:t>）位于交通干线两侧一定距离内的噪声敏感建筑物执行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类声环境功能区要求。</w:t>
      </w:r>
    </w:p>
    <w:p w14:paraId="19F3C7C8">
      <w:pPr>
        <w:spacing w:line="279" w:lineRule="auto"/>
        <w:rPr>
          <w:rFonts w:ascii="宋体" w:hAnsi="宋体" w:eastAsia="宋体" w:cs="宋体"/>
          <w:sz w:val="31"/>
          <w:szCs w:val="31"/>
        </w:rPr>
        <w:sectPr>
          <w:footerReference r:id="rId44" w:type="default"/>
          <w:pgSz w:w="11906" w:h="16839"/>
          <w:pgMar w:top="1431" w:right="1473" w:bottom="1151" w:left="1598" w:header="0" w:footer="989" w:gutter="0"/>
          <w:cols w:space="720" w:num="1"/>
        </w:sectPr>
      </w:pPr>
    </w:p>
    <w:p w14:paraId="058C2EDA">
      <w:pPr>
        <w:pStyle w:val="2"/>
        <w:spacing w:line="271" w:lineRule="auto"/>
      </w:pPr>
    </w:p>
    <w:p w14:paraId="0B17E872">
      <w:pPr>
        <w:pStyle w:val="2"/>
        <w:spacing w:line="272" w:lineRule="auto"/>
      </w:pPr>
    </w:p>
    <w:p w14:paraId="0352BEB6">
      <w:pPr>
        <w:pStyle w:val="2"/>
        <w:spacing w:line="272" w:lineRule="auto"/>
      </w:pPr>
    </w:p>
    <w:p w14:paraId="35D0B089">
      <w:pPr>
        <w:spacing w:before="101" w:line="226" w:lineRule="auto"/>
        <w:ind w:left="65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5.2.5  </w:t>
      </w:r>
      <w:r>
        <w:rPr>
          <w:rFonts w:ascii="宋体" w:hAnsi="宋体" w:eastAsia="宋体" w:cs="宋体"/>
          <w:spacing w:val="4"/>
          <w:sz w:val="31"/>
          <w:szCs w:val="31"/>
        </w:rPr>
        <w:t>其他规定</w:t>
      </w:r>
    </w:p>
    <w:p w14:paraId="7D340FD5">
      <w:pPr>
        <w:spacing w:before="201" w:line="279" w:lineRule="auto"/>
        <w:ind w:left="9" w:right="2" w:firstLine="651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（一）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类声环境功能区中居住区（学校、医院）等敏感建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筑物区域执行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类声环境功能区标准</w:t>
      </w:r>
      <w:r>
        <w:rPr>
          <w:rFonts w:ascii="MS PGothic" w:hAnsi="MS PGothic" w:eastAsia="MS PGothic" w:cs="MS PGothic"/>
          <w:spacing w:val="7"/>
          <w:sz w:val="31"/>
          <w:szCs w:val="31"/>
        </w:rPr>
        <w:t>｡</w:t>
      </w:r>
    </w:p>
    <w:p w14:paraId="56365224">
      <w:pPr>
        <w:spacing w:before="182" w:line="297" w:lineRule="auto"/>
        <w:ind w:left="6" w:right="2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（二）划分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4"/>
          <w:sz w:val="31"/>
          <w:szCs w:val="31"/>
        </w:rPr>
        <w:t>类声环境功能区的交通干线未规划建设前</w:t>
      </w:r>
      <w:r>
        <w:rPr>
          <w:rFonts w:ascii="宋体" w:hAnsi="宋体" w:eastAsia="宋体" w:cs="宋体"/>
          <w:spacing w:val="3"/>
          <w:sz w:val="31"/>
          <w:szCs w:val="31"/>
        </w:rPr>
        <w:t>均应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按照当前功能区划从严管理，规划实施后根据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划分要求，将交通干线边界线外两侧一定距离范围内的区域执行</w:t>
      </w:r>
    </w:p>
    <w:p w14:paraId="7B85818E">
      <w:pPr>
        <w:spacing w:before="182" w:line="225" w:lineRule="auto"/>
        <w:rPr>
          <w:rFonts w:ascii="MS PGothic" w:hAnsi="MS PGothic" w:eastAsia="MS PGothic" w:cs="MS PGothic"/>
          <w:sz w:val="31"/>
          <w:szCs w:val="31"/>
        </w:rPr>
      </w:pP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8"/>
          <w:sz w:val="31"/>
          <w:szCs w:val="31"/>
        </w:rPr>
        <w:t>类声环境功能区标准要求</w:t>
      </w:r>
      <w:r>
        <w:rPr>
          <w:rFonts w:ascii="MS PGothic" w:hAnsi="MS PGothic" w:eastAsia="MS PGothic" w:cs="MS PGothic"/>
          <w:spacing w:val="8"/>
          <w:sz w:val="31"/>
          <w:szCs w:val="31"/>
        </w:rPr>
        <w:t>｡</w:t>
      </w:r>
    </w:p>
    <w:p w14:paraId="50CFED79">
      <w:pPr>
        <w:spacing w:before="184" w:line="279" w:lineRule="auto"/>
        <w:ind w:left="8" w:right="2" w:firstLine="652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（三）声环境功能区标准提高区域内的固定声源，在本划分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方案实施一年起执行新控制标准</w:t>
      </w:r>
      <w:r>
        <w:rPr>
          <w:rFonts w:ascii="MS PGothic" w:hAnsi="MS PGothic" w:eastAsia="MS PGothic" w:cs="MS PGothic"/>
          <w:spacing w:val="8"/>
          <w:sz w:val="31"/>
          <w:szCs w:val="31"/>
        </w:rPr>
        <w:t>｡</w:t>
      </w:r>
    </w:p>
    <w:p w14:paraId="76967878">
      <w:pPr>
        <w:spacing w:before="180" w:line="298" w:lineRule="auto"/>
        <w:ind w:left="8" w:right="2" w:firstLine="652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（四）规划区域内未明确功能区的区域按照乡村区域声环境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功能区管理，待规划用地性质实现后按照规划用地性质参照声环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境功能区划的划分方法确定相应功能区</w:t>
      </w:r>
      <w:r>
        <w:rPr>
          <w:rFonts w:ascii="MS PGothic" w:hAnsi="MS PGothic" w:eastAsia="MS PGothic" w:cs="MS PGothic"/>
          <w:spacing w:val="8"/>
          <w:sz w:val="31"/>
          <w:szCs w:val="31"/>
        </w:rPr>
        <w:t>｡</w:t>
      </w:r>
    </w:p>
    <w:p w14:paraId="0A592FA7">
      <w:pPr>
        <w:spacing w:before="113" w:line="313" w:lineRule="auto"/>
        <w:ind w:left="12" w:right="2" w:firstLine="42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（五）各功能区的环境噪声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Leq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值有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5~20</w:t>
      </w:r>
      <w:r>
        <w:rPr>
          <w:rFonts w:ascii="Times New Roman" w:hAnsi="Times New Roman" w:eastAsia="Times New Roman" w:cs="Times New Roman"/>
          <w:sz w:val="31"/>
          <w:szCs w:val="31"/>
        </w:rPr>
        <w:t>dB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之差，为处理这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一功能区的毗邻问题，规定：</w:t>
      </w:r>
    </w:p>
    <w:p w14:paraId="4B86EFB1">
      <w:pPr>
        <w:spacing w:before="243" w:line="358" w:lineRule="auto"/>
        <w:ind w:left="18" w:firstLine="43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1.</w:t>
      </w:r>
      <w:r>
        <w:rPr>
          <w:rFonts w:ascii="宋体" w:hAnsi="宋体" w:eastAsia="宋体" w:cs="宋体"/>
          <w:spacing w:val="3"/>
          <w:sz w:val="31"/>
          <w:szCs w:val="31"/>
        </w:rPr>
        <w:t>边界附近的开发、改建项目要确保高标准功能区一侧的敏感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点达标；</w:t>
      </w:r>
    </w:p>
    <w:p w14:paraId="652120F9">
      <w:pPr>
        <w:spacing w:before="48" w:line="362" w:lineRule="auto"/>
        <w:ind w:left="6" w:firstLine="41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2.</w:t>
      </w:r>
      <w:r>
        <w:rPr>
          <w:rFonts w:ascii="宋体" w:hAnsi="宋体" w:eastAsia="宋体" w:cs="宋体"/>
          <w:spacing w:val="4"/>
          <w:sz w:val="31"/>
          <w:szCs w:val="31"/>
        </w:rPr>
        <w:t>加强低标准边界侧的噪声治理，尽量不因低标准功能区噪声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源的存在而影响高标准功能区的标准实施。规划部门在审批过程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中也应留足噪声防护距离。</w:t>
      </w:r>
    </w:p>
    <w:p w14:paraId="517D41A0">
      <w:pPr>
        <w:spacing w:before="66" w:line="320" w:lineRule="auto"/>
        <w:ind w:left="6" w:right="2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（六）若新的《开化县国土空间总体规划》批准实施后，存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在规划重大变更的区域，应再依据新的规划对本次声环境功能区</w:t>
      </w:r>
    </w:p>
    <w:p w14:paraId="49E3004F">
      <w:pPr>
        <w:spacing w:line="320" w:lineRule="auto"/>
        <w:rPr>
          <w:rFonts w:ascii="宋体" w:hAnsi="宋体" w:eastAsia="宋体" w:cs="宋体"/>
          <w:sz w:val="31"/>
          <w:szCs w:val="31"/>
        </w:rPr>
        <w:sectPr>
          <w:footerReference r:id="rId45" w:type="default"/>
          <w:pgSz w:w="11906" w:h="16839"/>
          <w:pgMar w:top="1431" w:right="1473" w:bottom="1151" w:left="1591" w:header="0" w:footer="989" w:gutter="0"/>
          <w:cols w:space="720" w:num="1"/>
        </w:sectPr>
      </w:pPr>
    </w:p>
    <w:p w14:paraId="6B6D730E">
      <w:pPr>
        <w:pStyle w:val="2"/>
        <w:spacing w:line="245" w:lineRule="auto"/>
      </w:pPr>
    </w:p>
    <w:p w14:paraId="3D281A12">
      <w:pPr>
        <w:pStyle w:val="2"/>
        <w:spacing w:line="246" w:lineRule="auto"/>
      </w:pPr>
    </w:p>
    <w:p w14:paraId="63686BBD">
      <w:pPr>
        <w:pStyle w:val="2"/>
        <w:spacing w:line="246" w:lineRule="auto"/>
      </w:pPr>
    </w:p>
    <w:p w14:paraId="59535BE2">
      <w:pPr>
        <w:spacing w:before="100" w:line="226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进行适当的调整。</w:t>
      </w:r>
    </w:p>
    <w:p w14:paraId="12F85100">
      <w:pPr>
        <w:spacing w:before="178" w:line="319" w:lineRule="auto"/>
        <w:ind w:left="5" w:firstLine="651"/>
        <w:rPr>
          <w:rFonts w:ascii="MS PGothic" w:hAnsi="MS PGothic" w:eastAsia="MS PGothic" w:cs="MS PGothic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（七）本方案未尽事宜，参照有关法律、法规和规章的相关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条款执行</w:t>
      </w:r>
      <w:r>
        <w:rPr>
          <w:rFonts w:ascii="MS PGothic" w:hAnsi="MS PGothic" w:eastAsia="MS PGothic" w:cs="MS PGothic"/>
          <w:spacing w:val="6"/>
          <w:sz w:val="31"/>
          <w:szCs w:val="31"/>
        </w:rPr>
        <w:t>｡</w:t>
      </w:r>
    </w:p>
    <w:p w14:paraId="1E587437">
      <w:pPr>
        <w:spacing w:line="319" w:lineRule="auto"/>
        <w:rPr>
          <w:rFonts w:ascii="MS PGothic" w:hAnsi="MS PGothic" w:eastAsia="MS PGothic" w:cs="MS PGothic"/>
          <w:sz w:val="31"/>
          <w:szCs w:val="31"/>
        </w:rPr>
        <w:sectPr>
          <w:footerReference r:id="rId46" w:type="default"/>
          <w:pgSz w:w="11906" w:h="16839"/>
          <w:pgMar w:top="1431" w:right="1475" w:bottom="1151" w:left="1596" w:header="0" w:footer="989" w:gutter="0"/>
          <w:cols w:space="720" w:num="1"/>
        </w:sectPr>
      </w:pPr>
    </w:p>
    <w:p w14:paraId="5FAFD4FD">
      <w:pPr>
        <w:pStyle w:val="2"/>
        <w:spacing w:line="271" w:lineRule="auto"/>
      </w:pPr>
    </w:p>
    <w:p w14:paraId="7D572B47">
      <w:pPr>
        <w:pStyle w:val="2"/>
        <w:spacing w:line="271" w:lineRule="auto"/>
      </w:pPr>
    </w:p>
    <w:p w14:paraId="74032E6F">
      <w:pPr>
        <w:pStyle w:val="2"/>
        <w:spacing w:line="271" w:lineRule="auto"/>
      </w:pPr>
    </w:p>
    <w:p w14:paraId="3E129BE8">
      <w:pPr>
        <w:pStyle w:val="2"/>
        <w:spacing w:line="272" w:lineRule="auto"/>
      </w:pPr>
    </w:p>
    <w:p w14:paraId="33312BF4">
      <w:pPr>
        <w:pStyle w:val="2"/>
        <w:spacing w:line="272" w:lineRule="auto"/>
      </w:pPr>
    </w:p>
    <w:p w14:paraId="13F61FFC">
      <w:pPr>
        <w:spacing w:before="101" w:line="226" w:lineRule="auto"/>
        <w:ind w:left="707"/>
        <w:outlineLvl w:val="0"/>
        <w:rPr>
          <w:rFonts w:ascii="宋体" w:hAnsi="宋体" w:eastAsia="宋体" w:cs="宋体"/>
          <w:sz w:val="31"/>
          <w:szCs w:val="31"/>
        </w:rPr>
      </w:pPr>
      <w:bookmarkStart w:id="92" w:name="bookmark48"/>
      <w:bookmarkEnd w:id="92"/>
      <w:bookmarkStart w:id="93" w:name="bookmark50"/>
      <w:bookmarkEnd w:id="93"/>
      <w:bookmarkStart w:id="94" w:name="bookmark47"/>
      <w:bookmarkEnd w:id="94"/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 xml:space="preserve">6 </w:t>
      </w:r>
      <w:r>
        <w:rPr>
          <w:rFonts w:ascii="宋体" w:hAnsi="宋体" w:eastAsia="宋体" w:cs="宋体"/>
          <w:b/>
          <w:bCs/>
          <w:spacing w:val="6"/>
          <w:sz w:val="31"/>
          <w:szCs w:val="31"/>
        </w:rPr>
        <w:t>开化县声环境功能区划调整方案</w:t>
      </w:r>
    </w:p>
    <w:p w14:paraId="19A14071">
      <w:pPr>
        <w:spacing w:before="276" w:line="225" w:lineRule="auto"/>
        <w:ind w:left="707"/>
        <w:outlineLvl w:val="1"/>
        <w:rPr>
          <w:rFonts w:ascii="宋体" w:hAnsi="宋体" w:eastAsia="宋体" w:cs="宋体"/>
          <w:sz w:val="31"/>
          <w:szCs w:val="31"/>
        </w:rPr>
      </w:pPr>
      <w:bookmarkStart w:id="95" w:name="bookmark49"/>
      <w:bookmarkEnd w:id="95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6.1</w:t>
      </w:r>
      <w:r>
        <w:rPr>
          <w:rFonts w:ascii="Times New Roman" w:hAnsi="Times New Roman" w:eastAsia="Times New Roman" w:cs="Times New Roman"/>
          <w:b/>
          <w:bCs/>
          <w:spacing w:val="2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1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类声环境功能区划分</w:t>
      </w:r>
    </w:p>
    <w:p w14:paraId="0ED49AA7">
      <w:pPr>
        <w:spacing w:before="203" w:line="309" w:lineRule="auto"/>
        <w:ind w:left="67" w:right="57" w:firstLine="714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1"/>
          <w:sz w:val="31"/>
          <w:szCs w:val="31"/>
        </w:rPr>
        <w:t>开化县中心城区共划分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11"/>
          <w:sz w:val="31"/>
          <w:szCs w:val="31"/>
        </w:rPr>
        <w:t>个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11"/>
          <w:sz w:val="31"/>
          <w:szCs w:val="31"/>
        </w:rPr>
        <w:t>类声环境功能区划单元，面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积共计为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9.736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，每个区划单元的地理边界范围如下表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6-1 </w:t>
      </w:r>
      <w:r>
        <w:rPr>
          <w:rFonts w:ascii="宋体" w:hAnsi="宋体" w:eastAsia="宋体" w:cs="宋体"/>
          <w:spacing w:val="4"/>
          <w:sz w:val="31"/>
          <w:szCs w:val="31"/>
        </w:rPr>
        <w:t>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图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6-1~</w:t>
      </w:r>
      <w:r>
        <w:rPr>
          <w:rFonts w:ascii="Times New Roman" w:hAnsi="Times New Roman" w:eastAsia="Times New Roman" w:cs="Times New Roman"/>
          <w:spacing w:val="-3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图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6-8 </w:t>
      </w:r>
      <w:r>
        <w:rPr>
          <w:rFonts w:ascii="宋体" w:hAnsi="宋体" w:eastAsia="宋体" w:cs="宋体"/>
          <w:spacing w:val="-2"/>
          <w:sz w:val="31"/>
          <w:szCs w:val="31"/>
        </w:rPr>
        <w:t>所示。</w:t>
      </w:r>
    </w:p>
    <w:p w14:paraId="01127844">
      <w:pPr>
        <w:spacing w:before="111" w:line="369" w:lineRule="exact"/>
        <w:ind w:left="1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8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3"/>
          <w:sz w:val="28"/>
          <w:szCs w:val="28"/>
        </w:rPr>
        <w:t xml:space="preserve">6-1)      </w:t>
      </w:r>
      <w:r>
        <w:rPr>
          <w:rFonts w:ascii="宋体" w:hAnsi="宋体" w:eastAsia="宋体" w:cs="宋体"/>
          <w:spacing w:val="-1"/>
          <w:position w:val="3"/>
          <w:sz w:val="28"/>
          <w:szCs w:val="28"/>
        </w:rPr>
        <w:t>开化县中心城区</w:t>
      </w:r>
      <w:r>
        <w:rPr>
          <w:rFonts w:ascii="宋体" w:hAnsi="宋体" w:eastAsia="宋体" w:cs="宋体"/>
          <w:spacing w:val="-37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3"/>
          <w:sz w:val="28"/>
          <w:szCs w:val="28"/>
        </w:rPr>
        <w:t xml:space="preserve">1 </w:t>
      </w:r>
      <w:r>
        <w:rPr>
          <w:rFonts w:ascii="宋体" w:hAnsi="宋体" w:eastAsia="宋体" w:cs="宋体"/>
          <w:spacing w:val="-1"/>
          <w:position w:val="3"/>
          <w:sz w:val="28"/>
          <w:szCs w:val="28"/>
        </w:rPr>
        <w:t>类声环境功能区一览表</w:t>
      </w:r>
    </w:p>
    <w:p w14:paraId="2CDCCBC5">
      <w:pPr>
        <w:spacing w:line="27" w:lineRule="exact"/>
      </w:pPr>
    </w:p>
    <w:tbl>
      <w:tblPr>
        <w:tblStyle w:val="5"/>
        <w:tblW w:w="89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5"/>
        <w:gridCol w:w="7264"/>
        <w:gridCol w:w="1082"/>
      </w:tblGrid>
      <w:tr w14:paraId="172F8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05" w:type="dxa"/>
            <w:vAlign w:val="top"/>
          </w:tcPr>
          <w:p w14:paraId="3F027997">
            <w:pPr>
              <w:pStyle w:val="6"/>
              <w:spacing w:before="89" w:line="242" w:lineRule="auto"/>
              <w:ind w:left="68" w:right="60" w:firstLine="18"/>
            </w:pPr>
            <w:r>
              <w:rPr>
                <w:spacing w:val="-14"/>
              </w:rPr>
              <w:t>区划</w:t>
            </w:r>
            <w:r>
              <w:t xml:space="preserve"> </w:t>
            </w:r>
            <w:r>
              <w:rPr>
                <w:spacing w:val="-5"/>
              </w:rPr>
              <w:t>代号</w:t>
            </w:r>
          </w:p>
        </w:tc>
        <w:tc>
          <w:tcPr>
            <w:tcW w:w="7264" w:type="dxa"/>
            <w:vAlign w:val="top"/>
          </w:tcPr>
          <w:p w14:paraId="1C8E4328">
            <w:pPr>
              <w:pStyle w:val="6"/>
              <w:spacing w:before="268" w:line="221" w:lineRule="auto"/>
              <w:ind w:left="3177"/>
            </w:pPr>
            <w:r>
              <w:rPr>
                <w:spacing w:val="-7"/>
              </w:rPr>
              <w:t>区域范围</w:t>
            </w:r>
          </w:p>
        </w:tc>
        <w:tc>
          <w:tcPr>
            <w:tcW w:w="1082" w:type="dxa"/>
            <w:vAlign w:val="top"/>
          </w:tcPr>
          <w:p w14:paraId="44C6800D">
            <w:pPr>
              <w:pStyle w:val="6"/>
              <w:spacing w:before="89" w:line="242" w:lineRule="auto"/>
              <w:ind w:left="126" w:right="127" w:firstLine="181"/>
            </w:pPr>
            <w:r>
              <w:rPr>
                <w:spacing w:val="-6"/>
              </w:rPr>
              <w:t>面积</w:t>
            </w:r>
            <w:r>
              <w:t xml:space="preserve">  </w:t>
            </w:r>
            <w:r>
              <w:rPr>
                <w:spacing w:val="-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spacing w:val="-8"/>
              </w:rPr>
              <w:t>）</w:t>
            </w:r>
          </w:p>
        </w:tc>
      </w:tr>
      <w:tr w14:paraId="2502D0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605" w:type="dxa"/>
            <w:vAlign w:val="top"/>
          </w:tcPr>
          <w:p w14:paraId="2D30A2EE">
            <w:pPr>
              <w:spacing w:line="316" w:lineRule="auto"/>
              <w:rPr>
                <w:rFonts w:ascii="Arial"/>
                <w:sz w:val="21"/>
              </w:rPr>
            </w:pPr>
          </w:p>
          <w:p w14:paraId="6667CE9D">
            <w:pPr>
              <w:spacing w:before="69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7264" w:type="dxa"/>
            <w:vAlign w:val="top"/>
          </w:tcPr>
          <w:p w14:paraId="629961CF">
            <w:pPr>
              <w:pStyle w:val="6"/>
              <w:spacing w:before="36" w:line="219" w:lineRule="auto"/>
              <w:ind w:left="57"/>
            </w:pPr>
            <w:r>
              <w:rPr>
                <w:spacing w:val="-2"/>
              </w:rPr>
              <w:t>规划区块北边界山体以南，芹北路与湘溪路以北，桃溪路以东，规划</w:t>
            </w:r>
          </w:p>
          <w:p w14:paraId="0515CE9A">
            <w:pPr>
              <w:pStyle w:val="6"/>
              <w:spacing w:before="26" w:line="223" w:lineRule="auto"/>
              <w:ind w:left="2349" w:right="47" w:hanging="2275"/>
            </w:pPr>
            <w:r>
              <w:rPr>
                <w:spacing w:val="-2"/>
              </w:rPr>
              <w:t>区块东边界以西合拢区块；芹北路以南，马金溪以西，根</w:t>
            </w:r>
            <w:r>
              <w:rPr>
                <w:spacing w:val="-3"/>
              </w:rPr>
              <w:t>博路以东合</w:t>
            </w:r>
            <w:r>
              <w:t xml:space="preserve"> </w:t>
            </w:r>
            <w:r>
              <w:rPr>
                <w:spacing w:val="-4"/>
              </w:rPr>
              <w:t>拢区块（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203</w:t>
            </w:r>
            <w:r>
              <w:rPr>
                <w:rFonts w:ascii="Times New Roman" w:hAnsi="Times New Roman" w:eastAsia="Times New Roman" w:cs="Times New Roman"/>
                <w:spacing w:val="36"/>
                <w:w w:val="101"/>
              </w:rPr>
              <w:t xml:space="preserve"> </w:t>
            </w:r>
            <w:r>
              <w:rPr>
                <w:spacing w:val="-4"/>
              </w:rPr>
              <w:t>区块除外）</w:t>
            </w:r>
          </w:p>
        </w:tc>
        <w:tc>
          <w:tcPr>
            <w:tcW w:w="1082" w:type="dxa"/>
            <w:vAlign w:val="top"/>
          </w:tcPr>
          <w:p w14:paraId="0F19D6D8">
            <w:pPr>
              <w:spacing w:line="316" w:lineRule="auto"/>
              <w:rPr>
                <w:rFonts w:ascii="Arial"/>
                <w:sz w:val="21"/>
              </w:rPr>
            </w:pPr>
          </w:p>
          <w:p w14:paraId="0C920058">
            <w:pPr>
              <w:spacing w:before="69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1.914</w:t>
            </w:r>
          </w:p>
        </w:tc>
      </w:tr>
      <w:tr w14:paraId="6B88A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605" w:type="dxa"/>
            <w:vAlign w:val="top"/>
          </w:tcPr>
          <w:p w14:paraId="4B13D876">
            <w:pPr>
              <w:spacing w:before="234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7264" w:type="dxa"/>
            <w:vAlign w:val="top"/>
          </w:tcPr>
          <w:p w14:paraId="54BB7C72">
            <w:pPr>
              <w:pStyle w:val="6"/>
              <w:spacing w:before="37" w:line="223" w:lineRule="auto"/>
              <w:ind w:left="2802" w:right="47" w:hanging="2745"/>
            </w:pPr>
            <w:r>
              <w:rPr>
                <w:spacing w:val="-2"/>
              </w:rPr>
              <w:t>规划区块东边界以西，规划区块南边界以北，马鞍山山体以南，华殿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线以东合拢区块</w:t>
            </w:r>
          </w:p>
        </w:tc>
        <w:tc>
          <w:tcPr>
            <w:tcW w:w="1082" w:type="dxa"/>
            <w:vAlign w:val="top"/>
          </w:tcPr>
          <w:p w14:paraId="2695DE62">
            <w:pPr>
              <w:spacing w:before="234" w:line="188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0.572</w:t>
            </w:r>
          </w:p>
        </w:tc>
      </w:tr>
      <w:tr w14:paraId="48FD2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05" w:type="dxa"/>
            <w:vAlign w:val="top"/>
          </w:tcPr>
          <w:p w14:paraId="55016BEC">
            <w:pPr>
              <w:spacing w:before="233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7264" w:type="dxa"/>
            <w:vAlign w:val="top"/>
          </w:tcPr>
          <w:p w14:paraId="7670D6A2">
            <w:pPr>
              <w:pStyle w:val="6"/>
              <w:spacing w:before="38" w:line="220" w:lineRule="auto"/>
              <w:ind w:left="64"/>
            </w:pPr>
            <w:r>
              <w:t>马金溪东南，凤凰南路以北，规划区块东边界以西合拢</w:t>
            </w:r>
            <w:r>
              <w:rPr>
                <w:spacing w:val="-1"/>
              </w:rPr>
              <w:t>区块（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206 </w:t>
            </w:r>
            <w:r>
              <w:rPr>
                <w:spacing w:val="-1"/>
              </w:rPr>
              <w:t>和</w:t>
            </w:r>
          </w:p>
          <w:p w14:paraId="2C3765FD">
            <w:pPr>
              <w:pStyle w:val="6"/>
              <w:spacing w:before="23" w:line="208" w:lineRule="auto"/>
              <w:ind w:left="2824"/>
            </w:pPr>
            <w:r>
              <w:rPr>
                <w:rFonts w:ascii="Times New Roman" w:hAnsi="Times New Roman" w:eastAsia="Times New Roman" w:cs="Times New Roman"/>
                <w:spacing w:val="-5"/>
              </w:rPr>
              <w:t>209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</w:rPr>
              <w:t xml:space="preserve"> </w:t>
            </w:r>
            <w:r>
              <w:rPr>
                <w:spacing w:val="-5"/>
              </w:rPr>
              <w:t>区块除外）</w:t>
            </w:r>
          </w:p>
        </w:tc>
        <w:tc>
          <w:tcPr>
            <w:tcW w:w="1082" w:type="dxa"/>
            <w:vAlign w:val="top"/>
          </w:tcPr>
          <w:p w14:paraId="4515779B">
            <w:pPr>
              <w:spacing w:before="233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1.870</w:t>
            </w:r>
          </w:p>
        </w:tc>
      </w:tr>
      <w:tr w14:paraId="4DF68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605" w:type="dxa"/>
            <w:vAlign w:val="top"/>
          </w:tcPr>
          <w:p w14:paraId="3E1402A8">
            <w:pPr>
              <w:spacing w:before="176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7264" w:type="dxa"/>
            <w:vAlign w:val="top"/>
          </w:tcPr>
          <w:p w14:paraId="67C8033F">
            <w:pPr>
              <w:pStyle w:val="6"/>
              <w:spacing w:before="135" w:line="219" w:lineRule="auto"/>
              <w:ind w:left="189"/>
            </w:pPr>
            <w:r>
              <w:rPr>
                <w:spacing w:val="-2"/>
              </w:rPr>
              <w:t>凤凰中路和凤凰山以南，古溪路以北，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8"/>
                <w:w w:val="101"/>
              </w:rPr>
              <w:t xml:space="preserve"> </w:t>
            </w:r>
            <w:r>
              <w:rPr>
                <w:spacing w:val="-2"/>
              </w:rPr>
              <w:t>国道以东，上青线以西</w:t>
            </w:r>
          </w:p>
        </w:tc>
        <w:tc>
          <w:tcPr>
            <w:tcW w:w="1082" w:type="dxa"/>
            <w:vAlign w:val="top"/>
          </w:tcPr>
          <w:p w14:paraId="10C6931B">
            <w:pPr>
              <w:spacing w:before="176" w:line="188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0.677</w:t>
            </w:r>
          </w:p>
        </w:tc>
      </w:tr>
      <w:tr w14:paraId="544F7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605" w:type="dxa"/>
            <w:vAlign w:val="top"/>
          </w:tcPr>
          <w:p w14:paraId="25F5CA3A">
            <w:pPr>
              <w:spacing w:before="232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7264" w:type="dxa"/>
            <w:vAlign w:val="top"/>
          </w:tcPr>
          <w:p w14:paraId="0B59BD77">
            <w:pPr>
              <w:pStyle w:val="6"/>
              <w:spacing w:before="37" w:line="223" w:lineRule="auto"/>
              <w:ind w:left="1626" w:right="59" w:hanging="1550"/>
            </w:pPr>
            <w:r>
              <w:rPr>
                <w:spacing w:val="-2"/>
              </w:rPr>
              <w:t>马金溪以东，马金溪以北，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4"/>
              </w:rPr>
              <w:t xml:space="preserve"> </w:t>
            </w:r>
            <w:r>
              <w:rPr>
                <w:spacing w:val="-2"/>
              </w:rPr>
              <w:t>国道以西合拢区块；规划区块东边界</w:t>
            </w:r>
            <w:r>
              <w:t xml:space="preserve"> </w:t>
            </w:r>
            <w:r>
              <w:rPr>
                <w:spacing w:val="-3"/>
              </w:rPr>
              <w:t>以西，马金溪以北，山体以南合拢区块</w:t>
            </w:r>
          </w:p>
        </w:tc>
        <w:tc>
          <w:tcPr>
            <w:tcW w:w="1082" w:type="dxa"/>
            <w:vAlign w:val="top"/>
          </w:tcPr>
          <w:p w14:paraId="0C8E30C1">
            <w:pPr>
              <w:spacing w:before="232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1.169</w:t>
            </w:r>
          </w:p>
        </w:tc>
      </w:tr>
      <w:tr w14:paraId="2B3D6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605" w:type="dxa"/>
            <w:vAlign w:val="top"/>
          </w:tcPr>
          <w:p w14:paraId="749C8ABD">
            <w:pPr>
              <w:spacing w:line="318" w:lineRule="auto"/>
              <w:rPr>
                <w:rFonts w:ascii="Arial"/>
                <w:sz w:val="21"/>
              </w:rPr>
            </w:pPr>
          </w:p>
          <w:p w14:paraId="63CCB299">
            <w:pPr>
              <w:spacing w:before="69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7264" w:type="dxa"/>
            <w:vAlign w:val="top"/>
          </w:tcPr>
          <w:p w14:paraId="46A59A83">
            <w:pPr>
              <w:pStyle w:val="6"/>
              <w:spacing w:before="38" w:line="220" w:lineRule="auto"/>
              <w:ind w:left="56"/>
            </w:pPr>
            <w:r>
              <w:rPr>
                <w:spacing w:val="-2"/>
              </w:rPr>
              <w:t>桃下线以北和以西，规划区块北边界山体以南，规划区块西边界山体</w:t>
            </w:r>
          </w:p>
          <w:p w14:paraId="54E8A454">
            <w:pPr>
              <w:pStyle w:val="6"/>
              <w:spacing w:before="23" w:line="220" w:lineRule="auto"/>
              <w:jc w:val="right"/>
            </w:pPr>
            <w:r>
              <w:rPr>
                <w:spacing w:val="-9"/>
              </w:rPr>
              <w:t>以东合拢区块；桃下线以南和以东，山体以北合拢区块；城华线以下，</w:t>
            </w:r>
          </w:p>
          <w:p w14:paraId="388D81C3">
            <w:pPr>
              <w:pStyle w:val="6"/>
              <w:spacing w:before="25" w:line="206" w:lineRule="auto"/>
              <w:ind w:left="664"/>
            </w:pPr>
            <w:r>
              <w:rPr>
                <w:rFonts w:ascii="Times New Roman" w:hAnsi="Times New Roman" w:eastAsia="Times New Roman" w:cs="Times New Roman"/>
                <w:spacing w:val="-2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5"/>
                <w:w w:val="101"/>
              </w:rPr>
              <w:t xml:space="preserve"> </w:t>
            </w:r>
            <w:r>
              <w:rPr>
                <w:spacing w:val="-2"/>
              </w:rPr>
              <w:t>国道以北，山体以东，金丰村北侧道路以南合拢区块</w:t>
            </w:r>
          </w:p>
        </w:tc>
        <w:tc>
          <w:tcPr>
            <w:tcW w:w="1082" w:type="dxa"/>
            <w:vAlign w:val="top"/>
          </w:tcPr>
          <w:p w14:paraId="31D30CAD">
            <w:pPr>
              <w:spacing w:line="318" w:lineRule="auto"/>
              <w:rPr>
                <w:rFonts w:ascii="Arial"/>
                <w:sz w:val="21"/>
              </w:rPr>
            </w:pPr>
          </w:p>
          <w:p w14:paraId="198FE823">
            <w:pPr>
              <w:spacing w:before="69" w:line="188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0.534</w:t>
            </w:r>
          </w:p>
        </w:tc>
      </w:tr>
      <w:tr w14:paraId="7453F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605" w:type="dxa"/>
            <w:vAlign w:val="top"/>
          </w:tcPr>
          <w:p w14:paraId="42BE5014">
            <w:pPr>
              <w:spacing w:line="474" w:lineRule="auto"/>
              <w:rPr>
                <w:rFonts w:ascii="Arial"/>
                <w:sz w:val="21"/>
              </w:rPr>
            </w:pPr>
          </w:p>
          <w:p w14:paraId="6B281DB6">
            <w:pPr>
              <w:spacing w:before="69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7264" w:type="dxa"/>
            <w:vAlign w:val="top"/>
          </w:tcPr>
          <w:p w14:paraId="313A65A6">
            <w:pPr>
              <w:pStyle w:val="6"/>
              <w:spacing w:before="38" w:line="220" w:lineRule="auto"/>
              <w:ind w:left="64"/>
            </w:pPr>
            <w:r>
              <w:rPr>
                <w:rFonts w:ascii="Times New Roman" w:hAnsi="Times New Roman" w:eastAsia="Times New Roman" w:cs="Times New Roman"/>
                <w:spacing w:val="-1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1"/>
                <w:w w:val="101"/>
              </w:rPr>
              <w:t xml:space="preserve"> </w:t>
            </w:r>
            <w:r>
              <w:rPr>
                <w:spacing w:val="-1"/>
              </w:rPr>
              <w:t>国道以西，杭长高速以北，高速连接线以南和以西合拢区块；马</w:t>
            </w:r>
          </w:p>
          <w:p w14:paraId="17DBE299">
            <w:pPr>
              <w:pStyle w:val="6"/>
              <w:spacing w:before="26" w:line="219" w:lineRule="auto"/>
              <w:ind w:left="58"/>
            </w:pPr>
            <w:r>
              <w:rPr>
                <w:spacing w:val="-1"/>
              </w:rPr>
              <w:t>金溪与城白线以北，银辉路以南，银辉路以西合拢区块；独山村</w:t>
            </w:r>
            <w:r>
              <w:rPr>
                <w:spacing w:val="-2"/>
              </w:rPr>
              <w:t>；马</w:t>
            </w:r>
          </w:p>
          <w:p w14:paraId="60540F83">
            <w:pPr>
              <w:pStyle w:val="6"/>
              <w:spacing w:before="24" w:line="219" w:lineRule="auto"/>
              <w:ind w:left="70"/>
            </w:pPr>
            <w:r>
              <w:rPr>
                <w:spacing w:val="-2"/>
              </w:rPr>
              <w:t>金溪以东，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9"/>
                <w:w w:val="101"/>
              </w:rPr>
              <w:t xml:space="preserve"> </w:t>
            </w:r>
            <w:r>
              <w:rPr>
                <w:spacing w:val="-2"/>
              </w:rPr>
              <w:t>国道以北和以西的下溪村；马金溪以西和以北，马金</w:t>
            </w:r>
          </w:p>
          <w:p w14:paraId="6F4C6DF8">
            <w:pPr>
              <w:pStyle w:val="6"/>
              <w:spacing w:before="27" w:line="205" w:lineRule="auto"/>
              <w:ind w:left="2202"/>
            </w:pPr>
            <w:r>
              <w:rPr>
                <w:spacing w:val="-1"/>
              </w:rPr>
              <w:t>路以东，山体以南合拢区块</w:t>
            </w:r>
          </w:p>
        </w:tc>
        <w:tc>
          <w:tcPr>
            <w:tcW w:w="1082" w:type="dxa"/>
            <w:vAlign w:val="top"/>
          </w:tcPr>
          <w:p w14:paraId="142087E2">
            <w:pPr>
              <w:spacing w:line="474" w:lineRule="auto"/>
              <w:rPr>
                <w:rFonts w:ascii="Arial"/>
                <w:sz w:val="21"/>
              </w:rPr>
            </w:pPr>
          </w:p>
          <w:p w14:paraId="2A6357CA">
            <w:pPr>
              <w:spacing w:before="69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1.131</w:t>
            </w:r>
          </w:p>
        </w:tc>
      </w:tr>
      <w:tr w14:paraId="03A11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605" w:type="dxa"/>
            <w:vAlign w:val="top"/>
          </w:tcPr>
          <w:p w14:paraId="72A47D78">
            <w:pPr>
              <w:spacing w:line="320" w:lineRule="auto"/>
              <w:rPr>
                <w:rFonts w:ascii="Arial"/>
                <w:sz w:val="21"/>
              </w:rPr>
            </w:pPr>
          </w:p>
          <w:p w14:paraId="600B3337">
            <w:pPr>
              <w:spacing w:before="69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7264" w:type="dxa"/>
            <w:vAlign w:val="top"/>
          </w:tcPr>
          <w:p w14:paraId="1D31C68C">
            <w:pPr>
              <w:pStyle w:val="6"/>
              <w:spacing w:before="40" w:line="220" w:lineRule="auto"/>
              <w:ind w:left="64"/>
            </w:pPr>
            <w:r>
              <w:rPr>
                <w:spacing w:val="-2"/>
              </w:rPr>
              <w:t>马金溪以南，马金溪以东，规划区块东边界以西，规划区块南边界以</w:t>
            </w:r>
          </w:p>
          <w:p w14:paraId="6B4E0379">
            <w:pPr>
              <w:pStyle w:val="6"/>
              <w:spacing w:before="23" w:line="219" w:lineRule="auto"/>
              <w:ind w:left="60"/>
            </w:pPr>
            <w:r>
              <w:rPr>
                <w:spacing w:val="-2"/>
              </w:rPr>
              <w:t>北合拢区块；马金溪以西，华民新村南侧道路以北，规划区块西边界</w:t>
            </w:r>
          </w:p>
          <w:p w14:paraId="67E64BB9">
            <w:pPr>
              <w:pStyle w:val="6"/>
              <w:spacing w:before="26" w:line="205" w:lineRule="auto"/>
              <w:ind w:left="1501"/>
            </w:pPr>
            <w:r>
              <w:rPr>
                <w:spacing w:val="-2"/>
              </w:rPr>
              <w:t>山体以东，花牵骨景区北侧以南合拢区块</w:t>
            </w:r>
          </w:p>
        </w:tc>
        <w:tc>
          <w:tcPr>
            <w:tcW w:w="1082" w:type="dxa"/>
            <w:vAlign w:val="top"/>
          </w:tcPr>
          <w:p w14:paraId="4BA55D03">
            <w:pPr>
              <w:spacing w:line="320" w:lineRule="auto"/>
              <w:rPr>
                <w:rFonts w:ascii="Arial"/>
                <w:sz w:val="21"/>
              </w:rPr>
            </w:pPr>
          </w:p>
          <w:p w14:paraId="22A3F071">
            <w:pPr>
              <w:spacing w:before="69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1.164</w:t>
            </w:r>
          </w:p>
        </w:tc>
      </w:tr>
      <w:tr w14:paraId="0368A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605" w:type="dxa"/>
            <w:vAlign w:val="top"/>
          </w:tcPr>
          <w:p w14:paraId="433CF1C8">
            <w:pPr>
              <w:spacing w:line="475" w:lineRule="auto"/>
              <w:rPr>
                <w:rFonts w:ascii="Arial"/>
                <w:sz w:val="21"/>
              </w:rPr>
            </w:pPr>
          </w:p>
          <w:p w14:paraId="586EB330">
            <w:pPr>
              <w:spacing w:before="69" w:line="188" w:lineRule="auto"/>
              <w:ind w:left="1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7264" w:type="dxa"/>
            <w:vAlign w:val="top"/>
          </w:tcPr>
          <w:p w14:paraId="6FAC971E">
            <w:pPr>
              <w:pStyle w:val="6"/>
              <w:spacing w:before="42" w:line="231" w:lineRule="auto"/>
              <w:ind w:left="68" w:right="47" w:hanging="8"/>
              <w:jc w:val="both"/>
            </w:pPr>
            <w:r>
              <w:rPr>
                <w:spacing w:val="-2"/>
              </w:rPr>
              <w:t>斐庄线以南，解放路以西，规划区块西边界以东，彩虹路、解放路和</w:t>
            </w:r>
            <w:r>
              <w:rPr>
                <w:spacing w:val="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351</w:t>
            </w:r>
            <w:r>
              <w:rPr>
                <w:rFonts w:ascii="Times New Roman" w:hAnsi="Times New Roman" w:eastAsia="Times New Roman" w:cs="Times New Roman"/>
                <w:spacing w:val="51"/>
              </w:rPr>
              <w:t xml:space="preserve"> </w:t>
            </w:r>
            <w:r>
              <w:rPr>
                <w:spacing w:val="-2"/>
              </w:rPr>
              <w:t>国道以北合拢区块；彩虹路与解放路以南，龙山溪以北，马金溪</w:t>
            </w:r>
            <w:r>
              <w:t xml:space="preserve"> </w:t>
            </w:r>
            <w:r>
              <w:rPr>
                <w:spacing w:val="-2"/>
              </w:rPr>
              <w:t>以西，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351</w:t>
            </w:r>
            <w:r>
              <w:rPr>
                <w:rFonts w:ascii="Times New Roman" w:hAnsi="Times New Roman" w:eastAsia="Times New Roman" w:cs="Times New Roman"/>
                <w:spacing w:val="51"/>
              </w:rPr>
              <w:t xml:space="preserve"> </w:t>
            </w:r>
            <w:r>
              <w:rPr>
                <w:spacing w:val="-2"/>
              </w:rPr>
              <w:t>国道以东合拢区块；龙山溪以南，马金溪以西，规划区块</w:t>
            </w:r>
            <w:r>
              <w:t xml:space="preserve"> </w:t>
            </w:r>
            <w:r>
              <w:rPr>
                <w:spacing w:val="-2"/>
              </w:rPr>
              <w:t>西边界以东，规划区块南边界以北合拢区块（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207 </w:t>
            </w:r>
            <w:r>
              <w:rPr>
                <w:spacing w:val="-2"/>
              </w:rPr>
              <w:t>和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304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2"/>
              </w:rPr>
              <w:t>区块除外）</w:t>
            </w:r>
          </w:p>
        </w:tc>
        <w:tc>
          <w:tcPr>
            <w:tcW w:w="1082" w:type="dxa"/>
            <w:vAlign w:val="top"/>
          </w:tcPr>
          <w:p w14:paraId="054DD103">
            <w:pPr>
              <w:spacing w:line="475" w:lineRule="auto"/>
              <w:rPr>
                <w:rFonts w:ascii="Arial"/>
                <w:sz w:val="21"/>
              </w:rPr>
            </w:pPr>
          </w:p>
          <w:p w14:paraId="4CC5A5A2">
            <w:pPr>
              <w:spacing w:before="69" w:line="188" w:lineRule="auto"/>
              <w:ind w:left="2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0.704</w:t>
            </w:r>
          </w:p>
        </w:tc>
      </w:tr>
    </w:tbl>
    <w:p w14:paraId="38B55B75">
      <w:pPr>
        <w:pStyle w:val="2"/>
      </w:pPr>
    </w:p>
    <w:p w14:paraId="542236A5">
      <w:pPr>
        <w:sectPr>
          <w:footerReference r:id="rId47" w:type="default"/>
          <w:pgSz w:w="11906" w:h="16839"/>
          <w:pgMar w:top="1431" w:right="1418" w:bottom="1151" w:left="1531" w:header="0" w:footer="989" w:gutter="0"/>
          <w:cols w:space="720" w:num="1"/>
        </w:sectPr>
      </w:pPr>
    </w:p>
    <w:p w14:paraId="172CD006">
      <w:pPr>
        <w:pStyle w:val="2"/>
        <w:spacing w:line="268" w:lineRule="auto"/>
      </w:pPr>
    </w:p>
    <w:p w14:paraId="1C79413C">
      <w:pPr>
        <w:pStyle w:val="2"/>
        <w:spacing w:line="268" w:lineRule="auto"/>
      </w:pPr>
    </w:p>
    <w:p w14:paraId="4745063B">
      <w:pPr>
        <w:pStyle w:val="2"/>
        <w:spacing w:line="269" w:lineRule="auto"/>
      </w:pPr>
    </w:p>
    <w:p w14:paraId="6CEE7037">
      <w:pPr>
        <w:spacing w:line="8448" w:lineRule="exact"/>
      </w:pPr>
      <w:r>
        <w:rPr>
          <w:position w:val="-168"/>
        </w:rPr>
        <w:drawing>
          <wp:inline distT="0" distB="0" distL="0" distR="0">
            <wp:extent cx="5534660" cy="536384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535167" cy="5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78FE">
      <w:pPr>
        <w:pStyle w:val="2"/>
        <w:spacing w:line="259" w:lineRule="auto"/>
      </w:pPr>
    </w:p>
    <w:p w14:paraId="244133CF">
      <w:pPr>
        <w:spacing w:before="91" w:line="220" w:lineRule="auto"/>
        <w:ind w:left="26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6-1.       101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774ADE37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48" w:type="default"/>
          <w:pgSz w:w="11906" w:h="16839"/>
          <w:pgMar w:top="1431" w:right="1547" w:bottom="1151" w:left="1641" w:header="0" w:footer="989" w:gutter="0"/>
          <w:cols w:space="720" w:num="1"/>
        </w:sectPr>
      </w:pPr>
    </w:p>
    <w:p w14:paraId="3C3A2001">
      <w:pPr>
        <w:pStyle w:val="2"/>
        <w:spacing w:line="343" w:lineRule="auto"/>
      </w:pPr>
    </w:p>
    <w:p w14:paraId="086D55C4">
      <w:pPr>
        <w:pStyle w:val="2"/>
        <w:spacing w:line="343" w:lineRule="auto"/>
      </w:pPr>
    </w:p>
    <w:p w14:paraId="3F90B73D">
      <w:pPr>
        <w:spacing w:line="8376" w:lineRule="exact"/>
      </w:pPr>
      <w:r>
        <w:rPr>
          <w:position w:val="-167"/>
        </w:rPr>
        <w:drawing>
          <wp:inline distT="0" distB="0" distL="0" distR="0">
            <wp:extent cx="5594350" cy="53181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94603" cy="531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5B14">
      <w:pPr>
        <w:spacing w:before="232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6-2.       102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542DC9A3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49" w:type="default"/>
          <w:pgSz w:w="11906" w:h="16839"/>
          <w:pgMar w:top="1431" w:right="1509" w:bottom="1151" w:left="1586" w:header="0" w:footer="989" w:gutter="0"/>
          <w:cols w:space="720" w:num="1"/>
        </w:sectPr>
      </w:pPr>
    </w:p>
    <w:p w14:paraId="216EF089">
      <w:pPr>
        <w:pStyle w:val="2"/>
        <w:spacing w:line="256" w:lineRule="auto"/>
      </w:pPr>
    </w:p>
    <w:p w14:paraId="3190F5AE">
      <w:pPr>
        <w:pStyle w:val="2"/>
        <w:spacing w:line="256" w:lineRule="auto"/>
      </w:pPr>
    </w:p>
    <w:p w14:paraId="2A3239B0">
      <w:pPr>
        <w:pStyle w:val="2"/>
        <w:spacing w:line="257" w:lineRule="auto"/>
      </w:pPr>
    </w:p>
    <w:p w14:paraId="167E48E7">
      <w:pPr>
        <w:spacing w:line="7872" w:lineRule="exact"/>
      </w:pPr>
      <w:r>
        <w:rPr>
          <w:position w:val="-157"/>
        </w:rPr>
        <w:drawing>
          <wp:inline distT="0" distB="0" distL="0" distR="0">
            <wp:extent cx="5597525" cy="49987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97652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C36F">
      <w:pPr>
        <w:pStyle w:val="2"/>
        <w:spacing w:line="247" w:lineRule="auto"/>
      </w:pPr>
    </w:p>
    <w:p w14:paraId="13EF987A">
      <w:pPr>
        <w:spacing w:before="91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6-3.       103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056B9FE4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0" w:type="default"/>
          <w:pgSz w:w="11906" w:h="16839"/>
          <w:pgMar w:top="1431" w:right="1504" w:bottom="1151" w:left="1586" w:header="0" w:footer="989" w:gutter="0"/>
          <w:cols w:space="720" w:num="1"/>
        </w:sectPr>
      </w:pPr>
    </w:p>
    <w:p w14:paraId="5A84F807">
      <w:pPr>
        <w:pStyle w:val="2"/>
        <w:spacing w:line="264" w:lineRule="auto"/>
      </w:pPr>
    </w:p>
    <w:p w14:paraId="0B55B7DA">
      <w:pPr>
        <w:pStyle w:val="2"/>
        <w:spacing w:line="264" w:lineRule="auto"/>
      </w:pPr>
    </w:p>
    <w:p w14:paraId="34E4460A">
      <w:pPr>
        <w:pStyle w:val="2"/>
        <w:spacing w:line="265" w:lineRule="auto"/>
      </w:pPr>
    </w:p>
    <w:p w14:paraId="2289CFCA">
      <w:pPr>
        <w:spacing w:line="7514" w:lineRule="exact"/>
      </w:pPr>
      <w:r>
        <w:rPr>
          <w:position w:val="-150"/>
        </w:rPr>
        <w:drawing>
          <wp:inline distT="0" distB="0" distL="0" distR="0">
            <wp:extent cx="5606415" cy="477139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4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E623">
      <w:pPr>
        <w:pStyle w:val="2"/>
        <w:spacing w:line="269" w:lineRule="auto"/>
      </w:pPr>
    </w:p>
    <w:p w14:paraId="35CAC30C">
      <w:pPr>
        <w:spacing w:before="91" w:line="220" w:lineRule="auto"/>
        <w:ind w:left="23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6-4.       104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和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105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170C7CDC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1" w:type="default"/>
          <w:pgSz w:w="11906" w:h="16839"/>
          <w:pgMar w:top="1431" w:right="1490" w:bottom="1151" w:left="1586" w:header="0" w:footer="989" w:gutter="0"/>
          <w:cols w:space="720" w:num="1"/>
        </w:sectPr>
      </w:pPr>
    </w:p>
    <w:p w14:paraId="11BC29B4">
      <w:pPr>
        <w:pStyle w:val="2"/>
        <w:spacing w:line="354" w:lineRule="auto"/>
      </w:pPr>
    </w:p>
    <w:p w14:paraId="69D99E60">
      <w:pPr>
        <w:pStyle w:val="2"/>
        <w:spacing w:line="355" w:lineRule="auto"/>
      </w:pPr>
    </w:p>
    <w:p w14:paraId="6FC76E59">
      <w:pPr>
        <w:spacing w:line="8321" w:lineRule="exact"/>
      </w:pPr>
      <w:r>
        <w:rPr>
          <w:position w:val="-166"/>
        </w:rPr>
        <w:drawing>
          <wp:inline distT="0" distB="0" distL="0" distR="0">
            <wp:extent cx="5595620" cy="52832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528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8501">
      <w:pPr>
        <w:spacing w:before="263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6-5.       106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5D9396FE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2" w:type="default"/>
          <w:pgSz w:w="11906" w:h="16839"/>
          <w:pgMar w:top="1431" w:right="1506" w:bottom="1151" w:left="1586" w:header="0" w:footer="989" w:gutter="0"/>
          <w:cols w:space="720" w:num="1"/>
        </w:sectPr>
      </w:pPr>
    </w:p>
    <w:p w14:paraId="68CE81E9">
      <w:pPr>
        <w:pStyle w:val="2"/>
        <w:spacing w:line="331" w:lineRule="auto"/>
      </w:pPr>
    </w:p>
    <w:p w14:paraId="2C19E9B0">
      <w:pPr>
        <w:pStyle w:val="2"/>
        <w:spacing w:line="331" w:lineRule="auto"/>
      </w:pPr>
    </w:p>
    <w:p w14:paraId="5DE7DF9C">
      <w:pPr>
        <w:spacing w:line="8421" w:lineRule="exact"/>
      </w:pPr>
      <w:r>
        <w:rPr>
          <w:position w:val="-168"/>
        </w:rPr>
        <w:drawing>
          <wp:inline distT="0" distB="0" distL="0" distR="0">
            <wp:extent cx="5605145" cy="534733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05271" cy="53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7A93">
      <w:pPr>
        <w:spacing w:before="210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6-6.       107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323D32D8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3" w:type="default"/>
          <w:pgSz w:w="11906" w:h="16839"/>
          <w:pgMar w:top="1431" w:right="1492" w:bottom="1151" w:left="1586" w:header="0" w:footer="989" w:gutter="0"/>
          <w:cols w:space="720" w:num="1"/>
        </w:sectPr>
      </w:pPr>
    </w:p>
    <w:p w14:paraId="57F6C45D">
      <w:pPr>
        <w:pStyle w:val="2"/>
        <w:spacing w:line="337" w:lineRule="auto"/>
      </w:pPr>
    </w:p>
    <w:p w14:paraId="4AEC2255">
      <w:pPr>
        <w:pStyle w:val="2"/>
        <w:spacing w:line="337" w:lineRule="auto"/>
      </w:pPr>
    </w:p>
    <w:p w14:paraId="7A86B911">
      <w:pPr>
        <w:spacing w:line="8383" w:lineRule="exact"/>
      </w:pPr>
      <w:r>
        <w:rPr>
          <w:position w:val="-167"/>
        </w:rPr>
        <w:drawing>
          <wp:inline distT="0" distB="0" distL="0" distR="0">
            <wp:extent cx="5618480" cy="53232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18988" cy="532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8211">
      <w:pPr>
        <w:spacing w:before="237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6-7.       108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23F9FC0A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4" w:type="default"/>
          <w:pgSz w:w="11906" w:h="16839"/>
          <w:pgMar w:top="1431" w:right="1470" w:bottom="1151" w:left="1586" w:header="0" w:footer="989" w:gutter="0"/>
          <w:cols w:space="720" w:num="1"/>
        </w:sectPr>
      </w:pPr>
    </w:p>
    <w:p w14:paraId="6782486F">
      <w:pPr>
        <w:pStyle w:val="2"/>
        <w:spacing w:line="354" w:lineRule="auto"/>
      </w:pPr>
    </w:p>
    <w:p w14:paraId="2E5AE607">
      <w:pPr>
        <w:pStyle w:val="2"/>
        <w:spacing w:line="355" w:lineRule="auto"/>
      </w:pPr>
    </w:p>
    <w:p w14:paraId="153E4E5C">
      <w:pPr>
        <w:spacing w:line="8950" w:lineRule="exact"/>
      </w:pPr>
      <w:r>
        <w:rPr>
          <w:position w:val="-178"/>
        </w:rPr>
        <w:drawing>
          <wp:inline distT="0" distB="0" distL="0" distR="0">
            <wp:extent cx="5620385" cy="568261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20511" cy="56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E8BF">
      <w:pPr>
        <w:spacing w:before="258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6-8.       109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75CC2EAB">
      <w:pPr>
        <w:spacing w:before="192" w:line="238" w:lineRule="auto"/>
        <w:ind w:left="66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101</w:t>
      </w:r>
    </w:p>
    <w:p w14:paraId="7572FC6C">
      <w:pPr>
        <w:spacing w:before="148" w:line="323" w:lineRule="auto"/>
        <w:ind w:left="12" w:firstLine="57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规划区块北边界山体以南，芹北路与湘溪路以北，桃溪路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以东，规划区块东边界以西合拢区块；芹北路以南，马金溪以西，</w:t>
      </w:r>
      <w:r>
        <w:rPr>
          <w:rFonts w:ascii="宋体" w:hAnsi="宋体" w:eastAsia="宋体" w:cs="宋体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根博路以东合拢区块（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203</w:t>
      </w:r>
      <w:r>
        <w:rPr>
          <w:rFonts w:ascii="Times New Roman" w:hAnsi="Times New Roman" w:eastAsia="Times New Roman" w:cs="Times New Roman"/>
          <w:spacing w:val="4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区块除外）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01</w:t>
      </w:r>
      <w:r>
        <w:rPr>
          <w:rFonts w:ascii="Times New Roman" w:hAnsi="Times New Roman" w:eastAsia="Times New Roman" w:cs="Times New Roman"/>
          <w:spacing w:val="4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区划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单元范围，区域面积为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1.914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5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69AB402E">
      <w:pPr>
        <w:spacing w:line="323" w:lineRule="auto"/>
        <w:rPr>
          <w:rFonts w:ascii="宋体" w:hAnsi="宋体" w:eastAsia="宋体" w:cs="宋体"/>
          <w:sz w:val="31"/>
          <w:szCs w:val="31"/>
        </w:rPr>
        <w:sectPr>
          <w:footerReference r:id="rId55" w:type="default"/>
          <w:pgSz w:w="11906" w:h="16839"/>
          <w:pgMar w:top="1431" w:right="1388" w:bottom="1151" w:left="1586" w:header="0" w:footer="989" w:gutter="0"/>
          <w:cols w:space="720" w:num="1"/>
        </w:sectPr>
      </w:pPr>
    </w:p>
    <w:p w14:paraId="6E11B428">
      <w:pPr>
        <w:pStyle w:val="2"/>
        <w:spacing w:line="245" w:lineRule="auto"/>
      </w:pPr>
    </w:p>
    <w:p w14:paraId="15AB291B">
      <w:pPr>
        <w:pStyle w:val="2"/>
        <w:spacing w:line="245" w:lineRule="auto"/>
      </w:pPr>
    </w:p>
    <w:p w14:paraId="252E40C7">
      <w:pPr>
        <w:pStyle w:val="2"/>
        <w:spacing w:line="246" w:lineRule="auto"/>
      </w:pPr>
    </w:p>
    <w:p w14:paraId="424C02A7">
      <w:pPr>
        <w:spacing w:before="101" w:line="238" w:lineRule="auto"/>
        <w:ind w:left="654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102</w:t>
      </w:r>
    </w:p>
    <w:p w14:paraId="06E4422C">
      <w:pPr>
        <w:spacing w:before="162" w:line="333" w:lineRule="auto"/>
        <w:ind w:left="24" w:right="272" w:firstLine="54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规划区块东边界以西，规划区块南边界以北，马鞍山山体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以南，华殿线以东合拢区块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范围所示，为</w:t>
      </w:r>
      <w:r>
        <w:rPr>
          <w:rFonts w:ascii="宋体" w:hAnsi="宋体" w:eastAsia="宋体" w:cs="宋体"/>
          <w:spacing w:val="-2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102</w:t>
      </w:r>
      <w:r>
        <w:rPr>
          <w:rFonts w:ascii="Times New Roman" w:hAnsi="Times New Roman" w:eastAsia="Times New Roman" w:cs="Times New Roman"/>
          <w:spacing w:val="3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区划单元范围，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区域面积为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0.572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1087345E">
      <w:pPr>
        <w:spacing w:before="1" w:line="237" w:lineRule="auto"/>
        <w:ind w:left="654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103</w:t>
      </w:r>
    </w:p>
    <w:p w14:paraId="3B42D591">
      <w:pPr>
        <w:spacing w:before="135" w:line="315" w:lineRule="auto"/>
        <w:ind w:right="272" w:firstLine="57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马金溪东南，凤凰南路以北，规划区块东边界以西合拢区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块（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206 </w:t>
      </w:r>
      <w:r>
        <w:rPr>
          <w:rFonts w:ascii="宋体" w:hAnsi="宋体" w:eastAsia="宋体" w:cs="宋体"/>
          <w:spacing w:val="8"/>
          <w:sz w:val="31"/>
          <w:szCs w:val="31"/>
        </w:rPr>
        <w:t>和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209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区块除外）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宋体" w:hAnsi="宋体" w:eastAsia="宋体" w:cs="宋体"/>
          <w:spacing w:val="8"/>
          <w:sz w:val="31"/>
          <w:szCs w:val="31"/>
        </w:rPr>
        <w:t>范围所示，为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103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区</w:t>
      </w:r>
      <w:r>
        <w:rPr>
          <w:rFonts w:ascii="宋体" w:hAnsi="宋体" w:eastAsia="宋体" w:cs="宋体"/>
          <w:spacing w:val="7"/>
          <w:sz w:val="31"/>
          <w:szCs w:val="31"/>
        </w:rPr>
        <w:t>划单元范围，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区域面积为</w:t>
      </w:r>
      <w:r>
        <w:rPr>
          <w:rFonts w:ascii="宋体" w:hAnsi="宋体" w:eastAsia="宋体" w:cs="宋体"/>
          <w:spacing w:val="-2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1.870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2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7374CF75">
      <w:pPr>
        <w:spacing w:before="28" w:line="238" w:lineRule="auto"/>
        <w:ind w:left="654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104</w:t>
      </w:r>
    </w:p>
    <w:p w14:paraId="4C4D9032">
      <w:pPr>
        <w:spacing w:before="137" w:line="301" w:lineRule="auto"/>
        <w:ind w:firstLine="57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宋体" w:hAnsi="宋体" w:eastAsia="宋体" w:cs="宋体"/>
          <w:spacing w:val="15"/>
          <w:sz w:val="31"/>
          <w:szCs w:val="31"/>
        </w:rPr>
        <w:t>凤凰中路和凤凰山以南，古溪路以北，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国道以东，上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-4"/>
          <w:sz w:val="31"/>
          <w:szCs w:val="31"/>
        </w:rPr>
        <w:t>青线以西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”</w:t>
      </w:r>
      <w:r>
        <w:rPr>
          <w:rFonts w:ascii="宋体" w:hAnsi="宋体" w:eastAsia="宋体" w:cs="宋体"/>
          <w:spacing w:val="-4"/>
          <w:sz w:val="31"/>
          <w:szCs w:val="31"/>
        </w:rPr>
        <w:t>范围所示，为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104</w:t>
      </w:r>
      <w:r>
        <w:rPr>
          <w:rFonts w:ascii="Times New Roman" w:hAnsi="Times New Roman" w:eastAsia="Times New Roman" w:cs="Times New Roman"/>
          <w:spacing w:val="39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区划单元范围，区域面</w:t>
      </w:r>
      <w:r>
        <w:rPr>
          <w:rFonts w:ascii="宋体" w:hAnsi="宋体" w:eastAsia="宋体" w:cs="宋体"/>
          <w:spacing w:val="-5"/>
          <w:sz w:val="31"/>
          <w:szCs w:val="31"/>
        </w:rPr>
        <w:t>积为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0.677km</w:t>
      </w:r>
      <w:r>
        <w:rPr>
          <w:rFonts w:ascii="Times New Roman" w:hAnsi="Times New Roman" w:eastAsia="Times New Roman" w:cs="Times New Roman"/>
          <w:spacing w:val="-5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-5"/>
          <w:sz w:val="31"/>
          <w:szCs w:val="31"/>
        </w:rPr>
        <w:t>。</w:t>
      </w:r>
    </w:p>
    <w:p w14:paraId="55A97D02">
      <w:pPr>
        <w:spacing w:before="72" w:line="238" w:lineRule="auto"/>
        <w:ind w:left="654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105</w:t>
      </w:r>
    </w:p>
    <w:p w14:paraId="1D148569">
      <w:pPr>
        <w:spacing w:before="143" w:line="375" w:lineRule="auto"/>
        <w:ind w:left="4" w:right="272" w:firstLine="56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宋体" w:hAnsi="宋体" w:eastAsia="宋体" w:cs="宋体"/>
          <w:spacing w:val="15"/>
          <w:sz w:val="31"/>
          <w:szCs w:val="31"/>
        </w:rPr>
        <w:t>马金溪以东，马金溪以北，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国道以西</w:t>
      </w:r>
      <w:r>
        <w:rPr>
          <w:rFonts w:ascii="宋体" w:hAnsi="宋体" w:eastAsia="宋体" w:cs="宋体"/>
          <w:spacing w:val="14"/>
          <w:sz w:val="31"/>
          <w:szCs w:val="31"/>
        </w:rPr>
        <w:t>合拢区块；规划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区块东边界以西，马金溪以北，山体以南合拢区块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宋体" w:hAnsi="宋体" w:eastAsia="宋体" w:cs="宋体"/>
          <w:spacing w:val="11"/>
          <w:sz w:val="31"/>
          <w:szCs w:val="31"/>
        </w:rPr>
        <w:t>范围所示，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为</w:t>
      </w:r>
      <w:r>
        <w:rPr>
          <w:rFonts w:ascii="宋体" w:hAnsi="宋体" w:eastAsia="宋体" w:cs="宋体"/>
          <w:spacing w:val="-2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105</w:t>
      </w:r>
      <w:r>
        <w:rPr>
          <w:rFonts w:ascii="Times New Roman" w:hAnsi="Times New Roman" w:eastAsia="Times New Roman" w:cs="Times New Roman"/>
          <w:spacing w:val="36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区划单元范围，区域面积为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1.169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2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29EF7643">
      <w:pPr>
        <w:spacing w:before="1" w:line="237" w:lineRule="auto"/>
        <w:ind w:left="654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6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106</w:t>
      </w:r>
    </w:p>
    <w:p w14:paraId="69F2A85A">
      <w:pPr>
        <w:spacing w:before="141" w:line="380" w:lineRule="auto"/>
        <w:ind w:right="272" w:firstLine="57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桃下线以北和以西，规划区块北边界山体以南，规划区块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西边界山体以东合拢区块；桃下线以南和以东，山体以北合拢区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块；城华线以下，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国道以北，山体以东，金丰村北侧道路以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1"/>
          <w:sz w:val="31"/>
          <w:szCs w:val="31"/>
        </w:rPr>
        <w:t>南合拢区块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>”</w:t>
      </w:r>
      <w:r>
        <w:rPr>
          <w:rFonts w:ascii="宋体" w:hAnsi="宋体" w:eastAsia="宋体" w:cs="宋体"/>
          <w:spacing w:val="21"/>
          <w:sz w:val="31"/>
          <w:szCs w:val="31"/>
        </w:rPr>
        <w:t>范围所示</w:t>
      </w:r>
      <w:r>
        <w:rPr>
          <w:rFonts w:ascii="宋体" w:hAnsi="宋体" w:eastAsia="宋体" w:cs="宋体"/>
          <w:spacing w:val="-8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1"/>
          <w:sz w:val="31"/>
          <w:szCs w:val="31"/>
        </w:rPr>
        <w:t xml:space="preserve">，为 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>106</w:t>
      </w:r>
      <w:r>
        <w:rPr>
          <w:rFonts w:ascii="Times New Roman" w:hAnsi="Times New Roman" w:eastAsia="Times New Roman" w:cs="Times New Roman"/>
          <w:spacing w:val="67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1"/>
          <w:sz w:val="31"/>
          <w:szCs w:val="31"/>
        </w:rPr>
        <w:t>区划单元范围</w:t>
      </w:r>
      <w:r>
        <w:rPr>
          <w:rFonts w:ascii="宋体" w:hAnsi="宋体" w:eastAsia="宋体" w:cs="宋体"/>
          <w:spacing w:val="-9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1"/>
          <w:sz w:val="31"/>
          <w:szCs w:val="31"/>
        </w:rPr>
        <w:t>，</w:t>
      </w:r>
      <w:r>
        <w:rPr>
          <w:rFonts w:ascii="宋体" w:hAnsi="宋体" w:eastAsia="宋体" w:cs="宋体"/>
          <w:spacing w:val="-8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1"/>
          <w:sz w:val="31"/>
          <w:szCs w:val="31"/>
        </w:rPr>
        <w:t>区域面积为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0.534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01AB0A59">
      <w:pPr>
        <w:spacing w:line="380" w:lineRule="auto"/>
        <w:rPr>
          <w:rFonts w:ascii="宋体" w:hAnsi="宋体" w:eastAsia="宋体" w:cs="宋体"/>
          <w:sz w:val="31"/>
          <w:szCs w:val="31"/>
        </w:rPr>
        <w:sectPr>
          <w:footerReference r:id="rId56" w:type="default"/>
          <w:pgSz w:w="11906" w:h="16839"/>
          <w:pgMar w:top="1431" w:right="1203" w:bottom="1151" w:left="1597" w:header="0" w:footer="989" w:gutter="0"/>
          <w:cols w:space="720" w:num="1"/>
        </w:sectPr>
      </w:pPr>
    </w:p>
    <w:p w14:paraId="0E9D0027">
      <w:pPr>
        <w:pStyle w:val="2"/>
        <w:spacing w:line="245" w:lineRule="auto"/>
      </w:pPr>
    </w:p>
    <w:p w14:paraId="0DDBFDEE">
      <w:pPr>
        <w:pStyle w:val="2"/>
        <w:spacing w:line="245" w:lineRule="auto"/>
      </w:pPr>
    </w:p>
    <w:p w14:paraId="1E1C8929">
      <w:pPr>
        <w:pStyle w:val="2"/>
        <w:spacing w:line="246" w:lineRule="auto"/>
      </w:pPr>
    </w:p>
    <w:p w14:paraId="0D8A415C">
      <w:pPr>
        <w:spacing w:before="101" w:line="238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107</w:t>
      </w:r>
    </w:p>
    <w:p w14:paraId="58A241D3">
      <w:pPr>
        <w:spacing w:before="140" w:line="374" w:lineRule="auto"/>
        <w:ind w:left="1" w:right="110" w:firstLine="57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“205</w:t>
      </w:r>
      <w:r>
        <w:rPr>
          <w:rFonts w:ascii="Times New Roman" w:hAnsi="Times New Roman" w:eastAsia="Times New Roman" w:cs="Times New Roman"/>
          <w:spacing w:val="5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5"/>
          <w:sz w:val="31"/>
          <w:szCs w:val="31"/>
        </w:rPr>
        <w:t>国道以西，杭长高速以北，高速连接</w:t>
      </w:r>
      <w:r>
        <w:rPr>
          <w:rFonts w:ascii="宋体" w:hAnsi="宋体" w:eastAsia="宋体" w:cs="宋体"/>
          <w:spacing w:val="14"/>
          <w:sz w:val="31"/>
          <w:szCs w:val="31"/>
        </w:rPr>
        <w:t>线以南和以西合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拢区块；马金溪与城白线以北，银辉路以南，银辉路以西合拢区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块；独山村；马金溪以东，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国道以北和以西的下溪村；马金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溪以西和以北，马金路以东，山体以南合拢区块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107</w:t>
      </w:r>
      <w:r>
        <w:rPr>
          <w:rFonts w:ascii="Times New Roman" w:hAnsi="Times New Roman" w:eastAsia="Times New Roman" w:cs="Times New Roman"/>
          <w:spacing w:val="3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区划单元范围，区域面积为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1.131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7B1B8D16">
      <w:pPr>
        <w:spacing w:before="1" w:line="237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8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108</w:t>
      </w:r>
    </w:p>
    <w:p w14:paraId="19E04786">
      <w:pPr>
        <w:spacing w:before="144" w:line="374" w:lineRule="auto"/>
        <w:ind w:left="1" w:right="67" w:firstLine="57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马金溪以南，马金溪以东，规划区块东边界以西，规划区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块南边界以北合拢区块；马金溪以西，华民新村南侧道</w:t>
      </w:r>
      <w:r>
        <w:rPr>
          <w:rFonts w:ascii="宋体" w:hAnsi="宋体" w:eastAsia="宋体" w:cs="宋体"/>
          <w:spacing w:val="6"/>
          <w:sz w:val="31"/>
          <w:szCs w:val="31"/>
        </w:rPr>
        <w:t>路以北，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规划区块西边界山体以东，花牵骨景区北侧以南合拢区块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宋体" w:hAnsi="宋体" w:eastAsia="宋体" w:cs="宋体"/>
          <w:spacing w:val="11"/>
          <w:sz w:val="31"/>
          <w:szCs w:val="31"/>
        </w:rPr>
        <w:t>范围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所示，为</w:t>
      </w:r>
      <w:r>
        <w:rPr>
          <w:rFonts w:ascii="宋体" w:hAnsi="宋体" w:eastAsia="宋体" w:cs="宋体"/>
          <w:spacing w:val="-2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108</w:t>
      </w:r>
      <w:r>
        <w:rPr>
          <w:rFonts w:ascii="Times New Roman" w:hAnsi="Times New Roman" w:eastAsia="Times New Roman" w:cs="Times New Roman"/>
          <w:spacing w:val="39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区划单元范围，区域面积为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1.164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42B292AA">
      <w:pPr>
        <w:spacing w:before="1" w:line="237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9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109</w:t>
      </w:r>
    </w:p>
    <w:p w14:paraId="20B137AD">
      <w:pPr>
        <w:spacing w:before="145" w:line="376" w:lineRule="auto"/>
        <w:ind w:firstLine="57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宋体" w:hAnsi="宋体" w:eastAsia="宋体" w:cs="宋体"/>
          <w:spacing w:val="6"/>
          <w:sz w:val="31"/>
          <w:szCs w:val="31"/>
        </w:rPr>
        <w:t>斐庄线以南，解放路以西，规划区块西边界以东，彩虹路、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解放路和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351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国道以北合拢区块；彩虹路与解放路以南，龙山溪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以北，马金溪以西，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351</w:t>
      </w:r>
      <w:r>
        <w:rPr>
          <w:rFonts w:ascii="Times New Roman" w:hAnsi="Times New Roman" w:eastAsia="Times New Roman" w:cs="Times New Roman"/>
          <w:spacing w:val="5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国道以东合拢区块；龙山溪以南，马金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7"/>
          <w:sz w:val="31"/>
          <w:szCs w:val="31"/>
        </w:rPr>
        <w:t>溪以西，规划区块西边界以东，规划区块南边界以北合拢区块</w:t>
      </w:r>
      <w:r>
        <w:rPr>
          <w:rFonts w:ascii="宋体" w:hAnsi="宋体" w:eastAsia="宋体" w:cs="宋体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207 </w:t>
      </w:r>
      <w:r>
        <w:rPr>
          <w:rFonts w:ascii="宋体" w:hAnsi="宋体" w:eastAsia="宋体" w:cs="宋体"/>
          <w:spacing w:val="7"/>
          <w:sz w:val="31"/>
          <w:szCs w:val="31"/>
        </w:rPr>
        <w:t>和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304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区块除外）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范围所示，为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109</w:t>
      </w:r>
      <w:r>
        <w:rPr>
          <w:rFonts w:ascii="Times New Roman" w:hAnsi="Times New Roman" w:eastAsia="Times New Roman" w:cs="Times New Roman"/>
          <w:spacing w:val="4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区划单元范围，区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域面积为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0.704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7E55DEE2">
      <w:pPr>
        <w:spacing w:before="4" w:line="225" w:lineRule="auto"/>
        <w:ind w:left="641"/>
        <w:outlineLvl w:val="1"/>
        <w:rPr>
          <w:rFonts w:ascii="宋体" w:hAnsi="宋体" w:eastAsia="宋体" w:cs="宋体"/>
          <w:sz w:val="31"/>
          <w:szCs w:val="31"/>
        </w:rPr>
      </w:pPr>
      <w:bookmarkStart w:id="96" w:name="bookmark52"/>
      <w:bookmarkEnd w:id="96"/>
      <w:bookmarkStart w:id="97" w:name="bookmark51"/>
      <w:bookmarkEnd w:id="9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6.2 2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类声环境功能区划分</w:t>
      </w:r>
    </w:p>
    <w:p w14:paraId="17DEEA17">
      <w:pPr>
        <w:spacing w:before="174" w:line="308" w:lineRule="auto"/>
        <w:ind w:right="110"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开化县中心城区共划分</w:t>
      </w:r>
      <w:r>
        <w:rPr>
          <w:rFonts w:ascii="宋体" w:hAnsi="宋体" w:eastAsia="宋体" w:cs="宋体"/>
          <w:spacing w:val="-4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3"/>
          <w:sz w:val="31"/>
          <w:szCs w:val="31"/>
        </w:rPr>
        <w:t>个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3"/>
          <w:sz w:val="31"/>
          <w:szCs w:val="31"/>
        </w:rPr>
        <w:t>类声环境功能区划单元，面积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共计为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6.367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，每个区划单元的地理边界范围如下表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6-2 </w:t>
      </w:r>
      <w:r>
        <w:rPr>
          <w:rFonts w:ascii="宋体" w:hAnsi="宋体" w:eastAsia="宋体" w:cs="宋体"/>
          <w:spacing w:val="4"/>
          <w:sz w:val="31"/>
          <w:szCs w:val="31"/>
        </w:rPr>
        <w:t>和图</w:t>
      </w:r>
    </w:p>
    <w:p w14:paraId="4911856F">
      <w:pPr>
        <w:spacing w:line="308" w:lineRule="auto"/>
        <w:rPr>
          <w:rFonts w:ascii="宋体" w:hAnsi="宋体" w:eastAsia="宋体" w:cs="宋体"/>
          <w:sz w:val="31"/>
          <w:szCs w:val="31"/>
        </w:rPr>
        <w:sectPr>
          <w:footerReference r:id="rId57" w:type="default"/>
          <w:pgSz w:w="11906" w:h="16839"/>
          <w:pgMar w:top="1431" w:right="1365" w:bottom="1151" w:left="1597" w:header="0" w:footer="989" w:gutter="0"/>
          <w:cols w:space="720" w:num="1"/>
        </w:sectPr>
      </w:pPr>
    </w:p>
    <w:p w14:paraId="20A1932B">
      <w:pPr>
        <w:pStyle w:val="2"/>
      </w:pPr>
    </w:p>
    <w:p w14:paraId="5DAA5493">
      <w:pPr>
        <w:pStyle w:val="2"/>
      </w:pPr>
    </w:p>
    <w:p w14:paraId="7A71F432">
      <w:pPr>
        <w:pStyle w:val="2"/>
      </w:pPr>
    </w:p>
    <w:p w14:paraId="3E642EEB">
      <w:pPr>
        <w:spacing w:before="101" w:line="226" w:lineRule="auto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6-9~</w:t>
      </w:r>
      <w:r>
        <w:rPr>
          <w:rFonts w:ascii="Times New Roman" w:hAnsi="Times New Roman" w:eastAsia="Times New Roman" w:cs="Times New Roman"/>
          <w:spacing w:val="-2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图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6-15 </w:t>
      </w:r>
      <w:r>
        <w:rPr>
          <w:rFonts w:ascii="宋体" w:hAnsi="宋体" w:eastAsia="宋体" w:cs="宋体"/>
          <w:spacing w:val="-1"/>
          <w:sz w:val="31"/>
          <w:szCs w:val="31"/>
        </w:rPr>
        <w:t>所示。</w:t>
      </w:r>
    </w:p>
    <w:p w14:paraId="1B2FD106">
      <w:pPr>
        <w:spacing w:before="165" w:line="369" w:lineRule="exact"/>
        <w:ind w:left="126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9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6-2)      </w:t>
      </w:r>
      <w:r>
        <w:rPr>
          <w:rFonts w:ascii="宋体" w:hAnsi="宋体" w:eastAsia="宋体" w:cs="宋体"/>
          <w:position w:val="3"/>
          <w:sz w:val="28"/>
          <w:szCs w:val="28"/>
        </w:rPr>
        <w:t>开化县中心城区</w:t>
      </w:r>
      <w:r>
        <w:rPr>
          <w:rFonts w:ascii="宋体" w:hAnsi="宋体" w:eastAsia="宋体" w:cs="宋体"/>
          <w:spacing w:val="-64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2 </w:t>
      </w:r>
      <w:r>
        <w:rPr>
          <w:rFonts w:ascii="宋体" w:hAnsi="宋体" w:eastAsia="宋体" w:cs="宋体"/>
          <w:position w:val="3"/>
          <w:sz w:val="28"/>
          <w:szCs w:val="28"/>
        </w:rPr>
        <w:t>类声环境功能区一</w:t>
      </w:r>
      <w:r>
        <w:rPr>
          <w:rFonts w:ascii="宋体" w:hAnsi="宋体" w:eastAsia="宋体" w:cs="宋体"/>
          <w:spacing w:val="-1"/>
          <w:position w:val="3"/>
          <w:sz w:val="28"/>
          <w:szCs w:val="28"/>
        </w:rPr>
        <w:t>览表</w:t>
      </w:r>
    </w:p>
    <w:p w14:paraId="06D49442">
      <w:pPr>
        <w:spacing w:line="27" w:lineRule="exact"/>
      </w:pPr>
    </w:p>
    <w:tbl>
      <w:tblPr>
        <w:tblStyle w:val="5"/>
        <w:tblW w:w="8412" w:type="dxa"/>
        <w:tblInd w:w="2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8"/>
        <w:gridCol w:w="5647"/>
        <w:gridCol w:w="1467"/>
      </w:tblGrid>
      <w:tr w14:paraId="42AFB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298" w:type="dxa"/>
            <w:vAlign w:val="top"/>
          </w:tcPr>
          <w:p w14:paraId="3D801541">
            <w:pPr>
              <w:pStyle w:val="6"/>
              <w:spacing w:before="141" w:line="220" w:lineRule="auto"/>
              <w:ind w:left="194"/>
            </w:pPr>
            <w:r>
              <w:rPr>
                <w:spacing w:val="-7"/>
              </w:rPr>
              <w:t>区划代号</w:t>
            </w:r>
          </w:p>
        </w:tc>
        <w:tc>
          <w:tcPr>
            <w:tcW w:w="5647" w:type="dxa"/>
            <w:vAlign w:val="top"/>
          </w:tcPr>
          <w:p w14:paraId="65244FF0">
            <w:pPr>
              <w:pStyle w:val="6"/>
              <w:spacing w:before="141" w:line="221" w:lineRule="auto"/>
              <w:ind w:left="2367"/>
            </w:pPr>
            <w:r>
              <w:rPr>
                <w:spacing w:val="-7"/>
              </w:rPr>
              <w:t>区域范围</w:t>
            </w:r>
          </w:p>
        </w:tc>
        <w:tc>
          <w:tcPr>
            <w:tcW w:w="1467" w:type="dxa"/>
            <w:vAlign w:val="top"/>
          </w:tcPr>
          <w:p w14:paraId="4E8EBDD9">
            <w:pPr>
              <w:pStyle w:val="6"/>
              <w:spacing w:before="103" w:line="361" w:lineRule="exact"/>
              <w:ind w:left="68"/>
            </w:pPr>
            <w:r>
              <w:rPr>
                <w:spacing w:val="-1"/>
                <w:position w:val="2"/>
              </w:rPr>
              <w:t>面积（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"/>
                <w:position w:val="9"/>
                <w:sz w:val="15"/>
                <w:szCs w:val="15"/>
              </w:rPr>
              <w:t>2</w:t>
            </w:r>
            <w:r>
              <w:rPr>
                <w:spacing w:val="-1"/>
                <w:position w:val="2"/>
              </w:rPr>
              <w:t>）</w:t>
            </w:r>
          </w:p>
        </w:tc>
      </w:tr>
      <w:tr w14:paraId="5D762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298" w:type="dxa"/>
            <w:vAlign w:val="top"/>
          </w:tcPr>
          <w:p w14:paraId="1A5ADEF9">
            <w:pPr>
              <w:spacing w:before="21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5647" w:type="dxa"/>
            <w:vAlign w:val="top"/>
          </w:tcPr>
          <w:p w14:paraId="22AD4AED">
            <w:pPr>
              <w:pStyle w:val="6"/>
              <w:spacing w:before="26" w:line="211" w:lineRule="auto"/>
              <w:ind w:left="1172" w:right="122" w:hanging="1041"/>
            </w:pPr>
            <w:r>
              <w:rPr>
                <w:spacing w:val="-1"/>
              </w:rPr>
              <w:t>金坞坪村西侧附近以东，规划区块北边界以南，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11"/>
              </w:rPr>
              <w:t xml:space="preserve"> </w:t>
            </w:r>
            <w:r>
              <w:rPr>
                <w:spacing w:val="-3"/>
              </w:rPr>
              <w:t>国道以西，规划区块南边界以北</w:t>
            </w:r>
          </w:p>
        </w:tc>
        <w:tc>
          <w:tcPr>
            <w:tcW w:w="1467" w:type="dxa"/>
            <w:vAlign w:val="top"/>
          </w:tcPr>
          <w:p w14:paraId="61B2BFA5">
            <w:pPr>
              <w:spacing w:before="212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1.072</w:t>
            </w:r>
          </w:p>
        </w:tc>
      </w:tr>
      <w:tr w14:paraId="74A54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298" w:type="dxa"/>
            <w:vAlign w:val="top"/>
          </w:tcPr>
          <w:p w14:paraId="330390EA">
            <w:pPr>
              <w:spacing w:before="21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5647" w:type="dxa"/>
            <w:vAlign w:val="top"/>
          </w:tcPr>
          <w:p w14:paraId="3F8B3832">
            <w:pPr>
              <w:pStyle w:val="6"/>
              <w:spacing w:before="26" w:line="211" w:lineRule="auto"/>
              <w:ind w:left="1771" w:right="45" w:hanging="1717"/>
            </w:pPr>
            <w:r>
              <w:rPr>
                <w:spacing w:val="-4"/>
              </w:rPr>
              <w:t>桃溪路与山体交接以东，山体以南，桃溪路以西，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205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4"/>
              </w:rPr>
              <w:t>国道与龙顶一路以北</w:t>
            </w:r>
          </w:p>
        </w:tc>
        <w:tc>
          <w:tcPr>
            <w:tcW w:w="1467" w:type="dxa"/>
            <w:vAlign w:val="top"/>
          </w:tcPr>
          <w:p w14:paraId="3CD650C9">
            <w:pPr>
              <w:spacing w:before="2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0.331</w:t>
            </w:r>
          </w:p>
        </w:tc>
      </w:tr>
      <w:tr w14:paraId="5BA87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298" w:type="dxa"/>
            <w:vAlign w:val="top"/>
          </w:tcPr>
          <w:p w14:paraId="51FC7EE7">
            <w:pPr>
              <w:spacing w:line="317" w:lineRule="auto"/>
              <w:rPr>
                <w:rFonts w:ascii="Arial"/>
                <w:sz w:val="21"/>
              </w:rPr>
            </w:pPr>
          </w:p>
          <w:p w14:paraId="60C9392D">
            <w:pPr>
              <w:spacing w:before="69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5647" w:type="dxa"/>
            <w:vAlign w:val="top"/>
          </w:tcPr>
          <w:p w14:paraId="75F8A368">
            <w:pPr>
              <w:pStyle w:val="6"/>
              <w:spacing w:before="34" w:line="220" w:lineRule="auto"/>
              <w:ind w:left="75"/>
            </w:pPr>
            <w:r>
              <w:rPr>
                <w:spacing w:val="-1"/>
              </w:rPr>
              <w:t>西渠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-</w:t>
            </w:r>
            <w:r>
              <w:rPr>
                <w:spacing w:val="-1"/>
              </w:rPr>
              <w:t>玉屏公园以东，马金溪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-</w:t>
            </w:r>
            <w:r>
              <w:rPr>
                <w:spacing w:val="-1"/>
              </w:rPr>
              <w:t>解放街以西，花山路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-</w:t>
            </w:r>
            <w:r>
              <w:rPr>
                <w:spacing w:val="-1"/>
              </w:rPr>
              <w:t>古</w:t>
            </w:r>
          </w:p>
          <w:p w14:paraId="17057278">
            <w:pPr>
              <w:pStyle w:val="6"/>
              <w:spacing w:before="26" w:line="219" w:lineRule="auto"/>
              <w:jc w:val="right"/>
            </w:pPr>
            <w:r>
              <w:rPr>
                <w:spacing w:val="-8"/>
              </w:rPr>
              <w:t>溪路以南，芹南二路以北；湘溪路以南，古溪路以东，</w:t>
            </w:r>
          </w:p>
          <w:p w14:paraId="368C7D23">
            <w:pPr>
              <w:pStyle w:val="6"/>
              <w:spacing w:before="26" w:line="207" w:lineRule="auto"/>
              <w:ind w:left="2353"/>
            </w:pPr>
            <w:r>
              <w:rPr>
                <w:spacing w:val="-4"/>
              </w:rPr>
              <w:t>前山以西</w:t>
            </w:r>
          </w:p>
        </w:tc>
        <w:tc>
          <w:tcPr>
            <w:tcW w:w="1467" w:type="dxa"/>
            <w:vAlign w:val="top"/>
          </w:tcPr>
          <w:p w14:paraId="767465DB">
            <w:pPr>
              <w:spacing w:line="317" w:lineRule="auto"/>
              <w:rPr>
                <w:rFonts w:ascii="Arial"/>
                <w:sz w:val="21"/>
              </w:rPr>
            </w:pPr>
          </w:p>
          <w:p w14:paraId="2AA4294B">
            <w:pPr>
              <w:spacing w:before="69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0.405</w:t>
            </w:r>
          </w:p>
        </w:tc>
      </w:tr>
      <w:tr w14:paraId="5CFF0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98" w:type="dxa"/>
            <w:vAlign w:val="top"/>
          </w:tcPr>
          <w:p w14:paraId="2925D175">
            <w:pPr>
              <w:spacing w:line="472" w:lineRule="auto"/>
              <w:rPr>
                <w:rFonts w:ascii="Arial"/>
                <w:sz w:val="21"/>
              </w:rPr>
            </w:pPr>
          </w:p>
          <w:p w14:paraId="3E48F16A">
            <w:pPr>
              <w:spacing w:before="69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5647" w:type="dxa"/>
            <w:vAlign w:val="top"/>
          </w:tcPr>
          <w:p w14:paraId="6B42EB16">
            <w:pPr>
              <w:pStyle w:val="6"/>
              <w:spacing w:before="35" w:line="220" w:lineRule="auto"/>
              <w:ind w:left="62"/>
            </w:pPr>
            <w:r>
              <w:rPr>
                <w:spacing w:val="-3"/>
              </w:rPr>
              <w:t>马金溪以西，华龙路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-</w:t>
            </w:r>
            <w:r>
              <w:rPr>
                <w:spacing w:val="-3"/>
              </w:rPr>
              <w:t>解放路以东，池淮溪以北，华一</w:t>
            </w:r>
          </w:p>
          <w:p w14:paraId="28B0867B">
            <w:pPr>
              <w:pStyle w:val="6"/>
              <w:spacing w:before="26" w:line="219" w:lineRule="auto"/>
              <w:ind w:left="70"/>
            </w:pPr>
            <w:r>
              <w:t>村北侧以南合拢区块；池淮溪以南，马金溪以</w:t>
            </w:r>
            <w:r>
              <w:rPr>
                <w:spacing w:val="-1"/>
              </w:rPr>
              <w:t>西，解</w:t>
            </w:r>
          </w:p>
          <w:p w14:paraId="50C0D933">
            <w:pPr>
              <w:pStyle w:val="6"/>
              <w:spacing w:before="24" w:line="220" w:lineRule="auto"/>
              <w:ind w:left="129"/>
              <w:rPr>
                <w:rFonts w:ascii="Times New Roman" w:hAnsi="Times New Roman" w:eastAsia="Times New Roman" w:cs="Times New Roman"/>
              </w:rPr>
            </w:pPr>
            <w:r>
              <w:rPr>
                <w:spacing w:val="-1"/>
              </w:rPr>
              <w:t>放路以东，彩虹路以北合拢区块；龙山溪以北，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351</w:t>
            </w:r>
          </w:p>
          <w:p w14:paraId="1E27F0D0">
            <w:pPr>
              <w:pStyle w:val="6"/>
              <w:spacing w:before="25" w:line="208" w:lineRule="auto"/>
              <w:ind w:left="452"/>
            </w:pPr>
            <w:r>
              <w:rPr>
                <w:spacing w:val="-2"/>
              </w:rPr>
              <w:t>国道以南，龙山溪以东，解放路以西合拢区块</w:t>
            </w:r>
          </w:p>
        </w:tc>
        <w:tc>
          <w:tcPr>
            <w:tcW w:w="1467" w:type="dxa"/>
            <w:vAlign w:val="top"/>
          </w:tcPr>
          <w:p w14:paraId="1A8461DB">
            <w:pPr>
              <w:spacing w:line="472" w:lineRule="auto"/>
              <w:rPr>
                <w:rFonts w:ascii="Arial"/>
                <w:sz w:val="21"/>
              </w:rPr>
            </w:pPr>
          </w:p>
          <w:p w14:paraId="50FE219E">
            <w:pPr>
              <w:spacing w:before="69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0.479</w:t>
            </w:r>
          </w:p>
        </w:tc>
      </w:tr>
      <w:tr w14:paraId="4B720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298" w:type="dxa"/>
            <w:vAlign w:val="top"/>
          </w:tcPr>
          <w:p w14:paraId="0EE0017F">
            <w:pPr>
              <w:spacing w:line="318" w:lineRule="auto"/>
              <w:rPr>
                <w:rFonts w:ascii="Arial"/>
                <w:sz w:val="21"/>
              </w:rPr>
            </w:pPr>
          </w:p>
          <w:p w14:paraId="313F61AF">
            <w:pPr>
              <w:spacing w:before="69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5647" w:type="dxa"/>
            <w:vAlign w:val="top"/>
          </w:tcPr>
          <w:p w14:paraId="4F03ED75">
            <w:pPr>
              <w:pStyle w:val="6"/>
              <w:spacing w:before="36" w:line="220" w:lineRule="auto"/>
              <w:ind w:left="107"/>
            </w:pPr>
            <w:r>
              <w:rPr>
                <w:spacing w:val="-2"/>
              </w:rPr>
              <w:t>马金溪以南，马金溪以西，生态三路以北，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5</w:t>
            </w:r>
            <w:r>
              <w:rPr>
                <w:rFonts w:ascii="Times New Roman" w:hAnsi="Times New Roman" w:eastAsia="Times New Roman" w:cs="Times New Roman"/>
                <w:spacing w:val="33"/>
              </w:rPr>
              <w:t xml:space="preserve"> </w:t>
            </w:r>
            <w:r>
              <w:rPr>
                <w:spacing w:val="-3"/>
              </w:rPr>
              <w:t>国道</w:t>
            </w:r>
          </w:p>
          <w:p w14:paraId="645629A3">
            <w:pPr>
              <w:pStyle w:val="6"/>
              <w:spacing w:before="25" w:line="220" w:lineRule="auto"/>
              <w:ind w:left="127"/>
            </w:pPr>
            <w:r>
              <w:rPr>
                <w:spacing w:val="-3"/>
              </w:rPr>
              <w:t>以东合拢区块；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4"/>
                <w:w w:val="101"/>
              </w:rPr>
              <w:t xml:space="preserve"> </w:t>
            </w:r>
            <w:r>
              <w:rPr>
                <w:spacing w:val="-3"/>
              </w:rPr>
              <w:t>国道以西，高速连接线以北，银</w:t>
            </w:r>
          </w:p>
          <w:p w14:paraId="00C55545">
            <w:pPr>
              <w:pStyle w:val="6"/>
              <w:spacing w:before="23" w:line="208" w:lineRule="auto"/>
              <w:ind w:left="1035"/>
            </w:pPr>
            <w:r>
              <w:rPr>
                <w:spacing w:val="-2"/>
              </w:rPr>
              <w:t>川路以东，青联新村以南合拢区块</w:t>
            </w:r>
          </w:p>
        </w:tc>
        <w:tc>
          <w:tcPr>
            <w:tcW w:w="1467" w:type="dxa"/>
            <w:vAlign w:val="top"/>
          </w:tcPr>
          <w:p w14:paraId="14DBBC01">
            <w:pPr>
              <w:spacing w:line="318" w:lineRule="auto"/>
              <w:rPr>
                <w:rFonts w:ascii="Arial"/>
                <w:sz w:val="21"/>
              </w:rPr>
            </w:pPr>
          </w:p>
          <w:p w14:paraId="3A801525">
            <w:pPr>
              <w:spacing w:before="69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0.716</w:t>
            </w:r>
          </w:p>
        </w:tc>
      </w:tr>
      <w:tr w14:paraId="5BA57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1298" w:type="dxa"/>
            <w:vAlign w:val="top"/>
          </w:tcPr>
          <w:p w14:paraId="2C893151">
            <w:pPr>
              <w:spacing w:line="314" w:lineRule="auto"/>
              <w:rPr>
                <w:rFonts w:ascii="Arial"/>
                <w:sz w:val="21"/>
              </w:rPr>
            </w:pPr>
          </w:p>
          <w:p w14:paraId="487EBEB6">
            <w:pPr>
              <w:spacing w:line="315" w:lineRule="auto"/>
              <w:rPr>
                <w:rFonts w:ascii="Arial"/>
                <w:sz w:val="21"/>
              </w:rPr>
            </w:pPr>
          </w:p>
          <w:p w14:paraId="517BCA30">
            <w:pPr>
              <w:spacing w:before="69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5647" w:type="dxa"/>
            <w:vAlign w:val="top"/>
          </w:tcPr>
          <w:p w14:paraId="6E985043">
            <w:pPr>
              <w:pStyle w:val="6"/>
              <w:spacing w:before="38" w:line="234" w:lineRule="auto"/>
              <w:ind w:left="69" w:right="62"/>
              <w:jc w:val="both"/>
            </w:pPr>
            <w:r>
              <w:rPr>
                <w:spacing w:val="-1"/>
              </w:rPr>
              <w:t>桃下线以北，规划区块西边界以东，规划区块北边界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山体以南，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4"/>
                <w:w w:val="101"/>
              </w:rPr>
              <w:t xml:space="preserve"> </w:t>
            </w:r>
            <w:r>
              <w:rPr>
                <w:spacing w:val="-1"/>
              </w:rPr>
              <w:t>国道以西合拢区块；马金溪以东，开</w:t>
            </w:r>
            <w:r>
              <w:t xml:space="preserve"> </w:t>
            </w:r>
            <w:r>
              <w:rPr>
                <w:spacing w:val="-1"/>
              </w:rPr>
              <w:t>元路以西，江宁路以北，开元路与马金溪以南合拢区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块；马金溪与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</w:rPr>
              <w:t xml:space="preserve"> </w:t>
            </w:r>
            <w:r>
              <w:rPr>
                <w:spacing w:val="-2"/>
              </w:rPr>
              <w:t>国道以西，金丰村北侧道路以北，</w:t>
            </w:r>
          </w:p>
          <w:p w14:paraId="1ED423E9">
            <w:pPr>
              <w:pStyle w:val="6"/>
              <w:spacing w:before="27" w:line="206" w:lineRule="auto"/>
              <w:ind w:left="1082"/>
            </w:pPr>
            <w:r>
              <w:rPr>
                <w:spacing w:val="-4"/>
              </w:rPr>
              <w:t>山体以东，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</w:rPr>
              <w:t xml:space="preserve"> </w:t>
            </w:r>
            <w:r>
              <w:rPr>
                <w:spacing w:val="-4"/>
              </w:rPr>
              <w:t>国道以南合拢区块</w:t>
            </w:r>
          </w:p>
        </w:tc>
        <w:tc>
          <w:tcPr>
            <w:tcW w:w="1467" w:type="dxa"/>
            <w:vAlign w:val="top"/>
          </w:tcPr>
          <w:p w14:paraId="78C3C458">
            <w:pPr>
              <w:spacing w:line="314" w:lineRule="auto"/>
              <w:rPr>
                <w:rFonts w:ascii="Arial"/>
                <w:sz w:val="21"/>
              </w:rPr>
            </w:pPr>
          </w:p>
          <w:p w14:paraId="60449210">
            <w:pPr>
              <w:spacing w:line="315" w:lineRule="auto"/>
              <w:rPr>
                <w:rFonts w:ascii="Arial"/>
                <w:sz w:val="21"/>
              </w:rPr>
            </w:pPr>
          </w:p>
          <w:p w14:paraId="2EAD8E51">
            <w:pPr>
              <w:spacing w:before="69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1.033</w:t>
            </w:r>
          </w:p>
        </w:tc>
      </w:tr>
      <w:tr w14:paraId="7BB04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298" w:type="dxa"/>
            <w:vAlign w:val="top"/>
          </w:tcPr>
          <w:p w14:paraId="27FE4D96">
            <w:pPr>
              <w:spacing w:line="476" w:lineRule="auto"/>
              <w:rPr>
                <w:rFonts w:ascii="Arial"/>
                <w:sz w:val="21"/>
              </w:rPr>
            </w:pPr>
          </w:p>
          <w:p w14:paraId="2E009CE4">
            <w:pPr>
              <w:spacing w:before="69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5647" w:type="dxa"/>
            <w:vAlign w:val="top"/>
          </w:tcPr>
          <w:p w14:paraId="03549703">
            <w:pPr>
              <w:pStyle w:val="6"/>
              <w:spacing w:before="38" w:line="220" w:lineRule="auto"/>
              <w:ind w:left="76"/>
            </w:pPr>
            <w:r>
              <w:rPr>
                <w:spacing w:val="-1"/>
              </w:rPr>
              <w:t>马金溪以东，马金溪以北，规划区块北边界和江东一</w:t>
            </w:r>
          </w:p>
          <w:p w14:paraId="62EF5DCF">
            <w:pPr>
              <w:pStyle w:val="6"/>
              <w:spacing w:before="26" w:line="220" w:lineRule="auto"/>
              <w:ind w:left="71"/>
            </w:pPr>
            <w:r>
              <w:rPr>
                <w:spacing w:val="-1"/>
              </w:rPr>
              <w:t>路以南，江东一路和华殿线以西合拢区块；马金溪以</w:t>
            </w:r>
          </w:p>
          <w:p w14:paraId="162DF842">
            <w:pPr>
              <w:pStyle w:val="6"/>
              <w:spacing w:before="23" w:line="220" w:lineRule="auto"/>
              <w:ind w:left="72"/>
            </w:pPr>
            <w:r>
              <w:rPr>
                <w:spacing w:val="-1"/>
              </w:rPr>
              <w:t>南，马金溪以西，衢九铁路以北，叶西路以东合拢区</w:t>
            </w:r>
          </w:p>
          <w:p w14:paraId="24AB8546">
            <w:pPr>
              <w:pStyle w:val="6"/>
              <w:spacing w:before="26" w:line="205" w:lineRule="auto"/>
              <w:ind w:left="2709"/>
            </w:pPr>
            <w:r>
              <w:t>块</w:t>
            </w:r>
          </w:p>
        </w:tc>
        <w:tc>
          <w:tcPr>
            <w:tcW w:w="1467" w:type="dxa"/>
            <w:vAlign w:val="top"/>
          </w:tcPr>
          <w:p w14:paraId="3E114531">
            <w:pPr>
              <w:spacing w:line="476" w:lineRule="auto"/>
              <w:rPr>
                <w:rFonts w:ascii="Arial"/>
                <w:sz w:val="21"/>
              </w:rPr>
            </w:pPr>
          </w:p>
          <w:p w14:paraId="6CF37F6E">
            <w:pPr>
              <w:spacing w:before="69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1.718</w:t>
            </w:r>
          </w:p>
        </w:tc>
      </w:tr>
      <w:tr w14:paraId="574219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298" w:type="dxa"/>
            <w:vAlign w:val="top"/>
          </w:tcPr>
          <w:p w14:paraId="34F92ED6">
            <w:pPr>
              <w:spacing w:line="322" w:lineRule="auto"/>
              <w:rPr>
                <w:rFonts w:ascii="Arial"/>
                <w:sz w:val="21"/>
              </w:rPr>
            </w:pPr>
          </w:p>
          <w:p w14:paraId="6EA9074C">
            <w:pPr>
              <w:spacing w:before="69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5647" w:type="dxa"/>
            <w:vAlign w:val="top"/>
          </w:tcPr>
          <w:p w14:paraId="6247EDAD">
            <w:pPr>
              <w:pStyle w:val="6"/>
              <w:spacing w:before="40" w:line="219" w:lineRule="auto"/>
              <w:ind w:left="76"/>
            </w:pPr>
            <w:r>
              <w:rPr>
                <w:spacing w:val="-1"/>
              </w:rPr>
              <w:t>马金溪以北，马金溪以西，皂角上以东，新下村南侧</w:t>
            </w:r>
          </w:p>
          <w:p w14:paraId="236AFE23">
            <w:pPr>
              <w:pStyle w:val="6"/>
              <w:spacing w:before="26" w:line="222" w:lineRule="auto"/>
              <w:ind w:left="549" w:right="118" w:hanging="453"/>
            </w:pPr>
            <w:r>
              <w:rPr>
                <w:spacing w:val="-4"/>
              </w:rPr>
              <w:t>以南合拢区块；马金溪以东，规划区块南边界</w:t>
            </w:r>
            <w:r>
              <w:rPr>
                <w:spacing w:val="-5"/>
              </w:rPr>
              <w:t>以北，</w:t>
            </w:r>
            <w:r>
              <w:t xml:space="preserve"> </w:t>
            </w:r>
            <w:r>
              <w:rPr>
                <w:spacing w:val="-1"/>
              </w:rPr>
              <w:t>规划区块东边界以西，城白线以南合拢区块</w:t>
            </w:r>
          </w:p>
        </w:tc>
        <w:tc>
          <w:tcPr>
            <w:tcW w:w="1467" w:type="dxa"/>
            <w:vAlign w:val="top"/>
          </w:tcPr>
          <w:p w14:paraId="6E5F339B">
            <w:pPr>
              <w:spacing w:line="322" w:lineRule="auto"/>
              <w:rPr>
                <w:rFonts w:ascii="Arial"/>
                <w:sz w:val="21"/>
              </w:rPr>
            </w:pPr>
          </w:p>
          <w:p w14:paraId="59E82705">
            <w:pPr>
              <w:spacing w:before="69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0.378</w:t>
            </w:r>
          </w:p>
        </w:tc>
      </w:tr>
      <w:tr w14:paraId="25F3B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298" w:type="dxa"/>
            <w:vAlign w:val="top"/>
          </w:tcPr>
          <w:p w14:paraId="35C05FDE">
            <w:pPr>
              <w:spacing w:before="236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5647" w:type="dxa"/>
            <w:vAlign w:val="top"/>
          </w:tcPr>
          <w:p w14:paraId="3B2432C4">
            <w:pPr>
              <w:pStyle w:val="6"/>
              <w:spacing w:before="38" w:line="224" w:lineRule="auto"/>
              <w:ind w:left="911" w:right="62" w:hanging="836"/>
            </w:pPr>
            <w:r>
              <w:rPr>
                <w:spacing w:val="-1"/>
              </w:rPr>
              <w:t>古溪路与规划区块南边界以及东边界合拢区块；古溪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路与西侧山体以及北侧山体合拢区块</w:t>
            </w:r>
          </w:p>
        </w:tc>
        <w:tc>
          <w:tcPr>
            <w:tcW w:w="1467" w:type="dxa"/>
            <w:vAlign w:val="top"/>
          </w:tcPr>
          <w:p w14:paraId="0B0893BE">
            <w:pPr>
              <w:spacing w:before="236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0.234</w:t>
            </w:r>
          </w:p>
        </w:tc>
      </w:tr>
    </w:tbl>
    <w:p w14:paraId="6E674255">
      <w:pPr>
        <w:pStyle w:val="2"/>
      </w:pPr>
    </w:p>
    <w:p w14:paraId="7C5CAA56">
      <w:pPr>
        <w:sectPr>
          <w:footerReference r:id="rId58" w:type="default"/>
          <w:pgSz w:w="11906" w:h="16839"/>
          <w:pgMar w:top="1431" w:right="1688" w:bottom="1151" w:left="1600" w:header="0" w:footer="989" w:gutter="0"/>
          <w:cols w:space="720" w:num="1"/>
        </w:sectPr>
      </w:pPr>
    </w:p>
    <w:p w14:paraId="44B346F1">
      <w:pPr>
        <w:pStyle w:val="2"/>
        <w:spacing w:line="252" w:lineRule="auto"/>
      </w:pPr>
    </w:p>
    <w:p w14:paraId="13E4A303">
      <w:pPr>
        <w:pStyle w:val="2"/>
        <w:spacing w:line="252" w:lineRule="auto"/>
      </w:pPr>
    </w:p>
    <w:p w14:paraId="58C291D1">
      <w:pPr>
        <w:pStyle w:val="2"/>
        <w:spacing w:line="253" w:lineRule="auto"/>
      </w:pPr>
    </w:p>
    <w:p w14:paraId="53BC0464">
      <w:pPr>
        <w:spacing w:line="8232" w:lineRule="exact"/>
      </w:pPr>
      <w:r>
        <w:rPr>
          <w:position w:val="-164"/>
        </w:rPr>
        <w:drawing>
          <wp:inline distT="0" distB="0" distL="0" distR="0">
            <wp:extent cx="5551805" cy="52266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551932" cy="522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1531">
      <w:pPr>
        <w:spacing w:before="304" w:line="220" w:lineRule="auto"/>
        <w:ind w:left="24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图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6-9.</w:t>
      </w:r>
      <w:r>
        <w:rPr>
          <w:rFonts w:ascii="Times New Roman" w:hAnsi="Times New Roman" w:eastAsia="Times New Roman" w:cs="Times New Roman"/>
          <w:spacing w:val="8"/>
          <w:sz w:val="28"/>
          <w:szCs w:val="28"/>
        </w:rPr>
        <w:t xml:space="preserve">     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201~203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区划单元分布</w:t>
      </w:r>
    </w:p>
    <w:p w14:paraId="68E47308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59" w:type="default"/>
          <w:pgSz w:w="11906" w:h="16839"/>
          <w:pgMar w:top="1431" w:right="1533" w:bottom="1149" w:left="1629" w:header="0" w:footer="989" w:gutter="0"/>
          <w:cols w:space="720" w:num="1"/>
        </w:sectPr>
      </w:pPr>
    </w:p>
    <w:p w14:paraId="1B201547">
      <w:pPr>
        <w:pStyle w:val="2"/>
        <w:spacing w:line="256" w:lineRule="auto"/>
      </w:pPr>
    </w:p>
    <w:p w14:paraId="7DD1F75D">
      <w:pPr>
        <w:pStyle w:val="2"/>
        <w:spacing w:line="256" w:lineRule="auto"/>
      </w:pPr>
    </w:p>
    <w:p w14:paraId="7316198E">
      <w:pPr>
        <w:pStyle w:val="2"/>
        <w:spacing w:line="257" w:lineRule="auto"/>
      </w:pPr>
    </w:p>
    <w:p w14:paraId="3CD98E8C">
      <w:pPr>
        <w:spacing w:line="9139" w:lineRule="exact"/>
      </w:pPr>
      <w:r>
        <w:rPr>
          <w:position w:val="-182"/>
        </w:rPr>
        <w:drawing>
          <wp:inline distT="0" distB="0" distL="0" distR="0">
            <wp:extent cx="5624830" cy="580326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58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E431">
      <w:pPr>
        <w:spacing w:before="321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6-10.</w:t>
      </w:r>
      <w:r>
        <w:rPr>
          <w:rFonts w:ascii="Times New Roman" w:hAnsi="Times New Roman" w:eastAsia="Times New Roman" w:cs="Times New Roman"/>
          <w:spacing w:val="13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204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4BCDC426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0" w:type="default"/>
          <w:pgSz w:w="11906" w:h="16839"/>
          <w:pgMar w:top="1431" w:right="1461" w:bottom="1151" w:left="1586" w:header="0" w:footer="989" w:gutter="0"/>
          <w:cols w:space="720" w:num="1"/>
        </w:sectPr>
      </w:pPr>
    </w:p>
    <w:p w14:paraId="76C9A9EC">
      <w:pPr>
        <w:pStyle w:val="2"/>
        <w:spacing w:line="264" w:lineRule="auto"/>
      </w:pPr>
    </w:p>
    <w:p w14:paraId="2374C360">
      <w:pPr>
        <w:pStyle w:val="2"/>
        <w:spacing w:line="264" w:lineRule="auto"/>
      </w:pPr>
    </w:p>
    <w:p w14:paraId="0562D4F9">
      <w:pPr>
        <w:pStyle w:val="2"/>
        <w:spacing w:line="265" w:lineRule="auto"/>
      </w:pPr>
    </w:p>
    <w:p w14:paraId="292763EC">
      <w:pPr>
        <w:spacing w:line="8472" w:lineRule="exact"/>
      </w:pPr>
      <w:r>
        <w:rPr>
          <w:position w:val="-169"/>
        </w:rPr>
        <w:drawing>
          <wp:inline distT="0" distB="0" distL="0" distR="0">
            <wp:extent cx="5391785" cy="537972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10F7">
      <w:pPr>
        <w:pStyle w:val="2"/>
        <w:spacing w:line="247" w:lineRule="auto"/>
      </w:pPr>
    </w:p>
    <w:p w14:paraId="163286C0">
      <w:pPr>
        <w:spacing w:before="91" w:line="220" w:lineRule="auto"/>
        <w:ind w:left="257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图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6-11.</w:t>
      </w:r>
      <w:r>
        <w:rPr>
          <w:rFonts w:ascii="Times New Roman" w:hAnsi="Times New Roman" w:eastAsia="Times New Roman" w:cs="Times New Roman"/>
          <w:spacing w:val="14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205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区划单元分布</w:t>
      </w:r>
    </w:p>
    <w:p w14:paraId="7139C8B6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1" w:type="default"/>
          <w:pgSz w:w="11906" w:h="16839"/>
          <w:pgMar w:top="1431" w:right="1653" w:bottom="1149" w:left="1761" w:header="0" w:footer="989" w:gutter="0"/>
          <w:cols w:space="720" w:num="1"/>
        </w:sectPr>
      </w:pPr>
    </w:p>
    <w:p w14:paraId="3DF1839F">
      <w:pPr>
        <w:pStyle w:val="2"/>
        <w:spacing w:line="252" w:lineRule="auto"/>
      </w:pPr>
    </w:p>
    <w:p w14:paraId="260F4FB8">
      <w:pPr>
        <w:pStyle w:val="2"/>
        <w:spacing w:line="252" w:lineRule="auto"/>
      </w:pPr>
    </w:p>
    <w:p w14:paraId="2271D306">
      <w:pPr>
        <w:pStyle w:val="2"/>
        <w:spacing w:line="253" w:lineRule="auto"/>
      </w:pPr>
    </w:p>
    <w:p w14:paraId="148F1849">
      <w:pPr>
        <w:spacing w:line="6663" w:lineRule="exact"/>
      </w:pPr>
      <w:r>
        <w:rPr>
          <w:position w:val="-133"/>
        </w:rPr>
        <w:drawing>
          <wp:inline distT="0" distB="0" distL="0" distR="0">
            <wp:extent cx="5630545" cy="423037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31179" cy="423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463C">
      <w:pPr>
        <w:spacing w:before="314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6-12.</w:t>
      </w:r>
      <w:r>
        <w:rPr>
          <w:rFonts w:ascii="Times New Roman" w:hAnsi="Times New Roman" w:eastAsia="Times New Roman" w:cs="Times New Roman"/>
          <w:spacing w:val="13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206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4ED25871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2" w:type="default"/>
          <w:pgSz w:w="11906" w:h="16839"/>
          <w:pgMar w:top="1431" w:right="1451" w:bottom="1151" w:left="1586" w:header="0" w:footer="989" w:gutter="0"/>
          <w:cols w:space="720" w:num="1"/>
        </w:sectPr>
      </w:pPr>
    </w:p>
    <w:p w14:paraId="015FED5C">
      <w:pPr>
        <w:pStyle w:val="2"/>
        <w:spacing w:line="268" w:lineRule="auto"/>
      </w:pPr>
    </w:p>
    <w:p w14:paraId="2215E68C">
      <w:pPr>
        <w:pStyle w:val="2"/>
        <w:spacing w:line="268" w:lineRule="auto"/>
      </w:pPr>
    </w:p>
    <w:p w14:paraId="4AEC03AF">
      <w:pPr>
        <w:pStyle w:val="2"/>
        <w:spacing w:line="269" w:lineRule="auto"/>
      </w:pPr>
    </w:p>
    <w:p w14:paraId="3C2028EC">
      <w:pPr>
        <w:spacing w:line="8738" w:lineRule="exact"/>
      </w:pPr>
      <w:r>
        <w:rPr>
          <w:position w:val="-174"/>
        </w:rPr>
        <w:drawing>
          <wp:inline distT="0" distB="0" distL="0" distR="0">
            <wp:extent cx="5548630" cy="554863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48883" cy="55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E74A">
      <w:pPr>
        <w:pStyle w:val="2"/>
        <w:spacing w:line="281" w:lineRule="auto"/>
      </w:pPr>
    </w:p>
    <w:p w14:paraId="05E5ADDF">
      <w:pPr>
        <w:spacing w:before="91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6-13.</w:t>
      </w:r>
      <w:r>
        <w:rPr>
          <w:rFonts w:ascii="Times New Roman" w:hAnsi="Times New Roman" w:eastAsia="Times New Roman" w:cs="Times New Roman"/>
          <w:spacing w:val="13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207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2DE29B83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3" w:type="default"/>
          <w:pgSz w:w="11906" w:h="16839"/>
          <w:pgMar w:top="1431" w:right="1581" w:bottom="1151" w:left="1586" w:header="0" w:footer="989" w:gutter="0"/>
          <w:cols w:space="720" w:num="1"/>
        </w:sectPr>
      </w:pPr>
    </w:p>
    <w:p w14:paraId="0F423C00">
      <w:pPr>
        <w:pStyle w:val="2"/>
        <w:spacing w:line="256" w:lineRule="auto"/>
      </w:pPr>
    </w:p>
    <w:p w14:paraId="11D6AD1E">
      <w:pPr>
        <w:pStyle w:val="2"/>
        <w:spacing w:line="256" w:lineRule="auto"/>
      </w:pPr>
    </w:p>
    <w:p w14:paraId="4749C86B">
      <w:pPr>
        <w:pStyle w:val="2"/>
        <w:spacing w:line="257" w:lineRule="auto"/>
      </w:pPr>
    </w:p>
    <w:p w14:paraId="4E625380">
      <w:pPr>
        <w:spacing w:line="7896" w:lineRule="exact"/>
      </w:pPr>
      <w:r>
        <w:rPr>
          <w:position w:val="-157"/>
        </w:rPr>
        <w:drawing>
          <wp:inline distT="0" distB="0" distL="0" distR="0">
            <wp:extent cx="5597525" cy="50133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597652" cy="50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A943">
      <w:pPr>
        <w:spacing w:before="316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6-14.</w:t>
      </w:r>
      <w:r>
        <w:rPr>
          <w:rFonts w:ascii="Times New Roman" w:hAnsi="Times New Roman" w:eastAsia="Times New Roman" w:cs="Times New Roman"/>
          <w:spacing w:val="13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208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34A8E2A4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4" w:type="default"/>
          <w:pgSz w:w="11906" w:h="16839"/>
          <w:pgMar w:top="1431" w:right="1504" w:bottom="1151" w:left="1586" w:header="0" w:footer="989" w:gutter="0"/>
          <w:cols w:space="720" w:num="1"/>
        </w:sectPr>
      </w:pPr>
    </w:p>
    <w:p w14:paraId="30928F60">
      <w:pPr>
        <w:pStyle w:val="2"/>
        <w:spacing w:line="331" w:lineRule="auto"/>
      </w:pPr>
    </w:p>
    <w:p w14:paraId="221E27A2">
      <w:pPr>
        <w:pStyle w:val="2"/>
        <w:spacing w:line="331" w:lineRule="auto"/>
      </w:pPr>
    </w:p>
    <w:p w14:paraId="3FB885E6">
      <w:pPr>
        <w:spacing w:line="9336" w:lineRule="exact"/>
      </w:pPr>
      <w:r>
        <w:rPr>
          <w:position w:val="-186"/>
        </w:rPr>
        <w:drawing>
          <wp:inline distT="0" distB="0" distL="0" distR="0">
            <wp:extent cx="5605145" cy="59277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05271" cy="592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C1FE">
      <w:pPr>
        <w:spacing w:before="232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6-15.</w:t>
      </w:r>
      <w:r>
        <w:rPr>
          <w:rFonts w:ascii="Times New Roman" w:hAnsi="Times New Roman" w:eastAsia="Times New Roman" w:cs="Times New Roman"/>
          <w:spacing w:val="13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209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2F6D4BFC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5" w:type="default"/>
          <w:pgSz w:w="11906" w:h="16839"/>
          <w:pgMar w:top="1431" w:right="1492" w:bottom="1151" w:left="1586" w:header="0" w:footer="989" w:gutter="0"/>
          <w:cols w:space="720" w:num="1"/>
        </w:sectPr>
      </w:pPr>
    </w:p>
    <w:p w14:paraId="71A3E1D9">
      <w:pPr>
        <w:pStyle w:val="2"/>
        <w:spacing w:line="245" w:lineRule="auto"/>
      </w:pPr>
    </w:p>
    <w:p w14:paraId="6B9DC28F">
      <w:pPr>
        <w:pStyle w:val="2"/>
        <w:spacing w:line="245" w:lineRule="auto"/>
      </w:pPr>
    </w:p>
    <w:p w14:paraId="03ED8B84">
      <w:pPr>
        <w:pStyle w:val="2"/>
        <w:spacing w:line="246" w:lineRule="auto"/>
      </w:pPr>
    </w:p>
    <w:p w14:paraId="0EA989F4">
      <w:pPr>
        <w:spacing w:before="101" w:line="238" w:lineRule="auto"/>
        <w:ind w:left="65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201</w:t>
      </w:r>
    </w:p>
    <w:p w14:paraId="16CFA675">
      <w:pPr>
        <w:spacing w:before="113" w:line="295" w:lineRule="auto"/>
        <w:ind w:left="26" w:right="2" w:firstLine="546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宋体" w:hAnsi="宋体" w:eastAsia="宋体" w:cs="宋体"/>
          <w:spacing w:val="15"/>
          <w:sz w:val="31"/>
          <w:szCs w:val="31"/>
        </w:rPr>
        <w:t>金坞坪村西侧附近以东，规划区块北边界以</w:t>
      </w:r>
      <w:r>
        <w:rPr>
          <w:rFonts w:ascii="宋体" w:hAnsi="宋体" w:eastAsia="宋体" w:cs="宋体"/>
          <w:spacing w:val="14"/>
          <w:sz w:val="31"/>
          <w:szCs w:val="31"/>
        </w:rPr>
        <w:t>南，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国道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以西，规划区块南边界以北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宋体" w:hAnsi="宋体" w:eastAsia="宋体" w:cs="宋体"/>
          <w:spacing w:val="8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201</w:t>
      </w:r>
      <w:r>
        <w:rPr>
          <w:rFonts w:ascii="Times New Roman" w:hAnsi="Times New Roman" w:eastAsia="Times New Roman" w:cs="Times New Roman"/>
          <w:spacing w:val="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区划单元范围，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区域面积为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1.072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1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1"/>
          <w:sz w:val="31"/>
          <w:szCs w:val="31"/>
        </w:rPr>
        <w:t>。</w:t>
      </w:r>
    </w:p>
    <w:p w14:paraId="7177C980">
      <w:pPr>
        <w:spacing w:before="43" w:line="238" w:lineRule="auto"/>
        <w:ind w:left="65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202</w:t>
      </w:r>
    </w:p>
    <w:p w14:paraId="35DC9280">
      <w:pPr>
        <w:spacing w:before="138" w:line="322" w:lineRule="auto"/>
        <w:ind w:left="1" w:right="2" w:firstLine="57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宋体" w:hAnsi="宋体" w:eastAsia="宋体" w:cs="宋体"/>
          <w:spacing w:val="15"/>
          <w:sz w:val="31"/>
          <w:szCs w:val="31"/>
        </w:rPr>
        <w:t>桃溪路与山体交接以东，山体以南，桃溪路</w:t>
      </w:r>
      <w:r>
        <w:rPr>
          <w:rFonts w:ascii="宋体" w:hAnsi="宋体" w:eastAsia="宋体" w:cs="宋体"/>
          <w:spacing w:val="14"/>
          <w:sz w:val="31"/>
          <w:szCs w:val="31"/>
        </w:rPr>
        <w:t>以西，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国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道与龙顶一路以北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202</w:t>
      </w:r>
      <w:r>
        <w:rPr>
          <w:rFonts w:ascii="Times New Roman" w:hAnsi="Times New Roman" w:eastAsia="Times New Roman" w:cs="Times New Roman"/>
          <w:spacing w:val="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区划单元范围，区域面积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为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0.331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2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7B0A5374">
      <w:pPr>
        <w:spacing w:before="16" w:line="238" w:lineRule="auto"/>
        <w:ind w:left="65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203</w:t>
      </w:r>
    </w:p>
    <w:p w14:paraId="56817A5F">
      <w:pPr>
        <w:spacing w:before="135" w:line="315" w:lineRule="auto"/>
        <w:ind w:left="31" w:firstLine="54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宋体" w:hAnsi="宋体" w:eastAsia="宋体" w:cs="宋体"/>
          <w:spacing w:val="13"/>
          <w:sz w:val="31"/>
          <w:szCs w:val="31"/>
        </w:rPr>
        <w:t>西渠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-</w:t>
      </w:r>
      <w:r>
        <w:rPr>
          <w:rFonts w:ascii="宋体" w:hAnsi="宋体" w:eastAsia="宋体" w:cs="宋体"/>
          <w:spacing w:val="13"/>
          <w:sz w:val="31"/>
          <w:szCs w:val="31"/>
        </w:rPr>
        <w:t>玉屏公园以东，马金溪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-</w:t>
      </w:r>
      <w:r>
        <w:rPr>
          <w:rFonts w:ascii="宋体" w:hAnsi="宋体" w:eastAsia="宋体" w:cs="宋体"/>
          <w:spacing w:val="13"/>
          <w:sz w:val="31"/>
          <w:szCs w:val="31"/>
        </w:rPr>
        <w:t>解放街以西，花山路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-</w:t>
      </w:r>
      <w:r>
        <w:rPr>
          <w:rFonts w:ascii="宋体" w:hAnsi="宋体" w:eastAsia="宋体" w:cs="宋体"/>
          <w:spacing w:val="13"/>
          <w:sz w:val="31"/>
          <w:szCs w:val="31"/>
        </w:rPr>
        <w:t>古溪路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以南，芹南二路以北；湘溪路以南，古溪路以东，前山以西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宋体" w:hAnsi="宋体" w:eastAsia="宋体" w:cs="宋体"/>
          <w:spacing w:val="10"/>
          <w:sz w:val="31"/>
          <w:szCs w:val="31"/>
        </w:rPr>
        <w:t>范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围所示，为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203</w:t>
      </w:r>
      <w:r>
        <w:rPr>
          <w:rFonts w:ascii="Times New Roman" w:hAnsi="Times New Roman" w:eastAsia="Times New Roman" w:cs="Times New Roman"/>
          <w:spacing w:val="3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区划单元范围，区域面积为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0.405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62E1CF12">
      <w:pPr>
        <w:spacing w:before="28" w:line="238" w:lineRule="auto"/>
        <w:ind w:left="65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204</w:t>
      </w:r>
    </w:p>
    <w:p w14:paraId="1A0B08C2">
      <w:pPr>
        <w:spacing w:before="140" w:line="374" w:lineRule="auto"/>
        <w:ind w:right="2" w:firstLine="57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宋体" w:hAnsi="宋体" w:eastAsia="宋体" w:cs="宋体"/>
          <w:spacing w:val="10"/>
          <w:sz w:val="31"/>
          <w:szCs w:val="31"/>
        </w:rPr>
        <w:t>马金溪以西，华龙路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-</w:t>
      </w:r>
      <w:r>
        <w:rPr>
          <w:rFonts w:ascii="宋体" w:hAnsi="宋体" w:eastAsia="宋体" w:cs="宋体"/>
          <w:spacing w:val="10"/>
          <w:sz w:val="31"/>
          <w:szCs w:val="31"/>
        </w:rPr>
        <w:t>解放路以东，池淮溪以北，华一村北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侧以南合拢区块；池淮溪以南，马金溪以西，解放路以东，彩虹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路以北合拢区块；龙山溪以北，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351</w:t>
      </w:r>
      <w:r>
        <w:rPr>
          <w:rFonts w:ascii="Times New Roman" w:hAnsi="Times New Roman" w:eastAsia="Times New Roman" w:cs="Times New Roman"/>
          <w:spacing w:val="5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国道以南，龙山溪以东，解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放路以西合拢区块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204</w:t>
      </w:r>
      <w:r>
        <w:rPr>
          <w:rFonts w:ascii="Times New Roman" w:hAnsi="Times New Roman" w:eastAsia="Times New Roman" w:cs="Times New Roman"/>
          <w:spacing w:val="4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区划单元范围，区域面积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为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0.479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。</w:t>
      </w:r>
    </w:p>
    <w:p w14:paraId="776F4401">
      <w:pPr>
        <w:spacing w:before="2" w:line="237" w:lineRule="auto"/>
        <w:ind w:left="65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205</w:t>
      </w:r>
    </w:p>
    <w:p w14:paraId="4735FBE0">
      <w:pPr>
        <w:spacing w:before="140" w:line="362" w:lineRule="auto"/>
        <w:ind w:left="3" w:right="2" w:firstLine="56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宋体" w:hAnsi="宋体" w:eastAsia="宋体" w:cs="宋体"/>
          <w:spacing w:val="15"/>
          <w:sz w:val="31"/>
          <w:szCs w:val="31"/>
        </w:rPr>
        <w:t>马金溪以南，马金溪以西，生态三路以北，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</w:rPr>
        <w:t>国道以东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合拢区块；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国道以西，高速连接线以北，银川路以东，青联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新村以南合拢区块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4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区划单元范围，区域面积</w:t>
      </w:r>
    </w:p>
    <w:p w14:paraId="70A94492">
      <w:pPr>
        <w:spacing w:line="362" w:lineRule="auto"/>
        <w:rPr>
          <w:rFonts w:ascii="宋体" w:hAnsi="宋体" w:eastAsia="宋体" w:cs="宋体"/>
          <w:sz w:val="31"/>
          <w:szCs w:val="31"/>
        </w:rPr>
        <w:sectPr>
          <w:footerReference r:id="rId66" w:type="default"/>
          <w:pgSz w:w="11906" w:h="16839"/>
          <w:pgMar w:top="1431" w:right="1473" w:bottom="1151" w:left="1596" w:header="0" w:footer="989" w:gutter="0"/>
          <w:cols w:space="720" w:num="1"/>
        </w:sectPr>
      </w:pPr>
    </w:p>
    <w:p w14:paraId="79E3F74A">
      <w:pPr>
        <w:pStyle w:val="2"/>
        <w:spacing w:line="334" w:lineRule="auto"/>
      </w:pPr>
    </w:p>
    <w:p w14:paraId="63F4B009">
      <w:pPr>
        <w:pStyle w:val="2"/>
        <w:spacing w:line="334" w:lineRule="auto"/>
      </w:pPr>
    </w:p>
    <w:p w14:paraId="2A85DB3C">
      <w:pPr>
        <w:spacing w:before="101" w:line="419" w:lineRule="exact"/>
        <w:ind w:left="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2"/>
          <w:position w:val="1"/>
          <w:sz w:val="31"/>
          <w:szCs w:val="31"/>
        </w:rPr>
        <w:t>为</w:t>
      </w:r>
      <w:r>
        <w:rPr>
          <w:rFonts w:ascii="宋体" w:hAnsi="宋体" w:eastAsia="宋体" w:cs="宋体"/>
          <w:spacing w:val="-61"/>
          <w:position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position w:val="1"/>
          <w:sz w:val="31"/>
          <w:szCs w:val="31"/>
        </w:rPr>
        <w:t>0.716</w:t>
      </w:r>
      <w:r>
        <w:rPr>
          <w:rFonts w:ascii="Times New Roman" w:hAnsi="Times New Roman" w:eastAsia="Times New Roman" w:cs="Times New Roman"/>
          <w:position w:val="1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2"/>
          <w:position w:val="11"/>
          <w:sz w:val="20"/>
          <w:szCs w:val="20"/>
        </w:rPr>
        <w:t>2</w:t>
      </w:r>
      <w:r>
        <w:rPr>
          <w:rFonts w:ascii="宋体" w:hAnsi="宋体" w:eastAsia="宋体" w:cs="宋体"/>
          <w:spacing w:val="2"/>
          <w:position w:val="1"/>
          <w:sz w:val="31"/>
          <w:szCs w:val="31"/>
        </w:rPr>
        <w:t>。</w:t>
      </w:r>
    </w:p>
    <w:p w14:paraId="2A772F99">
      <w:pPr>
        <w:spacing w:before="273" w:line="238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6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206</w:t>
      </w:r>
    </w:p>
    <w:p w14:paraId="7047DA98">
      <w:pPr>
        <w:spacing w:before="140" w:line="374" w:lineRule="auto"/>
        <w:ind w:left="1" w:firstLine="57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桃下线以北，规划区块西边界以东，规划区块北边界山体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以南，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国道以西合拢区块；马金溪以东，开元路以西，江宁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路以北，开元路与马金溪以南合拢区块；马金溪与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4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国道以西，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2"/>
          <w:sz w:val="31"/>
          <w:szCs w:val="31"/>
        </w:rPr>
        <w:t>金丰村北侧道路以北，山体以东，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205</w:t>
      </w:r>
      <w:r>
        <w:rPr>
          <w:rFonts w:ascii="Times New Roman" w:hAnsi="Times New Roman" w:eastAsia="Times New Roman" w:cs="Times New Roman"/>
          <w:spacing w:val="5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2"/>
          <w:sz w:val="31"/>
          <w:szCs w:val="31"/>
        </w:rPr>
        <w:t>国道以南合拢区块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</w:t>
      </w:r>
      <w:r>
        <w:rPr>
          <w:rFonts w:ascii="宋体" w:hAnsi="宋体" w:eastAsia="宋体" w:cs="宋体"/>
          <w:spacing w:val="12"/>
          <w:sz w:val="31"/>
          <w:szCs w:val="31"/>
        </w:rPr>
        <w:t>范围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所示，为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206</w:t>
      </w:r>
      <w:r>
        <w:rPr>
          <w:rFonts w:ascii="Times New Roman" w:hAnsi="Times New Roman" w:eastAsia="Times New Roman" w:cs="Times New Roman"/>
          <w:spacing w:val="39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区划单元范围，区域面积为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1.033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04F566E7">
      <w:pPr>
        <w:spacing w:before="1" w:line="237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207</w:t>
      </w:r>
    </w:p>
    <w:p w14:paraId="57D68389">
      <w:pPr>
        <w:spacing w:before="144" w:line="374" w:lineRule="auto"/>
        <w:ind w:firstLine="57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马金溪以东，马金溪以北，规划区块北边界和江东一路以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南，江东一路和华殿线以西合拢区块；马金溪以南，马金溪以西，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衢九铁路以北，叶西路以东合拢区块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207</w:t>
      </w:r>
      <w:r>
        <w:rPr>
          <w:rFonts w:ascii="Times New Roman" w:hAnsi="Times New Roman" w:eastAsia="Times New Roman" w:cs="Times New Roman"/>
          <w:spacing w:val="4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区划单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元范围，区域面积为</w:t>
      </w:r>
      <w:r>
        <w:rPr>
          <w:rFonts w:ascii="宋体" w:hAnsi="宋体" w:eastAsia="宋体" w:cs="宋体"/>
          <w:spacing w:val="-2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1.718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09B4BCD0">
      <w:pPr>
        <w:spacing w:before="1" w:line="237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8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208</w:t>
      </w:r>
    </w:p>
    <w:p w14:paraId="74859696">
      <w:pPr>
        <w:spacing w:before="139" w:line="375" w:lineRule="auto"/>
        <w:ind w:left="2" w:right="87" w:firstLine="56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马金溪以北，马金溪以西，皂角上以东，新下村南侧以南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合拢区块；马金溪以东，规划区块南边界以北，规划区块东边界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以西，城白线以南合拢区块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208</w:t>
      </w:r>
      <w:r>
        <w:rPr>
          <w:rFonts w:ascii="Times New Roman" w:hAnsi="Times New Roman" w:eastAsia="Times New Roman" w:cs="Times New Roman"/>
          <w:spacing w:val="4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区划单元范围，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区域面积为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0.378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5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03D5C899">
      <w:pPr>
        <w:spacing w:before="1" w:line="237" w:lineRule="auto"/>
        <w:ind w:left="65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9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209</w:t>
      </w:r>
    </w:p>
    <w:p w14:paraId="6E2962BB">
      <w:pPr>
        <w:spacing w:before="140" w:line="376" w:lineRule="auto"/>
        <w:ind w:left="8" w:right="87" w:firstLine="56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古溪路与规划区块南边界以及东边界合拢区块；古溪路与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西侧山体以及北侧山体合拢区块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宋体" w:hAnsi="宋体" w:eastAsia="宋体" w:cs="宋体"/>
          <w:spacing w:val="9"/>
          <w:sz w:val="31"/>
          <w:szCs w:val="31"/>
        </w:rPr>
        <w:t>范围所示，为</w:t>
      </w:r>
      <w:r>
        <w:rPr>
          <w:rFonts w:ascii="宋体" w:hAnsi="宋体" w:eastAsia="宋体" w:cs="宋体"/>
          <w:spacing w:val="-6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209</w:t>
      </w:r>
      <w:r>
        <w:rPr>
          <w:rFonts w:ascii="Times New Roman" w:hAnsi="Times New Roman" w:eastAsia="Times New Roman" w:cs="Times New Roman"/>
          <w:spacing w:val="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区划单元范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围，区域面积为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0.234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5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5"/>
          <w:sz w:val="31"/>
          <w:szCs w:val="31"/>
        </w:rPr>
        <w:t>。</w:t>
      </w:r>
    </w:p>
    <w:p w14:paraId="32198095">
      <w:pPr>
        <w:spacing w:line="376" w:lineRule="auto"/>
        <w:rPr>
          <w:rFonts w:ascii="宋体" w:hAnsi="宋体" w:eastAsia="宋体" w:cs="宋体"/>
          <w:sz w:val="31"/>
          <w:szCs w:val="31"/>
        </w:rPr>
        <w:sectPr>
          <w:footerReference r:id="rId67" w:type="default"/>
          <w:pgSz w:w="11906" w:h="16839"/>
          <w:pgMar w:top="1431" w:right="1388" w:bottom="1151" w:left="1597" w:header="0" w:footer="989" w:gutter="0"/>
          <w:cols w:space="720" w:num="1"/>
        </w:sectPr>
      </w:pPr>
    </w:p>
    <w:p w14:paraId="2F73EFF2">
      <w:pPr>
        <w:pStyle w:val="2"/>
        <w:spacing w:line="272" w:lineRule="auto"/>
      </w:pPr>
    </w:p>
    <w:p w14:paraId="69DD96FC">
      <w:pPr>
        <w:pStyle w:val="2"/>
        <w:spacing w:line="272" w:lineRule="auto"/>
      </w:pPr>
    </w:p>
    <w:p w14:paraId="23081A62">
      <w:pPr>
        <w:pStyle w:val="2"/>
        <w:spacing w:line="272" w:lineRule="auto"/>
      </w:pPr>
    </w:p>
    <w:p w14:paraId="0A59E836">
      <w:pPr>
        <w:spacing w:before="101" w:line="225" w:lineRule="auto"/>
        <w:ind w:left="641"/>
        <w:outlineLvl w:val="1"/>
        <w:rPr>
          <w:rFonts w:ascii="宋体" w:hAnsi="宋体" w:eastAsia="宋体" w:cs="宋体"/>
          <w:sz w:val="31"/>
          <w:szCs w:val="31"/>
        </w:rPr>
      </w:pPr>
      <w:bookmarkStart w:id="98" w:name="bookmark53"/>
      <w:bookmarkEnd w:id="98"/>
      <w:bookmarkStart w:id="99" w:name="bookmark54"/>
      <w:bookmarkEnd w:id="99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6.3 3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类声环境功能区划分</w:t>
      </w:r>
    </w:p>
    <w:p w14:paraId="2B4C1E69">
      <w:pPr>
        <w:spacing w:before="203" w:line="309" w:lineRule="auto"/>
        <w:ind w:firstLine="64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开化县中心城区共划分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4"/>
          <w:sz w:val="31"/>
          <w:szCs w:val="31"/>
        </w:rPr>
        <w:t>个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4"/>
          <w:sz w:val="31"/>
          <w:szCs w:val="31"/>
        </w:rPr>
        <w:t>类声环境</w:t>
      </w:r>
      <w:r>
        <w:rPr>
          <w:rFonts w:ascii="宋体" w:hAnsi="宋体" w:eastAsia="宋体" w:cs="宋体"/>
          <w:spacing w:val="3"/>
          <w:sz w:val="31"/>
          <w:szCs w:val="31"/>
        </w:rPr>
        <w:t>功能区划单元，面积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共计为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7.929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，每个区划单元的地理边界范围如下表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6-3 </w:t>
      </w:r>
      <w:r>
        <w:rPr>
          <w:rFonts w:ascii="宋体" w:hAnsi="宋体" w:eastAsia="宋体" w:cs="宋体"/>
          <w:spacing w:val="4"/>
          <w:sz w:val="31"/>
          <w:szCs w:val="31"/>
        </w:rPr>
        <w:t>和图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6-16~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图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6-19 </w:t>
      </w:r>
      <w:r>
        <w:rPr>
          <w:rFonts w:ascii="宋体" w:hAnsi="宋体" w:eastAsia="宋体" w:cs="宋体"/>
          <w:sz w:val="31"/>
          <w:szCs w:val="31"/>
        </w:rPr>
        <w:t>所示。</w:t>
      </w:r>
    </w:p>
    <w:p w14:paraId="4C73F6D9">
      <w:pPr>
        <w:spacing w:before="111" w:line="369" w:lineRule="exact"/>
        <w:ind w:left="127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8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6-3)      </w:t>
      </w:r>
      <w:r>
        <w:rPr>
          <w:rFonts w:ascii="宋体" w:hAnsi="宋体" w:eastAsia="宋体" w:cs="宋体"/>
          <w:position w:val="3"/>
          <w:sz w:val="28"/>
          <w:szCs w:val="28"/>
        </w:rPr>
        <w:t>开化县中心城区</w:t>
      </w:r>
      <w:r>
        <w:rPr>
          <w:rFonts w:ascii="宋体" w:hAnsi="宋体" w:eastAsia="宋体" w:cs="宋体"/>
          <w:spacing w:val="-59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3 </w:t>
      </w:r>
      <w:r>
        <w:rPr>
          <w:rFonts w:ascii="宋体" w:hAnsi="宋体" w:eastAsia="宋体" w:cs="宋体"/>
          <w:position w:val="3"/>
          <w:sz w:val="28"/>
          <w:szCs w:val="28"/>
        </w:rPr>
        <w:t>类声</w:t>
      </w:r>
      <w:r>
        <w:rPr>
          <w:rFonts w:ascii="宋体" w:hAnsi="宋体" w:eastAsia="宋体" w:cs="宋体"/>
          <w:spacing w:val="-1"/>
          <w:position w:val="3"/>
          <w:sz w:val="28"/>
          <w:szCs w:val="28"/>
        </w:rPr>
        <w:t>环境功能区一览表</w:t>
      </w:r>
    </w:p>
    <w:p w14:paraId="31E3C3D2">
      <w:pPr>
        <w:spacing w:line="27" w:lineRule="exact"/>
      </w:pPr>
    </w:p>
    <w:tbl>
      <w:tblPr>
        <w:tblStyle w:val="5"/>
        <w:tblW w:w="8412" w:type="dxa"/>
        <w:tblInd w:w="2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5628"/>
        <w:gridCol w:w="1467"/>
      </w:tblGrid>
      <w:tr w14:paraId="76959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317" w:type="dxa"/>
            <w:vAlign w:val="top"/>
          </w:tcPr>
          <w:p w14:paraId="2745A60B">
            <w:pPr>
              <w:pStyle w:val="6"/>
              <w:spacing w:before="59" w:line="207" w:lineRule="auto"/>
              <w:ind w:left="201"/>
            </w:pPr>
            <w:r>
              <w:rPr>
                <w:spacing w:val="-7"/>
              </w:rPr>
              <w:t>区划代号</w:t>
            </w:r>
          </w:p>
        </w:tc>
        <w:tc>
          <w:tcPr>
            <w:tcW w:w="5628" w:type="dxa"/>
            <w:vAlign w:val="top"/>
          </w:tcPr>
          <w:p w14:paraId="0755B42A">
            <w:pPr>
              <w:pStyle w:val="6"/>
              <w:spacing w:before="59" w:line="207" w:lineRule="auto"/>
              <w:ind w:left="2357"/>
            </w:pPr>
            <w:r>
              <w:rPr>
                <w:spacing w:val="-7"/>
              </w:rPr>
              <w:t>区域范围</w:t>
            </w:r>
          </w:p>
        </w:tc>
        <w:tc>
          <w:tcPr>
            <w:tcW w:w="1467" w:type="dxa"/>
            <w:vAlign w:val="top"/>
          </w:tcPr>
          <w:p w14:paraId="38285A1D">
            <w:pPr>
              <w:pStyle w:val="6"/>
              <w:spacing w:before="24" w:line="234" w:lineRule="auto"/>
              <w:ind w:left="68"/>
            </w:pPr>
            <w:r>
              <w:rPr>
                <w:spacing w:val="-1"/>
              </w:rPr>
              <w:t>面积（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"/>
                <w:position w:val="7"/>
                <w:sz w:val="15"/>
                <w:szCs w:val="15"/>
              </w:rPr>
              <w:t>2</w:t>
            </w:r>
            <w:r>
              <w:rPr>
                <w:spacing w:val="-1"/>
              </w:rPr>
              <w:t>）</w:t>
            </w:r>
          </w:p>
        </w:tc>
      </w:tr>
      <w:tr w14:paraId="62D96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317" w:type="dxa"/>
            <w:vAlign w:val="top"/>
          </w:tcPr>
          <w:p w14:paraId="42203E79">
            <w:pPr>
              <w:spacing w:before="251" w:line="188" w:lineRule="auto"/>
              <w:ind w:left="4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5628" w:type="dxa"/>
            <w:vAlign w:val="top"/>
          </w:tcPr>
          <w:p w14:paraId="3796D4D3">
            <w:pPr>
              <w:pStyle w:val="6"/>
              <w:spacing w:before="51" w:line="224" w:lineRule="auto"/>
              <w:ind w:left="1007" w:right="52" w:hanging="947"/>
            </w:pPr>
            <w:r>
              <w:rPr>
                <w:spacing w:val="-1"/>
              </w:rPr>
              <w:t>华殿线以东，规划区块东边界以西，规划区块北边界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以南，华殿线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-</w:t>
            </w:r>
            <w:r>
              <w:rPr>
                <w:spacing w:val="-3"/>
              </w:rPr>
              <w:t>规划区块南边界以北</w:t>
            </w:r>
          </w:p>
        </w:tc>
        <w:tc>
          <w:tcPr>
            <w:tcW w:w="1467" w:type="dxa"/>
            <w:vAlign w:val="top"/>
          </w:tcPr>
          <w:p w14:paraId="6EC6DA83">
            <w:pPr>
              <w:spacing w:before="251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3.401</w:t>
            </w:r>
          </w:p>
        </w:tc>
      </w:tr>
      <w:tr w14:paraId="0B10C0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317" w:type="dxa"/>
            <w:vAlign w:val="top"/>
          </w:tcPr>
          <w:p w14:paraId="3B5D125C">
            <w:pPr>
              <w:spacing w:before="253" w:line="188" w:lineRule="auto"/>
              <w:ind w:left="4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5628" w:type="dxa"/>
            <w:vAlign w:val="top"/>
          </w:tcPr>
          <w:p w14:paraId="0331FF6E">
            <w:pPr>
              <w:pStyle w:val="6"/>
              <w:spacing w:before="54" w:line="223" w:lineRule="auto"/>
              <w:ind w:left="1583" w:right="52" w:hanging="1523"/>
            </w:pPr>
            <w:r>
              <w:rPr>
                <w:spacing w:val="-1"/>
              </w:rPr>
              <w:t>规划区块与山体交界处以东，马金溪以西，马金溪以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南，花牵谷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-</w:t>
            </w:r>
            <w:r>
              <w:rPr>
                <w:spacing w:val="-2"/>
              </w:rPr>
              <w:t>马金溪以北</w:t>
            </w:r>
          </w:p>
        </w:tc>
        <w:tc>
          <w:tcPr>
            <w:tcW w:w="1467" w:type="dxa"/>
            <w:vAlign w:val="top"/>
          </w:tcPr>
          <w:p w14:paraId="313D4359">
            <w:pPr>
              <w:spacing w:before="25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3.609</w:t>
            </w:r>
          </w:p>
        </w:tc>
      </w:tr>
      <w:tr w14:paraId="38DD8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317" w:type="dxa"/>
            <w:vAlign w:val="top"/>
          </w:tcPr>
          <w:p w14:paraId="30BE8EBF">
            <w:pPr>
              <w:spacing w:before="254" w:line="188" w:lineRule="auto"/>
              <w:ind w:left="4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5628" w:type="dxa"/>
            <w:vAlign w:val="top"/>
          </w:tcPr>
          <w:p w14:paraId="26D121C2">
            <w:pPr>
              <w:pStyle w:val="6"/>
              <w:spacing w:before="54" w:line="223" w:lineRule="auto"/>
              <w:ind w:left="1379" w:right="52" w:hanging="1320"/>
            </w:pPr>
            <w:r>
              <w:rPr>
                <w:spacing w:val="-1"/>
              </w:rPr>
              <w:t>池淮溪以东，规划区块西边界以西，工业区北面与山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体交界处以南，池淮溪以北</w:t>
            </w:r>
          </w:p>
        </w:tc>
        <w:tc>
          <w:tcPr>
            <w:tcW w:w="1467" w:type="dxa"/>
            <w:vAlign w:val="top"/>
          </w:tcPr>
          <w:p w14:paraId="2A194A07">
            <w:pPr>
              <w:spacing w:before="254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0.325</w:t>
            </w:r>
          </w:p>
        </w:tc>
      </w:tr>
      <w:tr w14:paraId="60004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1317" w:type="dxa"/>
            <w:vAlign w:val="top"/>
          </w:tcPr>
          <w:p w14:paraId="7B4D51DE">
            <w:pPr>
              <w:spacing w:line="343" w:lineRule="auto"/>
              <w:rPr>
                <w:rFonts w:ascii="Arial"/>
                <w:sz w:val="21"/>
              </w:rPr>
            </w:pPr>
          </w:p>
          <w:p w14:paraId="63C93282">
            <w:pPr>
              <w:spacing w:before="69" w:line="188" w:lineRule="auto"/>
              <w:ind w:left="4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5628" w:type="dxa"/>
            <w:vAlign w:val="top"/>
          </w:tcPr>
          <w:p w14:paraId="0440B40D">
            <w:pPr>
              <w:pStyle w:val="6"/>
              <w:spacing w:before="53" w:line="220" w:lineRule="auto"/>
              <w:ind w:left="56"/>
            </w:pPr>
            <w:r>
              <w:rPr>
                <w:spacing w:val="-4"/>
              </w:rPr>
              <w:t>规划区块西边界以东，衢九铁路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-</w:t>
            </w:r>
            <w:r>
              <w:rPr>
                <w:spacing w:val="-4"/>
              </w:rPr>
              <w:t>开化火车站西边界以</w:t>
            </w:r>
          </w:p>
          <w:p w14:paraId="7E5D1206">
            <w:pPr>
              <w:pStyle w:val="6"/>
              <w:spacing w:before="35" w:line="220" w:lineRule="auto"/>
              <w:ind w:left="60"/>
            </w:pPr>
            <w:r>
              <w:rPr>
                <w:spacing w:val="-4"/>
              </w:rPr>
              <w:t>西，规划区块北边界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-</w:t>
            </w:r>
            <w:r>
              <w:rPr>
                <w:spacing w:val="-4"/>
              </w:rPr>
              <w:t>衢九铁路以南，规划区块南边界</w:t>
            </w:r>
          </w:p>
          <w:p w14:paraId="7486A4C9">
            <w:pPr>
              <w:pStyle w:val="6"/>
              <w:spacing w:before="32" w:line="203" w:lineRule="auto"/>
              <w:ind w:left="2607"/>
            </w:pPr>
            <w:r>
              <w:rPr>
                <w:spacing w:val="-19"/>
              </w:rPr>
              <w:t>以北</w:t>
            </w:r>
          </w:p>
        </w:tc>
        <w:tc>
          <w:tcPr>
            <w:tcW w:w="1467" w:type="dxa"/>
            <w:vAlign w:val="top"/>
          </w:tcPr>
          <w:p w14:paraId="50089A9D">
            <w:pPr>
              <w:spacing w:line="343" w:lineRule="auto"/>
              <w:rPr>
                <w:rFonts w:ascii="Arial"/>
                <w:sz w:val="21"/>
              </w:rPr>
            </w:pPr>
          </w:p>
          <w:p w14:paraId="45B12DC4">
            <w:pPr>
              <w:spacing w:before="69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0.594</w:t>
            </w:r>
          </w:p>
        </w:tc>
      </w:tr>
    </w:tbl>
    <w:p w14:paraId="7CDBB6E3">
      <w:pPr>
        <w:pStyle w:val="2"/>
      </w:pPr>
    </w:p>
    <w:p w14:paraId="121F5D0C">
      <w:pPr>
        <w:sectPr>
          <w:footerReference r:id="rId68" w:type="default"/>
          <w:pgSz w:w="11906" w:h="16839"/>
          <w:pgMar w:top="1431" w:right="1475" w:bottom="1151" w:left="1597" w:header="0" w:footer="989" w:gutter="0"/>
          <w:cols w:space="720" w:num="1"/>
        </w:sectPr>
      </w:pPr>
    </w:p>
    <w:p w14:paraId="67D451C4">
      <w:pPr>
        <w:pStyle w:val="2"/>
        <w:spacing w:line="354" w:lineRule="auto"/>
      </w:pPr>
    </w:p>
    <w:p w14:paraId="69127676">
      <w:pPr>
        <w:pStyle w:val="2"/>
        <w:spacing w:line="355" w:lineRule="auto"/>
      </w:pPr>
    </w:p>
    <w:p w14:paraId="04F6B6D6">
      <w:pPr>
        <w:spacing w:line="6456" w:lineRule="exact"/>
      </w:pPr>
      <w:r>
        <w:rPr>
          <w:position w:val="-129"/>
        </w:rPr>
        <w:drawing>
          <wp:inline distT="0" distB="0" distL="0" distR="0">
            <wp:extent cx="5673725" cy="40989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73852" cy="40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014E">
      <w:pPr>
        <w:spacing w:before="256" w:line="220" w:lineRule="auto"/>
        <w:ind w:left="27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6-16.</w:t>
      </w:r>
      <w:r>
        <w:rPr>
          <w:rFonts w:ascii="Times New Roman" w:hAnsi="Times New Roman" w:eastAsia="Times New Roman" w:cs="Times New Roman"/>
          <w:spacing w:val="14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301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325249D7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69" w:type="default"/>
          <w:pgSz w:w="11906" w:h="16839"/>
          <w:pgMar w:top="1431" w:right="1384" w:bottom="1151" w:left="1586" w:header="0" w:footer="989" w:gutter="0"/>
          <w:cols w:space="720" w:num="1"/>
        </w:sectPr>
      </w:pPr>
    </w:p>
    <w:p w14:paraId="79437E04">
      <w:pPr>
        <w:pStyle w:val="2"/>
      </w:pPr>
    </w:p>
    <w:p w14:paraId="772455AE">
      <w:pPr>
        <w:pStyle w:val="2"/>
      </w:pPr>
    </w:p>
    <w:p w14:paraId="0351EF2D">
      <w:pPr>
        <w:pStyle w:val="2"/>
        <w:spacing w:line="241" w:lineRule="auto"/>
      </w:pPr>
    </w:p>
    <w:p w14:paraId="0C248418">
      <w:pPr>
        <w:spacing w:line="8288" w:lineRule="exact"/>
      </w:pPr>
      <w:r>
        <w:rPr>
          <w:position w:val="-165"/>
        </w:rPr>
        <w:drawing>
          <wp:inline distT="0" distB="0" distL="0" distR="0">
            <wp:extent cx="5450840" cy="52622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51348" cy="52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8279">
      <w:pPr>
        <w:spacing w:before="285" w:line="220" w:lineRule="auto"/>
        <w:ind w:left="261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6-17.</w:t>
      </w:r>
      <w:r>
        <w:rPr>
          <w:rFonts w:ascii="Times New Roman" w:hAnsi="Times New Roman" w:eastAsia="Times New Roman" w:cs="Times New Roman"/>
          <w:spacing w:val="14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302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3EA75240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70" w:type="default"/>
          <w:pgSz w:w="11906" w:h="16839"/>
          <w:pgMar w:top="1431" w:right="1607" w:bottom="1151" w:left="1713" w:header="0" w:footer="989" w:gutter="0"/>
          <w:cols w:space="720" w:num="1"/>
        </w:sectPr>
      </w:pPr>
    </w:p>
    <w:p w14:paraId="318CA8C9">
      <w:pPr>
        <w:pStyle w:val="2"/>
        <w:spacing w:line="252" w:lineRule="auto"/>
      </w:pPr>
    </w:p>
    <w:p w14:paraId="48770243">
      <w:pPr>
        <w:pStyle w:val="2"/>
        <w:spacing w:line="252" w:lineRule="auto"/>
      </w:pPr>
    </w:p>
    <w:p w14:paraId="72E2203B">
      <w:pPr>
        <w:pStyle w:val="2"/>
        <w:spacing w:line="253" w:lineRule="auto"/>
      </w:pPr>
    </w:p>
    <w:p w14:paraId="17AB39EB">
      <w:pPr>
        <w:spacing w:line="8523" w:lineRule="exact"/>
      </w:pPr>
      <w:r>
        <w:rPr>
          <w:position w:val="-170"/>
        </w:rPr>
        <w:drawing>
          <wp:inline distT="0" distB="0" distL="0" distR="0">
            <wp:extent cx="5597525" cy="541147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597652" cy="54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180A">
      <w:pPr>
        <w:spacing w:before="326" w:line="220" w:lineRule="auto"/>
        <w:ind w:left="27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6-18.</w:t>
      </w:r>
      <w:r>
        <w:rPr>
          <w:rFonts w:ascii="Times New Roman" w:hAnsi="Times New Roman" w:eastAsia="Times New Roman" w:cs="Times New Roman"/>
          <w:spacing w:val="14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303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3A010D42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footerReference r:id="rId71" w:type="default"/>
          <w:pgSz w:w="11906" w:h="16839"/>
          <w:pgMar w:top="1431" w:right="1497" w:bottom="1151" w:left="1593" w:header="0" w:footer="989" w:gutter="0"/>
          <w:cols w:space="720" w:num="1"/>
        </w:sectPr>
      </w:pPr>
    </w:p>
    <w:p w14:paraId="3A0DF1B2">
      <w:pPr>
        <w:pStyle w:val="2"/>
        <w:spacing w:line="354" w:lineRule="auto"/>
      </w:pPr>
    </w:p>
    <w:p w14:paraId="768065FC">
      <w:pPr>
        <w:pStyle w:val="2"/>
        <w:spacing w:line="355" w:lineRule="auto"/>
      </w:pPr>
    </w:p>
    <w:p w14:paraId="34D96FF2">
      <w:pPr>
        <w:spacing w:line="8952" w:lineRule="exact"/>
        <w:ind w:firstLine="29"/>
      </w:pPr>
      <w:r>
        <w:rPr>
          <w:position w:val="-179"/>
        </w:rPr>
        <w:drawing>
          <wp:inline distT="0" distB="0" distL="0" distR="0">
            <wp:extent cx="5548630" cy="5683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48883" cy="56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B831">
      <w:pPr>
        <w:spacing w:before="256" w:line="220" w:lineRule="auto"/>
        <w:ind w:left="27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图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6-19.</w:t>
      </w:r>
      <w:r>
        <w:rPr>
          <w:rFonts w:ascii="Times New Roman" w:hAnsi="Times New Roman" w:eastAsia="Times New Roman" w:cs="Times New Roman"/>
          <w:spacing w:val="14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304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区划单元分布</w:t>
      </w:r>
    </w:p>
    <w:p w14:paraId="64ADA002">
      <w:pPr>
        <w:spacing w:before="192" w:line="238" w:lineRule="auto"/>
        <w:ind w:left="652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301</w:t>
      </w:r>
    </w:p>
    <w:p w14:paraId="0B9BFF0D">
      <w:pPr>
        <w:spacing w:before="142" w:line="375" w:lineRule="auto"/>
        <w:ind w:firstLine="56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宋体" w:hAnsi="宋体" w:eastAsia="宋体" w:cs="宋体"/>
          <w:spacing w:val="5"/>
          <w:sz w:val="31"/>
          <w:szCs w:val="31"/>
        </w:rPr>
        <w:t>华殿线以东，规划区块东边界以西，规划区块北边界以南，</w:t>
      </w:r>
      <w:r>
        <w:rPr>
          <w:rFonts w:ascii="宋体" w:hAnsi="宋体" w:eastAsia="宋体" w:cs="宋体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华殿线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-</w:t>
      </w:r>
      <w:r>
        <w:rPr>
          <w:rFonts w:ascii="宋体" w:hAnsi="宋体" w:eastAsia="宋体" w:cs="宋体"/>
          <w:spacing w:val="8"/>
          <w:sz w:val="31"/>
          <w:szCs w:val="31"/>
        </w:rPr>
        <w:t>规划区块南边界以北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宋体" w:hAnsi="宋体" w:eastAsia="宋体" w:cs="宋体"/>
          <w:spacing w:val="8"/>
          <w:sz w:val="31"/>
          <w:szCs w:val="31"/>
        </w:rPr>
        <w:t>范围所示，为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301</w:t>
      </w:r>
      <w:r>
        <w:rPr>
          <w:rFonts w:ascii="Times New Roman" w:hAnsi="Times New Roman" w:eastAsia="Times New Roman" w:cs="Times New Roman"/>
          <w:spacing w:val="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区划单元范围，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区域面积为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3.401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686B6DA6">
      <w:pPr>
        <w:spacing w:before="1" w:line="237" w:lineRule="auto"/>
        <w:ind w:left="652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302</w:t>
      </w:r>
    </w:p>
    <w:p w14:paraId="60E0D0AD">
      <w:pPr>
        <w:spacing w:line="237" w:lineRule="auto"/>
        <w:rPr>
          <w:rFonts w:ascii="Times New Roman" w:hAnsi="Times New Roman" w:eastAsia="Times New Roman" w:cs="Times New Roman"/>
          <w:sz w:val="31"/>
          <w:szCs w:val="31"/>
        </w:rPr>
        <w:sectPr>
          <w:footerReference r:id="rId72" w:type="default"/>
          <w:pgSz w:w="11906" w:h="16839"/>
          <w:pgMar w:top="1431" w:right="1388" w:bottom="1151" w:left="1600" w:header="0" w:footer="989" w:gutter="0"/>
          <w:cols w:space="720" w:num="1"/>
        </w:sectPr>
      </w:pPr>
    </w:p>
    <w:p w14:paraId="73B9F884">
      <w:pPr>
        <w:pStyle w:val="2"/>
        <w:spacing w:line="357" w:lineRule="auto"/>
      </w:pPr>
    </w:p>
    <w:p w14:paraId="056A691A">
      <w:pPr>
        <w:pStyle w:val="2"/>
        <w:spacing w:line="357" w:lineRule="auto"/>
      </w:pPr>
    </w:p>
    <w:p w14:paraId="5A2A5DDD">
      <w:pPr>
        <w:spacing w:before="101" w:line="376" w:lineRule="auto"/>
        <w:ind w:right="248" w:firstLine="568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宋体" w:hAnsi="宋体" w:eastAsia="宋体" w:cs="宋体"/>
          <w:spacing w:val="14"/>
          <w:sz w:val="31"/>
          <w:szCs w:val="31"/>
        </w:rPr>
        <w:t>规划区块与山体交界处以东，马金溪以西，马金溪以南，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花牵谷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-</w:t>
      </w:r>
      <w:r>
        <w:rPr>
          <w:rFonts w:ascii="宋体" w:hAnsi="宋体" w:eastAsia="宋体" w:cs="宋体"/>
          <w:spacing w:val="5"/>
          <w:sz w:val="31"/>
          <w:szCs w:val="31"/>
        </w:rPr>
        <w:t>马金溪以北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宋体" w:hAnsi="宋体" w:eastAsia="宋体" w:cs="宋体"/>
          <w:spacing w:val="5"/>
          <w:sz w:val="31"/>
          <w:szCs w:val="31"/>
        </w:rPr>
        <w:t>范围所示，为</w:t>
      </w:r>
      <w:r>
        <w:rPr>
          <w:rFonts w:ascii="宋体" w:hAnsi="宋体" w:eastAsia="宋体" w:cs="宋体"/>
          <w:spacing w:val="-4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302</w:t>
      </w:r>
      <w:r>
        <w:rPr>
          <w:rFonts w:ascii="Times New Roman" w:hAnsi="Times New Roman" w:eastAsia="Times New Roman" w:cs="Times New Roman"/>
          <w:spacing w:val="3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区划单元范围，区域面积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为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3.609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2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52DDE94E">
      <w:pPr>
        <w:spacing w:before="1" w:line="237" w:lineRule="auto"/>
        <w:ind w:left="652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303</w:t>
      </w:r>
    </w:p>
    <w:p w14:paraId="4AD20CFB">
      <w:pPr>
        <w:spacing w:before="162" w:line="333" w:lineRule="auto"/>
        <w:ind w:right="310" w:firstLine="56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“</w:t>
      </w:r>
      <w:r>
        <w:rPr>
          <w:rFonts w:ascii="宋体" w:hAnsi="宋体" w:eastAsia="宋体" w:cs="宋体"/>
          <w:spacing w:val="12"/>
          <w:sz w:val="31"/>
          <w:szCs w:val="31"/>
        </w:rPr>
        <w:t>池淮溪以东，规划区块西边界以西，工业区北面与山</w:t>
      </w:r>
      <w:r>
        <w:rPr>
          <w:rFonts w:ascii="宋体" w:hAnsi="宋体" w:eastAsia="宋体" w:cs="宋体"/>
          <w:spacing w:val="11"/>
          <w:sz w:val="31"/>
          <w:szCs w:val="31"/>
        </w:rPr>
        <w:t>体交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界处以南，池淮溪以北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宋体" w:hAnsi="宋体" w:eastAsia="宋体" w:cs="宋体"/>
          <w:spacing w:val="7"/>
          <w:sz w:val="31"/>
          <w:szCs w:val="31"/>
        </w:rPr>
        <w:t>范围所示，为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303</w:t>
      </w:r>
      <w:r>
        <w:rPr>
          <w:rFonts w:ascii="Times New Roman" w:hAnsi="Times New Roman" w:eastAsia="Times New Roman" w:cs="Times New Roman"/>
          <w:spacing w:val="3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区划单元范围，区域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面积为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0.325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27E4FBC2">
      <w:pPr>
        <w:spacing w:before="1" w:line="237" w:lineRule="auto"/>
        <w:ind w:left="652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宋体" w:hAnsi="宋体" w:eastAsia="宋体" w:cs="宋体"/>
          <w:spacing w:val="2"/>
          <w:sz w:val="31"/>
          <w:szCs w:val="31"/>
        </w:rPr>
        <w:t>）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304</w:t>
      </w:r>
    </w:p>
    <w:p w14:paraId="33DCA330">
      <w:pPr>
        <w:spacing w:before="128" w:line="308" w:lineRule="auto"/>
        <w:ind w:firstLine="56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“</w:t>
      </w:r>
      <w:r>
        <w:rPr>
          <w:rFonts w:ascii="宋体" w:hAnsi="宋体" w:eastAsia="宋体" w:cs="宋体"/>
          <w:spacing w:val="12"/>
          <w:sz w:val="31"/>
          <w:szCs w:val="31"/>
        </w:rPr>
        <w:t>规划区块西边界以东，衢九铁路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-</w:t>
      </w:r>
      <w:r>
        <w:rPr>
          <w:rFonts w:ascii="宋体" w:hAnsi="宋体" w:eastAsia="宋体" w:cs="宋体"/>
          <w:spacing w:val="12"/>
          <w:sz w:val="31"/>
          <w:szCs w:val="31"/>
        </w:rPr>
        <w:t>开化火车站西边界以西，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规划区块北边界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-</w:t>
      </w:r>
      <w:r>
        <w:rPr>
          <w:rFonts w:ascii="宋体" w:hAnsi="宋体" w:eastAsia="宋体" w:cs="宋体"/>
          <w:spacing w:val="5"/>
          <w:sz w:val="31"/>
          <w:szCs w:val="31"/>
        </w:rPr>
        <w:t>衢九铁路以南，规划区块南边界以北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宋体" w:hAnsi="宋体" w:eastAsia="宋体" w:cs="宋体"/>
          <w:spacing w:val="5"/>
          <w:sz w:val="31"/>
          <w:szCs w:val="31"/>
        </w:rPr>
        <w:t>范围所示，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为</w:t>
      </w:r>
      <w:r>
        <w:rPr>
          <w:rFonts w:ascii="宋体" w:hAnsi="宋体" w:eastAsia="宋体" w:cs="宋体"/>
          <w:spacing w:val="-4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304</w:t>
      </w:r>
      <w:r>
        <w:rPr>
          <w:rFonts w:ascii="Times New Roman" w:hAnsi="Times New Roman" w:eastAsia="Times New Roman" w:cs="Times New Roman"/>
          <w:spacing w:val="3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区划单元范围，区域面积为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0.594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4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4"/>
          <w:sz w:val="31"/>
          <w:szCs w:val="31"/>
        </w:rPr>
        <w:t>。</w:t>
      </w:r>
    </w:p>
    <w:p w14:paraId="7A57F0CD">
      <w:pPr>
        <w:spacing w:before="122" w:line="225" w:lineRule="auto"/>
        <w:ind w:left="638"/>
        <w:outlineLvl w:val="1"/>
        <w:rPr>
          <w:rFonts w:ascii="宋体" w:hAnsi="宋体" w:eastAsia="宋体" w:cs="宋体"/>
          <w:sz w:val="31"/>
          <w:szCs w:val="31"/>
        </w:rPr>
      </w:pPr>
      <w:bookmarkStart w:id="100" w:name="bookmark56"/>
      <w:bookmarkEnd w:id="100"/>
      <w:bookmarkStart w:id="101" w:name="bookmark55"/>
      <w:bookmarkEnd w:id="101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6.4 4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类声环境功能区划分</w:t>
      </w:r>
    </w:p>
    <w:p w14:paraId="62D40B9D">
      <w:pPr>
        <w:spacing w:before="282" w:line="225" w:lineRule="auto"/>
        <w:ind w:left="64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6.4.1 4a </w:t>
      </w:r>
      <w:r>
        <w:rPr>
          <w:rFonts w:ascii="宋体" w:hAnsi="宋体" w:eastAsia="宋体" w:cs="宋体"/>
          <w:spacing w:val="4"/>
          <w:sz w:val="31"/>
          <w:szCs w:val="31"/>
        </w:rPr>
        <w:t>类区划分</w:t>
      </w:r>
    </w:p>
    <w:p w14:paraId="55E3FE31">
      <w:pPr>
        <w:spacing w:before="201" w:line="318" w:lineRule="auto"/>
        <w:ind w:right="247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本次调整后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4a </w:t>
      </w:r>
      <w:r>
        <w:rPr>
          <w:rFonts w:ascii="宋体" w:hAnsi="宋体" w:eastAsia="宋体" w:cs="宋体"/>
          <w:spacing w:val="7"/>
          <w:sz w:val="31"/>
          <w:szCs w:val="31"/>
        </w:rPr>
        <w:t>类区声环境功能区涉及交通</w:t>
      </w:r>
      <w:r>
        <w:rPr>
          <w:rFonts w:ascii="宋体" w:hAnsi="宋体" w:eastAsia="宋体" w:cs="宋体"/>
          <w:spacing w:val="6"/>
          <w:sz w:val="31"/>
          <w:szCs w:val="31"/>
        </w:rPr>
        <w:t>干线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26 </w:t>
      </w:r>
      <w:r>
        <w:rPr>
          <w:rFonts w:ascii="宋体" w:hAnsi="宋体" w:eastAsia="宋体" w:cs="宋体"/>
          <w:spacing w:val="6"/>
          <w:sz w:val="31"/>
          <w:szCs w:val="31"/>
        </w:rPr>
        <w:t>条（原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sz w:val="31"/>
          <w:szCs w:val="31"/>
        </w:rPr>
        <w:t>条江滨路名称改成江滨北路、江滨南路、江滨中路</w:t>
      </w:r>
      <w:r>
        <w:rPr>
          <w:rFonts w:ascii="宋体" w:hAnsi="宋体" w:eastAsia="宋体" w:cs="宋体"/>
          <w:spacing w:val="31"/>
          <w:sz w:val="31"/>
          <w:szCs w:val="31"/>
        </w:rPr>
        <w:t>），</w:t>
      </w:r>
      <w:r>
        <w:rPr>
          <w:rFonts w:ascii="宋体" w:hAnsi="宋体" w:eastAsia="宋体" w:cs="宋体"/>
          <w:spacing w:val="15"/>
          <w:sz w:val="31"/>
          <w:szCs w:val="31"/>
        </w:rPr>
        <w:t>详见表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6-4</w:t>
      </w:r>
      <w:r>
        <w:rPr>
          <w:rFonts w:ascii="宋体" w:hAnsi="宋体" w:eastAsia="宋体" w:cs="宋体"/>
          <w:spacing w:val="-1"/>
          <w:sz w:val="31"/>
          <w:szCs w:val="31"/>
        </w:rPr>
        <w:t>。</w:t>
      </w:r>
    </w:p>
    <w:p w14:paraId="5372B2A3">
      <w:pPr>
        <w:spacing w:line="318" w:lineRule="auto"/>
        <w:rPr>
          <w:rFonts w:ascii="宋体" w:hAnsi="宋体" w:eastAsia="宋体" w:cs="宋体"/>
          <w:sz w:val="31"/>
          <w:szCs w:val="31"/>
        </w:rPr>
        <w:sectPr>
          <w:footerReference r:id="rId73" w:type="default"/>
          <w:pgSz w:w="11906" w:h="16839"/>
          <w:pgMar w:top="1431" w:right="1227" w:bottom="1151" w:left="1600" w:header="0" w:footer="989" w:gutter="0"/>
          <w:cols w:space="720" w:num="1"/>
        </w:sectPr>
      </w:pPr>
    </w:p>
    <w:p w14:paraId="7316DC47">
      <w:pPr>
        <w:pStyle w:val="2"/>
      </w:pPr>
    </w:p>
    <w:p w14:paraId="57E0E8C7">
      <w:pPr>
        <w:pStyle w:val="2"/>
      </w:pPr>
    </w:p>
    <w:p w14:paraId="4E9182C7">
      <w:pPr>
        <w:pStyle w:val="2"/>
      </w:pPr>
    </w:p>
    <w:p w14:paraId="2B8AD846">
      <w:pPr>
        <w:pStyle w:val="2"/>
        <w:spacing w:line="241" w:lineRule="auto"/>
      </w:pPr>
    </w:p>
    <w:p w14:paraId="654159FF">
      <w:pPr>
        <w:pStyle w:val="2"/>
        <w:spacing w:line="241" w:lineRule="auto"/>
      </w:pPr>
    </w:p>
    <w:p w14:paraId="046EA3DD">
      <w:pPr>
        <w:spacing w:before="91" w:line="368" w:lineRule="exact"/>
        <w:ind w:left="31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8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6-4)      </w:t>
      </w:r>
      <w:r>
        <w:rPr>
          <w:rFonts w:ascii="宋体" w:hAnsi="宋体" w:eastAsia="宋体" w:cs="宋体"/>
          <w:position w:val="3"/>
          <w:sz w:val="28"/>
          <w:szCs w:val="28"/>
        </w:rPr>
        <w:t>开化县中心城区</w:t>
      </w:r>
      <w:r>
        <w:rPr>
          <w:rFonts w:ascii="宋体" w:hAnsi="宋体" w:eastAsia="宋体" w:cs="宋体"/>
          <w:spacing w:val="-66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4a </w:t>
      </w:r>
      <w:r>
        <w:rPr>
          <w:rFonts w:ascii="宋体" w:hAnsi="宋体" w:eastAsia="宋体" w:cs="宋体"/>
          <w:position w:val="3"/>
          <w:sz w:val="28"/>
          <w:szCs w:val="28"/>
        </w:rPr>
        <w:t>类声环境功能区</w:t>
      </w:r>
      <w:r>
        <w:rPr>
          <w:rFonts w:ascii="宋体" w:hAnsi="宋体" w:eastAsia="宋体" w:cs="宋体"/>
          <w:spacing w:val="-1"/>
          <w:position w:val="3"/>
          <w:sz w:val="28"/>
          <w:szCs w:val="28"/>
        </w:rPr>
        <w:t>一览表</w:t>
      </w:r>
    </w:p>
    <w:p w14:paraId="17847DDC">
      <w:pPr>
        <w:spacing w:line="25" w:lineRule="exact"/>
      </w:pPr>
    </w:p>
    <w:tbl>
      <w:tblPr>
        <w:tblStyle w:val="5"/>
        <w:tblW w:w="127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139"/>
        <w:gridCol w:w="1469"/>
        <w:gridCol w:w="3299"/>
        <w:gridCol w:w="585"/>
        <w:gridCol w:w="975"/>
        <w:gridCol w:w="1092"/>
        <w:gridCol w:w="3919"/>
      </w:tblGrid>
      <w:tr w14:paraId="79B93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294" w:type="dxa"/>
            <w:textDirection w:val="tbRlV"/>
            <w:vAlign w:val="top"/>
          </w:tcPr>
          <w:p w14:paraId="0A7B8036">
            <w:pPr>
              <w:pStyle w:val="6"/>
              <w:spacing w:before="25" w:line="210" w:lineRule="auto"/>
              <w:ind w:left="87"/>
            </w:pPr>
            <w:r>
              <w:t>序 号</w:t>
            </w:r>
          </w:p>
        </w:tc>
        <w:tc>
          <w:tcPr>
            <w:tcW w:w="1139" w:type="dxa"/>
            <w:vAlign w:val="top"/>
          </w:tcPr>
          <w:p w14:paraId="371202E9">
            <w:pPr>
              <w:pStyle w:val="6"/>
              <w:spacing w:before="267" w:line="220" w:lineRule="auto"/>
              <w:ind w:left="93"/>
            </w:pPr>
            <w:r>
              <w:rPr>
                <w:spacing w:val="-3"/>
              </w:rPr>
              <w:t>道路名称</w:t>
            </w:r>
          </w:p>
        </w:tc>
        <w:tc>
          <w:tcPr>
            <w:tcW w:w="1469" w:type="dxa"/>
            <w:vAlign w:val="top"/>
          </w:tcPr>
          <w:p w14:paraId="2F3B9DF8">
            <w:pPr>
              <w:pStyle w:val="6"/>
              <w:spacing w:before="267" w:line="220" w:lineRule="auto"/>
              <w:ind w:left="259"/>
            </w:pPr>
            <w:r>
              <w:rPr>
                <w:spacing w:val="-3"/>
              </w:rPr>
              <w:t>道路等级</w:t>
            </w:r>
          </w:p>
        </w:tc>
        <w:tc>
          <w:tcPr>
            <w:tcW w:w="3299" w:type="dxa"/>
            <w:vAlign w:val="top"/>
          </w:tcPr>
          <w:p w14:paraId="37A60F6E">
            <w:pPr>
              <w:pStyle w:val="6"/>
              <w:spacing w:before="267" w:line="222" w:lineRule="auto"/>
              <w:ind w:left="1420"/>
            </w:pPr>
            <w:r>
              <w:rPr>
                <w:spacing w:val="-7"/>
              </w:rPr>
              <w:t>备注</w:t>
            </w:r>
          </w:p>
        </w:tc>
        <w:tc>
          <w:tcPr>
            <w:tcW w:w="585" w:type="dxa"/>
            <w:vAlign w:val="top"/>
          </w:tcPr>
          <w:p w14:paraId="1173E89D">
            <w:pPr>
              <w:pStyle w:val="6"/>
              <w:spacing w:before="267" w:line="222" w:lineRule="auto"/>
              <w:ind w:left="58"/>
            </w:pPr>
            <w:r>
              <w:rPr>
                <w:spacing w:val="-5"/>
              </w:rPr>
              <w:t>序号</w:t>
            </w:r>
          </w:p>
        </w:tc>
        <w:tc>
          <w:tcPr>
            <w:tcW w:w="975" w:type="dxa"/>
            <w:vAlign w:val="top"/>
          </w:tcPr>
          <w:p w14:paraId="69FEEF7D">
            <w:pPr>
              <w:pStyle w:val="6"/>
              <w:spacing w:before="267" w:line="220" w:lineRule="auto"/>
              <w:ind w:left="13"/>
            </w:pPr>
            <w:r>
              <w:rPr>
                <w:spacing w:val="-3"/>
              </w:rPr>
              <w:t>道路名称</w:t>
            </w:r>
          </w:p>
        </w:tc>
        <w:tc>
          <w:tcPr>
            <w:tcW w:w="1092" w:type="dxa"/>
            <w:vAlign w:val="top"/>
          </w:tcPr>
          <w:p w14:paraId="1C0A52C5">
            <w:pPr>
              <w:pStyle w:val="6"/>
              <w:spacing w:before="267" w:line="220" w:lineRule="auto"/>
              <w:ind w:left="73"/>
            </w:pPr>
            <w:r>
              <w:rPr>
                <w:spacing w:val="-3"/>
              </w:rPr>
              <w:t>道路等级</w:t>
            </w:r>
          </w:p>
        </w:tc>
        <w:tc>
          <w:tcPr>
            <w:tcW w:w="3919" w:type="dxa"/>
            <w:vAlign w:val="top"/>
          </w:tcPr>
          <w:p w14:paraId="32441000">
            <w:pPr>
              <w:pStyle w:val="6"/>
              <w:spacing w:before="267" w:line="222" w:lineRule="auto"/>
              <w:ind w:left="1728"/>
            </w:pPr>
            <w:r>
              <w:rPr>
                <w:spacing w:val="-7"/>
              </w:rPr>
              <w:t>备注</w:t>
            </w:r>
          </w:p>
        </w:tc>
      </w:tr>
      <w:tr w14:paraId="5B6DB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94" w:type="dxa"/>
            <w:vAlign w:val="top"/>
          </w:tcPr>
          <w:p w14:paraId="78CB6A69">
            <w:pPr>
              <w:spacing w:before="235" w:line="188" w:lineRule="auto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vAlign w:val="top"/>
          </w:tcPr>
          <w:p w14:paraId="04FC4D5D">
            <w:pPr>
              <w:pStyle w:val="6"/>
              <w:spacing w:before="193" w:line="223" w:lineRule="auto"/>
              <w:ind w:left="120"/>
            </w:pPr>
            <w:r>
              <w:rPr>
                <w:rFonts w:ascii="Times New Roman" w:hAnsi="Times New Roman" w:eastAsia="Times New Roman" w:cs="Times New Roman"/>
                <w:spacing w:val="-8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</w:rPr>
              <w:t xml:space="preserve"> </w:t>
            </w:r>
            <w:r>
              <w:rPr>
                <w:spacing w:val="-8"/>
              </w:rPr>
              <w:t>国道</w:t>
            </w:r>
          </w:p>
        </w:tc>
        <w:tc>
          <w:tcPr>
            <w:tcW w:w="1469" w:type="dxa"/>
            <w:vAlign w:val="top"/>
          </w:tcPr>
          <w:p w14:paraId="11D51F9B">
            <w:pPr>
              <w:pStyle w:val="6"/>
              <w:spacing w:before="194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1444C651">
            <w:pPr>
              <w:pStyle w:val="6"/>
              <w:spacing w:before="38" w:line="223" w:lineRule="auto"/>
              <w:ind w:left="546" w:right="2" w:hanging="532"/>
            </w:pPr>
            <w:r>
              <w:rPr>
                <w:spacing w:val="-6"/>
              </w:rPr>
              <w:t>起：西坑口，止：下界首，长约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63617 </w:t>
            </w:r>
            <w:r>
              <w:rPr>
                <w:spacing w:val="-2"/>
              </w:rPr>
              <w:t>米，宽约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22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2"/>
              </w:rPr>
              <w:t>米</w:t>
            </w:r>
          </w:p>
        </w:tc>
        <w:tc>
          <w:tcPr>
            <w:tcW w:w="585" w:type="dxa"/>
            <w:vAlign w:val="top"/>
          </w:tcPr>
          <w:p w14:paraId="3B396FFD">
            <w:pPr>
              <w:spacing w:before="235" w:line="188" w:lineRule="auto"/>
              <w:ind w:left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975" w:type="dxa"/>
            <w:vAlign w:val="top"/>
          </w:tcPr>
          <w:p w14:paraId="08650833">
            <w:pPr>
              <w:pStyle w:val="6"/>
              <w:spacing w:before="193" w:line="220" w:lineRule="auto"/>
              <w:ind w:left="135"/>
            </w:pPr>
            <w:r>
              <w:rPr>
                <w:spacing w:val="-4"/>
              </w:rPr>
              <w:t>凤凰路</w:t>
            </w:r>
          </w:p>
        </w:tc>
        <w:tc>
          <w:tcPr>
            <w:tcW w:w="1092" w:type="dxa"/>
            <w:vAlign w:val="top"/>
          </w:tcPr>
          <w:p w14:paraId="4289E6E1">
            <w:pPr>
              <w:pStyle w:val="6"/>
              <w:spacing w:before="38" w:line="223" w:lineRule="auto"/>
              <w:ind w:left="436" w:right="62" w:hanging="358"/>
            </w:pPr>
            <w:r>
              <w:rPr>
                <w:spacing w:val="-4"/>
              </w:rPr>
              <w:t>二级主干</w:t>
            </w:r>
            <w:r>
              <w:rPr>
                <w:spacing w:val="1"/>
              </w:rPr>
              <w:t xml:space="preserve"> </w:t>
            </w:r>
            <w:r>
              <w:t>路</w:t>
            </w:r>
          </w:p>
        </w:tc>
        <w:tc>
          <w:tcPr>
            <w:tcW w:w="3919" w:type="dxa"/>
            <w:vAlign w:val="top"/>
          </w:tcPr>
          <w:p w14:paraId="4D2473BB">
            <w:pPr>
              <w:pStyle w:val="6"/>
              <w:spacing w:before="38" w:line="223" w:lineRule="auto"/>
              <w:ind w:left="916" w:right="38" w:hanging="870"/>
            </w:pPr>
            <w:r>
              <w:rPr>
                <w:spacing w:val="-1"/>
              </w:rPr>
              <w:t>起：城东转盘，止：江东南路，长约</w:t>
            </w:r>
            <w:r>
              <w:rPr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3628 </w:t>
            </w:r>
            <w:r>
              <w:rPr>
                <w:spacing w:val="-4"/>
              </w:rPr>
              <w:t>米，宽约</w:t>
            </w:r>
            <w:r>
              <w:rPr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4"/>
              </w:rPr>
              <w:t>米</w:t>
            </w:r>
          </w:p>
        </w:tc>
      </w:tr>
      <w:tr w14:paraId="686FA6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4" w:type="dxa"/>
            <w:vAlign w:val="top"/>
          </w:tcPr>
          <w:p w14:paraId="2ABFB030">
            <w:pPr>
              <w:spacing w:before="236" w:line="188" w:lineRule="auto"/>
              <w:ind w:left="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vAlign w:val="top"/>
          </w:tcPr>
          <w:p w14:paraId="5E8D5B50">
            <w:pPr>
              <w:pStyle w:val="6"/>
              <w:spacing w:before="194" w:line="220" w:lineRule="auto"/>
              <w:ind w:left="120"/>
            </w:pPr>
            <w:r>
              <w:rPr>
                <w:rFonts w:ascii="Times New Roman" w:hAnsi="Times New Roman" w:eastAsia="Times New Roman" w:cs="Times New Roman"/>
                <w:spacing w:val="-3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 </w:t>
            </w:r>
            <w:r>
              <w:rPr>
                <w:spacing w:val="-3"/>
              </w:rPr>
              <w:t>接线</w:t>
            </w:r>
          </w:p>
        </w:tc>
        <w:tc>
          <w:tcPr>
            <w:tcW w:w="1469" w:type="dxa"/>
            <w:vAlign w:val="top"/>
          </w:tcPr>
          <w:p w14:paraId="7B66EE82">
            <w:pPr>
              <w:pStyle w:val="6"/>
              <w:spacing w:before="194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78471EE4">
            <w:pPr>
              <w:pStyle w:val="6"/>
              <w:spacing w:before="39" w:line="223" w:lineRule="auto"/>
              <w:ind w:left="877" w:right="2" w:hanging="863"/>
            </w:pPr>
            <w:r>
              <w:rPr>
                <w:spacing w:val="-10"/>
              </w:rPr>
              <w:t>起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:</w:t>
            </w:r>
            <w:r>
              <w:rPr>
                <w:spacing w:val="-10"/>
              </w:rPr>
              <w:t>桃下线，止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:</w:t>
            </w:r>
            <w:r>
              <w:rPr>
                <w:spacing w:val="-10"/>
              </w:rPr>
              <w:t>灵山寺，长约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362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"/>
              </w:rPr>
              <w:t>米，宽约</w:t>
            </w:r>
            <w:r>
              <w:rPr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22 </w:t>
            </w:r>
            <w:r>
              <w:rPr>
                <w:spacing w:val="-1"/>
              </w:rPr>
              <w:t>米</w:t>
            </w:r>
          </w:p>
        </w:tc>
        <w:tc>
          <w:tcPr>
            <w:tcW w:w="585" w:type="dxa"/>
            <w:vAlign w:val="top"/>
          </w:tcPr>
          <w:p w14:paraId="200D74F6">
            <w:pPr>
              <w:spacing w:before="235" w:line="188" w:lineRule="auto"/>
              <w:ind w:left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975" w:type="dxa"/>
            <w:vAlign w:val="top"/>
          </w:tcPr>
          <w:p w14:paraId="58AFA02B">
            <w:pPr>
              <w:pStyle w:val="6"/>
              <w:spacing w:before="194" w:line="220" w:lineRule="auto"/>
              <w:ind w:left="135"/>
            </w:pPr>
            <w:r>
              <w:rPr>
                <w:spacing w:val="-4"/>
              </w:rPr>
              <w:t>华殿线</w:t>
            </w:r>
          </w:p>
        </w:tc>
        <w:tc>
          <w:tcPr>
            <w:tcW w:w="1092" w:type="dxa"/>
            <w:vAlign w:val="top"/>
          </w:tcPr>
          <w:p w14:paraId="644A206E">
            <w:pPr>
              <w:pStyle w:val="6"/>
              <w:spacing w:before="39" w:line="223" w:lineRule="auto"/>
              <w:ind w:left="436" w:right="62" w:hanging="358"/>
            </w:pPr>
            <w:r>
              <w:rPr>
                <w:spacing w:val="-4"/>
              </w:rPr>
              <w:t>二级主干</w:t>
            </w:r>
            <w:r>
              <w:rPr>
                <w:spacing w:val="1"/>
              </w:rPr>
              <w:t xml:space="preserve"> </w:t>
            </w:r>
            <w:r>
              <w:t>路</w:t>
            </w:r>
          </w:p>
        </w:tc>
        <w:tc>
          <w:tcPr>
            <w:tcW w:w="3919" w:type="dxa"/>
            <w:vAlign w:val="top"/>
          </w:tcPr>
          <w:p w14:paraId="6DF99AFE">
            <w:pPr>
              <w:pStyle w:val="6"/>
              <w:spacing w:before="39" w:line="223" w:lineRule="auto"/>
              <w:ind w:left="1550" w:right="30" w:hanging="1511"/>
            </w:pPr>
            <w:r>
              <w:rPr>
                <w:spacing w:val="-2"/>
              </w:rPr>
              <w:t>起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:</w:t>
            </w:r>
            <w:r>
              <w:rPr>
                <w:spacing w:val="-2"/>
              </w:rPr>
              <w:t>郑家，止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:</w:t>
            </w:r>
            <w:r>
              <w:rPr>
                <w:spacing w:val="-2"/>
              </w:rPr>
              <w:t>渊底，长约</w:t>
            </w:r>
            <w:r>
              <w:rPr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102590 </w:t>
            </w:r>
            <w:r>
              <w:rPr>
                <w:spacing w:val="-2"/>
              </w:rPr>
              <w:t>米宽</w:t>
            </w:r>
            <w:r>
              <w:t xml:space="preserve"> </w:t>
            </w:r>
            <w:r>
              <w:rPr>
                <w:spacing w:val="-6"/>
              </w:rPr>
              <w:t>约</w:t>
            </w:r>
            <w:r>
              <w:rPr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22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6"/>
              </w:rPr>
              <w:t>米</w:t>
            </w:r>
          </w:p>
        </w:tc>
      </w:tr>
      <w:tr w14:paraId="1715FC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4" w:type="dxa"/>
            <w:vAlign w:val="top"/>
          </w:tcPr>
          <w:p w14:paraId="3BF087DB">
            <w:pPr>
              <w:spacing w:before="235" w:line="188" w:lineRule="auto"/>
              <w:ind w:left="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vAlign w:val="top"/>
          </w:tcPr>
          <w:p w14:paraId="21DC2A40">
            <w:pPr>
              <w:pStyle w:val="6"/>
              <w:spacing w:before="193" w:line="220" w:lineRule="auto"/>
              <w:ind w:left="125"/>
            </w:pPr>
            <w:r>
              <w:rPr>
                <w:rFonts w:ascii="Times New Roman" w:hAnsi="Times New Roman" w:eastAsia="Times New Roman" w:cs="Times New Roman"/>
                <w:spacing w:val="-5"/>
              </w:rPr>
              <w:t>317</w:t>
            </w:r>
            <w:r>
              <w:rPr>
                <w:rFonts w:ascii="Times New Roman" w:hAnsi="Times New Roman" w:eastAsia="Times New Roman" w:cs="Times New Roman"/>
                <w:spacing w:val="14"/>
              </w:rPr>
              <w:t xml:space="preserve"> </w:t>
            </w:r>
            <w:r>
              <w:rPr>
                <w:spacing w:val="-5"/>
              </w:rPr>
              <w:t>省道</w:t>
            </w:r>
          </w:p>
        </w:tc>
        <w:tc>
          <w:tcPr>
            <w:tcW w:w="1469" w:type="dxa"/>
            <w:vAlign w:val="top"/>
          </w:tcPr>
          <w:p w14:paraId="580F837A">
            <w:pPr>
              <w:pStyle w:val="6"/>
              <w:spacing w:before="194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4C149F2A">
            <w:pPr>
              <w:pStyle w:val="6"/>
              <w:spacing w:before="36" w:line="224" w:lineRule="auto"/>
              <w:ind w:left="877" w:right="2" w:hanging="863"/>
            </w:pPr>
            <w:r>
              <w:rPr>
                <w:spacing w:val="-10"/>
              </w:rPr>
              <w:t>起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:</w:t>
            </w:r>
            <w:r>
              <w:rPr>
                <w:spacing w:val="-10"/>
              </w:rPr>
              <w:t>界首，止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:</w:t>
            </w:r>
            <w:r>
              <w:rPr>
                <w:spacing w:val="-10"/>
              </w:rPr>
              <w:t>白沙关，长约</w:t>
            </w:r>
            <w:r>
              <w:rPr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51426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"/>
              </w:rPr>
              <w:t>米，宽约</w:t>
            </w:r>
            <w:r>
              <w:rPr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22 </w:t>
            </w:r>
            <w:r>
              <w:rPr>
                <w:spacing w:val="-1"/>
              </w:rPr>
              <w:t>米</w:t>
            </w:r>
          </w:p>
        </w:tc>
        <w:tc>
          <w:tcPr>
            <w:tcW w:w="585" w:type="dxa"/>
            <w:vAlign w:val="top"/>
          </w:tcPr>
          <w:p w14:paraId="44005673">
            <w:pPr>
              <w:spacing w:before="235" w:line="188" w:lineRule="auto"/>
              <w:ind w:left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975" w:type="dxa"/>
            <w:vAlign w:val="top"/>
          </w:tcPr>
          <w:p w14:paraId="5B9276D6">
            <w:pPr>
              <w:pStyle w:val="6"/>
              <w:spacing w:before="193" w:line="220" w:lineRule="auto"/>
              <w:ind w:left="133"/>
            </w:pPr>
            <w:r>
              <w:rPr>
                <w:spacing w:val="-3"/>
              </w:rPr>
              <w:t>解放街</w:t>
            </w:r>
          </w:p>
        </w:tc>
        <w:tc>
          <w:tcPr>
            <w:tcW w:w="1092" w:type="dxa"/>
            <w:vAlign w:val="top"/>
          </w:tcPr>
          <w:p w14:paraId="677E05F2">
            <w:pPr>
              <w:pStyle w:val="6"/>
              <w:spacing w:before="194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70FE14A9">
            <w:pPr>
              <w:pStyle w:val="6"/>
              <w:spacing w:before="36" w:line="224" w:lineRule="auto"/>
              <w:ind w:left="1185" w:right="9" w:hanging="1170"/>
            </w:pPr>
            <w:r>
              <w:rPr>
                <w:spacing w:val="-3"/>
              </w:rPr>
              <w:t>起：芹北路，止：芹南路，长约</w:t>
            </w:r>
            <w:r>
              <w:rPr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1950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4"/>
              </w:rPr>
              <w:t>米，宽约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10 </w:t>
            </w:r>
            <w:r>
              <w:rPr>
                <w:spacing w:val="-4"/>
              </w:rPr>
              <w:t>米</w:t>
            </w:r>
          </w:p>
        </w:tc>
      </w:tr>
      <w:tr w14:paraId="197419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94" w:type="dxa"/>
            <w:vAlign w:val="top"/>
          </w:tcPr>
          <w:p w14:paraId="2AE628FE">
            <w:pPr>
              <w:spacing w:before="237" w:line="188" w:lineRule="auto"/>
              <w:ind w:left="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vAlign w:val="top"/>
          </w:tcPr>
          <w:p w14:paraId="7D38ECC5">
            <w:pPr>
              <w:pStyle w:val="6"/>
              <w:spacing w:before="195" w:line="222" w:lineRule="auto"/>
              <w:ind w:left="126"/>
            </w:pPr>
            <w:r>
              <w:rPr>
                <w:rFonts w:ascii="Times New Roman" w:hAnsi="Times New Roman" w:eastAsia="Times New Roman" w:cs="Times New Roman"/>
                <w:spacing w:val="-5"/>
              </w:rPr>
              <w:t>605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-5"/>
              </w:rPr>
              <w:t>县道</w:t>
            </w:r>
          </w:p>
        </w:tc>
        <w:tc>
          <w:tcPr>
            <w:tcW w:w="1469" w:type="dxa"/>
            <w:vAlign w:val="top"/>
          </w:tcPr>
          <w:p w14:paraId="541E7B7E">
            <w:pPr>
              <w:pStyle w:val="6"/>
              <w:spacing w:before="196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4D83C1F4">
            <w:pPr>
              <w:pStyle w:val="6"/>
              <w:spacing w:before="40" w:line="222" w:lineRule="auto"/>
              <w:ind w:left="601" w:right="86" w:hanging="503"/>
            </w:pPr>
            <w:r>
              <w:rPr>
                <w:spacing w:val="-1"/>
              </w:rPr>
              <w:t>起：桃坑，止：下田坞，长约</w:t>
            </w:r>
            <w:r>
              <w:rPr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29135 </w:t>
            </w:r>
            <w:r>
              <w:rPr>
                <w:spacing w:val="-2"/>
              </w:rPr>
              <w:t>米，宽约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7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2"/>
              </w:rPr>
              <w:t>米</w:t>
            </w:r>
          </w:p>
        </w:tc>
        <w:tc>
          <w:tcPr>
            <w:tcW w:w="585" w:type="dxa"/>
            <w:vAlign w:val="top"/>
          </w:tcPr>
          <w:p w14:paraId="330C6CF6">
            <w:pPr>
              <w:spacing w:before="237" w:line="188" w:lineRule="auto"/>
              <w:ind w:left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975" w:type="dxa"/>
            <w:vAlign w:val="top"/>
          </w:tcPr>
          <w:p w14:paraId="33CEFEC5">
            <w:pPr>
              <w:pStyle w:val="6"/>
              <w:spacing w:before="195" w:line="220" w:lineRule="auto"/>
              <w:ind w:left="140"/>
            </w:pPr>
            <w:r>
              <w:rPr>
                <w:spacing w:val="-6"/>
              </w:rPr>
              <w:t>古溪路</w:t>
            </w:r>
          </w:p>
        </w:tc>
        <w:tc>
          <w:tcPr>
            <w:tcW w:w="1092" w:type="dxa"/>
            <w:vAlign w:val="top"/>
          </w:tcPr>
          <w:p w14:paraId="358E738F">
            <w:pPr>
              <w:pStyle w:val="6"/>
              <w:spacing w:before="196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76E974BC">
            <w:pPr>
              <w:pStyle w:val="6"/>
              <w:spacing w:before="39" w:line="220" w:lineRule="auto"/>
              <w:ind w:left="46"/>
            </w:pPr>
            <w:r>
              <w:rPr>
                <w:spacing w:val="-1"/>
              </w:rPr>
              <w:t>起：马园隧道口，止：解放路，长约</w:t>
            </w:r>
          </w:p>
          <w:p w14:paraId="4D7B3FF1">
            <w:pPr>
              <w:pStyle w:val="6"/>
              <w:spacing w:before="25" w:line="205" w:lineRule="auto"/>
              <w:ind w:left="981"/>
            </w:pPr>
            <w:r>
              <w:rPr>
                <w:rFonts w:ascii="Times New Roman" w:hAnsi="Times New Roman" w:eastAsia="Times New Roman" w:cs="Times New Roman"/>
                <w:spacing w:val="-4"/>
              </w:rPr>
              <w:t xml:space="preserve">800 </w:t>
            </w:r>
            <w:r>
              <w:rPr>
                <w:spacing w:val="-4"/>
              </w:rPr>
              <w:t>米，宽约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19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4"/>
              </w:rPr>
              <w:t>米</w:t>
            </w:r>
          </w:p>
        </w:tc>
      </w:tr>
      <w:tr w14:paraId="7E198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4" w:type="dxa"/>
            <w:vAlign w:val="top"/>
          </w:tcPr>
          <w:p w14:paraId="5BCBF02D">
            <w:pPr>
              <w:spacing w:before="241" w:line="185" w:lineRule="auto"/>
              <w:ind w:left="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vAlign w:val="top"/>
          </w:tcPr>
          <w:p w14:paraId="178BF34A">
            <w:pPr>
              <w:pStyle w:val="6"/>
              <w:spacing w:before="195" w:line="222" w:lineRule="auto"/>
              <w:ind w:left="126"/>
            </w:pPr>
            <w:r>
              <w:rPr>
                <w:rFonts w:ascii="Times New Roman" w:hAnsi="Times New Roman" w:eastAsia="Times New Roman" w:cs="Times New Roman"/>
                <w:spacing w:val="-5"/>
              </w:rPr>
              <w:t>609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-5"/>
              </w:rPr>
              <w:t>县道</w:t>
            </w:r>
          </w:p>
        </w:tc>
        <w:tc>
          <w:tcPr>
            <w:tcW w:w="1469" w:type="dxa"/>
            <w:vAlign w:val="top"/>
          </w:tcPr>
          <w:p w14:paraId="17E543C3">
            <w:pPr>
              <w:pStyle w:val="6"/>
              <w:spacing w:before="196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740BA898">
            <w:pPr>
              <w:pStyle w:val="6"/>
              <w:spacing w:before="39" w:line="223" w:lineRule="auto"/>
              <w:ind w:left="937" w:right="2" w:hanging="923"/>
            </w:pPr>
            <w:r>
              <w:rPr>
                <w:spacing w:val="-18"/>
              </w:rPr>
              <w:t xml:space="preserve">起：城关，止：华埠，长约 </w:t>
            </w:r>
            <w:r>
              <w:rPr>
                <w:rFonts w:ascii="Times New Roman" w:hAnsi="Times New Roman" w:eastAsia="Times New Roman" w:cs="Times New Roman"/>
                <w:spacing w:val="-18"/>
              </w:rPr>
              <w:t>17085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8"/>
              </w:rPr>
              <w:t>米，宽约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6 </w:t>
            </w:r>
            <w:r>
              <w:rPr>
                <w:spacing w:val="8"/>
              </w:rPr>
              <w:t>米</w:t>
            </w:r>
          </w:p>
        </w:tc>
        <w:tc>
          <w:tcPr>
            <w:tcW w:w="585" w:type="dxa"/>
            <w:vAlign w:val="top"/>
          </w:tcPr>
          <w:p w14:paraId="19509EEE">
            <w:pPr>
              <w:spacing w:before="238" w:line="188" w:lineRule="auto"/>
              <w:ind w:left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975" w:type="dxa"/>
            <w:vAlign w:val="top"/>
          </w:tcPr>
          <w:p w14:paraId="1B6C8ADB">
            <w:pPr>
              <w:pStyle w:val="6"/>
              <w:spacing w:before="196" w:line="220" w:lineRule="auto"/>
              <w:ind w:left="135"/>
            </w:pPr>
            <w:r>
              <w:rPr>
                <w:spacing w:val="-4"/>
              </w:rPr>
              <w:t>开元路</w:t>
            </w:r>
          </w:p>
        </w:tc>
        <w:tc>
          <w:tcPr>
            <w:tcW w:w="1092" w:type="dxa"/>
            <w:vAlign w:val="top"/>
          </w:tcPr>
          <w:p w14:paraId="4C2F0F6D">
            <w:pPr>
              <w:pStyle w:val="6"/>
              <w:spacing w:before="196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1B19D879">
            <w:pPr>
              <w:pStyle w:val="6"/>
              <w:spacing w:before="39" w:line="223" w:lineRule="auto"/>
              <w:ind w:left="934" w:right="38" w:hanging="888"/>
            </w:pPr>
            <w:r>
              <w:rPr>
                <w:spacing w:val="-1"/>
              </w:rPr>
              <w:t>起：江东北路，止：凤凰中路，长约</w:t>
            </w:r>
            <w:r>
              <w:rPr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1302 </w:t>
            </w:r>
            <w:r>
              <w:rPr>
                <w:spacing w:val="-3"/>
              </w:rPr>
              <w:t>米，宽约</w:t>
            </w:r>
            <w:r>
              <w:rPr>
                <w:spacing w:val="-5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22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3"/>
              </w:rPr>
              <w:t>米</w:t>
            </w:r>
          </w:p>
        </w:tc>
      </w:tr>
      <w:tr w14:paraId="762A9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4" w:type="dxa"/>
            <w:vAlign w:val="top"/>
          </w:tcPr>
          <w:p w14:paraId="24499B5A">
            <w:pPr>
              <w:spacing w:before="237" w:line="188" w:lineRule="auto"/>
              <w:ind w:left="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vAlign w:val="top"/>
          </w:tcPr>
          <w:p w14:paraId="571A484A">
            <w:pPr>
              <w:pStyle w:val="6"/>
              <w:spacing w:before="195" w:line="219" w:lineRule="auto"/>
              <w:ind w:left="213"/>
            </w:pPr>
            <w:r>
              <w:rPr>
                <w:spacing w:val="-4"/>
              </w:rPr>
              <w:t>城白线</w:t>
            </w:r>
          </w:p>
        </w:tc>
        <w:tc>
          <w:tcPr>
            <w:tcW w:w="1469" w:type="dxa"/>
            <w:vAlign w:val="top"/>
          </w:tcPr>
          <w:p w14:paraId="04548116">
            <w:pPr>
              <w:pStyle w:val="6"/>
              <w:spacing w:before="196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18F2F3FC">
            <w:pPr>
              <w:pStyle w:val="6"/>
              <w:spacing w:before="39" w:line="223" w:lineRule="auto"/>
              <w:ind w:left="845" w:right="2" w:hanging="831"/>
            </w:pPr>
            <w:r>
              <w:rPr>
                <w:spacing w:val="-17"/>
              </w:rPr>
              <w:t>起：独山，止：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G351</w:t>
            </w:r>
            <w:r>
              <w:rPr>
                <w:spacing w:val="-17"/>
              </w:rPr>
              <w:t>，长约</w:t>
            </w:r>
            <w:r>
              <w:rPr>
                <w:spacing w:val="-5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>40061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2"/>
              </w:rPr>
              <w:t>米，宽约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8.5 </w:t>
            </w:r>
            <w:r>
              <w:rPr>
                <w:spacing w:val="-2"/>
              </w:rPr>
              <w:t>米</w:t>
            </w:r>
          </w:p>
        </w:tc>
        <w:tc>
          <w:tcPr>
            <w:tcW w:w="585" w:type="dxa"/>
            <w:vAlign w:val="top"/>
          </w:tcPr>
          <w:p w14:paraId="2C42BEF9">
            <w:pPr>
              <w:spacing w:before="237" w:line="188" w:lineRule="auto"/>
              <w:ind w:left="1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975" w:type="dxa"/>
            <w:vAlign w:val="top"/>
          </w:tcPr>
          <w:p w14:paraId="768E28A9">
            <w:pPr>
              <w:pStyle w:val="6"/>
              <w:spacing w:before="196" w:line="220" w:lineRule="auto"/>
              <w:ind w:left="134"/>
            </w:pPr>
            <w:r>
              <w:rPr>
                <w:spacing w:val="-4"/>
              </w:rPr>
              <w:t>双桥路</w:t>
            </w:r>
          </w:p>
        </w:tc>
        <w:tc>
          <w:tcPr>
            <w:tcW w:w="1092" w:type="dxa"/>
            <w:vAlign w:val="top"/>
          </w:tcPr>
          <w:p w14:paraId="31FCBA65">
            <w:pPr>
              <w:pStyle w:val="6"/>
              <w:spacing w:before="196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64B385B1">
            <w:pPr>
              <w:pStyle w:val="6"/>
              <w:spacing w:before="39" w:line="223" w:lineRule="auto"/>
              <w:ind w:left="1431" w:hanging="1416"/>
            </w:pPr>
            <w:r>
              <w:rPr>
                <w:spacing w:val="-5"/>
              </w:rPr>
              <w:t>起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:</w:t>
            </w:r>
            <w:r>
              <w:rPr>
                <w:spacing w:val="-5"/>
              </w:rPr>
              <w:t>解放路，止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:</w:t>
            </w:r>
            <w:r>
              <w:rPr>
                <w:spacing w:val="-5"/>
              </w:rPr>
              <w:t>山深线，长约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600 </w:t>
            </w:r>
            <w:r>
              <w:rPr>
                <w:spacing w:val="-5"/>
              </w:rPr>
              <w:t>米，</w:t>
            </w:r>
            <w:r>
              <w:t xml:space="preserve"> </w:t>
            </w:r>
            <w:r>
              <w:rPr>
                <w:spacing w:val="-10"/>
              </w:rPr>
              <w:t>宽约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18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10"/>
              </w:rPr>
              <w:t>米</w:t>
            </w:r>
          </w:p>
        </w:tc>
      </w:tr>
      <w:tr w14:paraId="110EE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94" w:type="dxa"/>
            <w:vAlign w:val="top"/>
          </w:tcPr>
          <w:p w14:paraId="1C7F1327">
            <w:pPr>
              <w:spacing w:line="325" w:lineRule="auto"/>
              <w:rPr>
                <w:rFonts w:ascii="Arial"/>
                <w:sz w:val="21"/>
              </w:rPr>
            </w:pPr>
          </w:p>
          <w:p w14:paraId="46B5A0F6">
            <w:pPr>
              <w:spacing w:before="69" w:line="185" w:lineRule="auto"/>
              <w:ind w:left="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vAlign w:val="top"/>
          </w:tcPr>
          <w:p w14:paraId="324D36F8">
            <w:pPr>
              <w:spacing w:line="272" w:lineRule="auto"/>
              <w:rPr>
                <w:rFonts w:ascii="Arial"/>
                <w:sz w:val="21"/>
              </w:rPr>
            </w:pPr>
          </w:p>
          <w:p w14:paraId="5CE83C20">
            <w:pPr>
              <w:pStyle w:val="6"/>
              <w:spacing w:before="78" w:line="219" w:lineRule="auto"/>
              <w:ind w:left="217"/>
            </w:pPr>
            <w:r>
              <w:rPr>
                <w:spacing w:val="-5"/>
              </w:rPr>
              <w:t>芹南路</w:t>
            </w:r>
          </w:p>
        </w:tc>
        <w:tc>
          <w:tcPr>
            <w:tcW w:w="1469" w:type="dxa"/>
            <w:vAlign w:val="top"/>
          </w:tcPr>
          <w:p w14:paraId="054D374A">
            <w:pPr>
              <w:spacing w:line="272" w:lineRule="auto"/>
              <w:rPr>
                <w:rFonts w:ascii="Arial"/>
                <w:sz w:val="21"/>
              </w:rPr>
            </w:pPr>
          </w:p>
          <w:p w14:paraId="36C4CC50">
            <w:pPr>
              <w:pStyle w:val="6"/>
              <w:spacing w:before="78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0F83D90D">
            <w:pPr>
              <w:pStyle w:val="6"/>
              <w:spacing w:before="39" w:line="219" w:lineRule="auto"/>
              <w:ind w:right="2"/>
              <w:jc w:val="right"/>
            </w:pPr>
            <w:r>
              <w:rPr>
                <w:spacing w:val="-6"/>
              </w:rPr>
              <w:t>起：芹江二桥，止：城华线与芹</w:t>
            </w:r>
          </w:p>
          <w:p w14:paraId="1BFD6D4D">
            <w:pPr>
              <w:pStyle w:val="6"/>
              <w:spacing w:before="27" w:line="220" w:lineRule="auto"/>
              <w:ind w:left="40"/>
            </w:pPr>
            <w:r>
              <w:rPr>
                <w:spacing w:val="-2"/>
              </w:rPr>
              <w:t>南路接线处，长约</w:t>
            </w:r>
            <w:r>
              <w:rPr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1710 </w:t>
            </w:r>
            <w:r>
              <w:rPr>
                <w:spacing w:val="-2"/>
              </w:rPr>
              <w:t>米，宽</w:t>
            </w:r>
          </w:p>
          <w:p w14:paraId="40658CE8">
            <w:pPr>
              <w:pStyle w:val="6"/>
              <w:spacing w:before="25" w:line="205" w:lineRule="auto"/>
              <w:ind w:left="1242"/>
            </w:pPr>
            <w:r>
              <w:rPr>
                <w:spacing w:val="-6"/>
              </w:rPr>
              <w:t>约</w:t>
            </w:r>
            <w:r>
              <w:rPr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6"/>
              </w:rPr>
              <w:t>米</w:t>
            </w:r>
          </w:p>
        </w:tc>
        <w:tc>
          <w:tcPr>
            <w:tcW w:w="585" w:type="dxa"/>
            <w:vAlign w:val="top"/>
          </w:tcPr>
          <w:p w14:paraId="443D23AF">
            <w:pPr>
              <w:spacing w:line="322" w:lineRule="auto"/>
              <w:rPr>
                <w:rFonts w:ascii="Arial"/>
                <w:sz w:val="21"/>
              </w:rPr>
            </w:pPr>
          </w:p>
          <w:p w14:paraId="5C8F47C8">
            <w:pPr>
              <w:spacing w:before="69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975" w:type="dxa"/>
            <w:vAlign w:val="top"/>
          </w:tcPr>
          <w:p w14:paraId="5A977860">
            <w:pPr>
              <w:spacing w:line="272" w:lineRule="auto"/>
              <w:rPr>
                <w:rFonts w:ascii="Arial"/>
                <w:sz w:val="21"/>
              </w:rPr>
            </w:pPr>
          </w:p>
          <w:p w14:paraId="2AE9CACD">
            <w:pPr>
              <w:pStyle w:val="6"/>
              <w:spacing w:before="78" w:line="220" w:lineRule="auto"/>
              <w:ind w:left="135"/>
            </w:pPr>
            <w:r>
              <w:rPr>
                <w:spacing w:val="-4"/>
              </w:rPr>
              <w:t>华康路</w:t>
            </w:r>
          </w:p>
        </w:tc>
        <w:tc>
          <w:tcPr>
            <w:tcW w:w="1092" w:type="dxa"/>
            <w:vAlign w:val="top"/>
          </w:tcPr>
          <w:p w14:paraId="201FC63D">
            <w:pPr>
              <w:spacing w:line="272" w:lineRule="auto"/>
              <w:rPr>
                <w:rFonts w:ascii="Arial"/>
                <w:sz w:val="21"/>
              </w:rPr>
            </w:pPr>
          </w:p>
          <w:p w14:paraId="016316D2">
            <w:pPr>
              <w:pStyle w:val="6"/>
              <w:spacing w:before="78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21AFA8A8">
            <w:pPr>
              <w:pStyle w:val="6"/>
              <w:spacing w:before="195" w:line="230" w:lineRule="auto"/>
              <w:ind w:left="1412" w:hanging="1397"/>
            </w:pPr>
            <w:r>
              <w:rPr>
                <w:spacing w:val="-16"/>
              </w:rPr>
              <w:t>起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>:</w:t>
            </w:r>
            <w:r>
              <w:rPr>
                <w:spacing w:val="-16"/>
              </w:rPr>
              <w:t>华埠大桥，止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>:</w:t>
            </w:r>
            <w:r>
              <w:rPr>
                <w:spacing w:val="-16"/>
              </w:rPr>
              <w:t>龙岗路，长约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 xml:space="preserve">700 </w:t>
            </w:r>
            <w:r>
              <w:rPr>
                <w:spacing w:val="-16"/>
              </w:rPr>
              <w:t>米，</w:t>
            </w:r>
            <w:r>
              <w:t xml:space="preserve"> </w:t>
            </w:r>
            <w:r>
              <w:rPr>
                <w:spacing w:val="-7"/>
              </w:rPr>
              <w:t>宽约</w:t>
            </w:r>
            <w:r>
              <w:rPr>
                <w:spacing w:val="-5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7"/>
              </w:rPr>
              <w:t>米</w:t>
            </w:r>
          </w:p>
        </w:tc>
      </w:tr>
      <w:tr w14:paraId="633BD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94" w:type="dxa"/>
            <w:vAlign w:val="top"/>
          </w:tcPr>
          <w:p w14:paraId="3B19660B">
            <w:pPr>
              <w:spacing w:before="237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vAlign w:val="top"/>
          </w:tcPr>
          <w:p w14:paraId="026261C3">
            <w:pPr>
              <w:pStyle w:val="6"/>
              <w:spacing w:before="196" w:line="219" w:lineRule="auto"/>
              <w:ind w:left="217"/>
            </w:pPr>
            <w:r>
              <w:rPr>
                <w:spacing w:val="-5"/>
              </w:rPr>
              <w:t>芹北路</w:t>
            </w:r>
          </w:p>
        </w:tc>
        <w:tc>
          <w:tcPr>
            <w:tcW w:w="1469" w:type="dxa"/>
            <w:vAlign w:val="top"/>
          </w:tcPr>
          <w:p w14:paraId="5CA0F1AB">
            <w:pPr>
              <w:pStyle w:val="6"/>
              <w:spacing w:before="196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5313C3C6">
            <w:pPr>
              <w:pStyle w:val="6"/>
              <w:spacing w:before="39" w:line="223" w:lineRule="auto"/>
              <w:ind w:left="462" w:right="2" w:hanging="448"/>
            </w:pPr>
            <w:r>
              <w:rPr>
                <w:spacing w:val="-6"/>
              </w:rPr>
              <w:t>起：江滨北路，止：根博路，长</w:t>
            </w:r>
            <w:r>
              <w:t xml:space="preserve"> </w:t>
            </w:r>
            <w:r>
              <w:rPr>
                <w:spacing w:val="-2"/>
              </w:rPr>
              <w:t>约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2293 </w:t>
            </w:r>
            <w:r>
              <w:rPr>
                <w:spacing w:val="-2"/>
              </w:rPr>
              <w:t>米，宽约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2"/>
              </w:rPr>
              <w:t>米</w:t>
            </w:r>
          </w:p>
        </w:tc>
        <w:tc>
          <w:tcPr>
            <w:tcW w:w="585" w:type="dxa"/>
            <w:vAlign w:val="top"/>
          </w:tcPr>
          <w:p w14:paraId="3123D48B">
            <w:pPr>
              <w:spacing w:before="238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975" w:type="dxa"/>
            <w:vAlign w:val="top"/>
          </w:tcPr>
          <w:p w14:paraId="15A37DD4">
            <w:pPr>
              <w:pStyle w:val="6"/>
              <w:spacing w:before="195" w:line="219" w:lineRule="auto"/>
              <w:ind w:left="134"/>
            </w:pPr>
            <w:r>
              <w:rPr>
                <w:spacing w:val="-4"/>
              </w:rPr>
              <w:t>城底线</w:t>
            </w:r>
          </w:p>
        </w:tc>
        <w:tc>
          <w:tcPr>
            <w:tcW w:w="1092" w:type="dxa"/>
            <w:vAlign w:val="top"/>
          </w:tcPr>
          <w:p w14:paraId="3AF555F4">
            <w:pPr>
              <w:pStyle w:val="6"/>
              <w:spacing w:before="196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48A9FFF1">
            <w:pPr>
              <w:pStyle w:val="6"/>
              <w:spacing w:before="39" w:line="223" w:lineRule="auto"/>
              <w:ind w:left="1245" w:right="4" w:hanging="1230"/>
            </w:pPr>
            <w:r>
              <w:rPr>
                <w:spacing w:val="-2"/>
              </w:rPr>
              <w:t>起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:</w:t>
            </w:r>
            <w:r>
              <w:rPr>
                <w:spacing w:val="-2"/>
              </w:rPr>
              <w:t>城底线，止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:</w:t>
            </w:r>
            <w:r>
              <w:rPr>
                <w:spacing w:val="-2"/>
              </w:rPr>
              <w:t>大黄山村，长约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86180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2"/>
              </w:rPr>
              <w:t>米，宽约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5 </w:t>
            </w:r>
            <w:r>
              <w:rPr>
                <w:spacing w:val="-2"/>
              </w:rPr>
              <w:t>米</w:t>
            </w:r>
          </w:p>
        </w:tc>
      </w:tr>
      <w:tr w14:paraId="30AA67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94" w:type="dxa"/>
            <w:vAlign w:val="top"/>
          </w:tcPr>
          <w:p w14:paraId="54ED2569">
            <w:pPr>
              <w:spacing w:before="237" w:line="188" w:lineRule="auto"/>
              <w:ind w:left="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139" w:type="dxa"/>
            <w:vAlign w:val="top"/>
          </w:tcPr>
          <w:p w14:paraId="48419410">
            <w:pPr>
              <w:pStyle w:val="6"/>
              <w:spacing w:before="195" w:line="220" w:lineRule="auto"/>
              <w:ind w:left="213"/>
            </w:pPr>
            <w:r>
              <w:rPr>
                <w:spacing w:val="-3"/>
              </w:rPr>
              <w:t>湘溪路</w:t>
            </w:r>
          </w:p>
        </w:tc>
        <w:tc>
          <w:tcPr>
            <w:tcW w:w="1469" w:type="dxa"/>
            <w:vAlign w:val="top"/>
          </w:tcPr>
          <w:p w14:paraId="76595083">
            <w:pPr>
              <w:pStyle w:val="6"/>
              <w:spacing w:before="196" w:line="219" w:lineRule="auto"/>
              <w:ind w:left="144"/>
            </w:pPr>
            <w:r>
              <w:rPr>
                <w:spacing w:val="-3"/>
              </w:rPr>
              <w:t>一级主干路</w:t>
            </w:r>
          </w:p>
        </w:tc>
        <w:tc>
          <w:tcPr>
            <w:tcW w:w="3299" w:type="dxa"/>
            <w:vAlign w:val="top"/>
          </w:tcPr>
          <w:p w14:paraId="177C6B35">
            <w:pPr>
              <w:pStyle w:val="6"/>
              <w:spacing w:before="40" w:line="222" w:lineRule="auto"/>
              <w:ind w:left="305" w:hanging="291"/>
            </w:pPr>
            <w:r>
              <w:rPr>
                <w:spacing w:val="-6"/>
              </w:rPr>
              <w:t>起：芹北路，止：开化高速口，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长约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822 </w:t>
            </w:r>
            <w:r>
              <w:rPr>
                <w:spacing w:val="-4"/>
              </w:rPr>
              <w:t>米，宽约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16.8 </w:t>
            </w:r>
            <w:r>
              <w:rPr>
                <w:spacing w:val="-4"/>
              </w:rPr>
              <w:t>米</w:t>
            </w:r>
          </w:p>
        </w:tc>
        <w:tc>
          <w:tcPr>
            <w:tcW w:w="585" w:type="dxa"/>
            <w:vAlign w:val="top"/>
          </w:tcPr>
          <w:p w14:paraId="3AFD1BCD">
            <w:pPr>
              <w:spacing w:before="237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975" w:type="dxa"/>
            <w:vAlign w:val="top"/>
          </w:tcPr>
          <w:p w14:paraId="1C331EF2">
            <w:pPr>
              <w:pStyle w:val="6"/>
              <w:spacing w:before="195" w:line="220" w:lineRule="auto"/>
              <w:ind w:left="135"/>
            </w:pPr>
            <w:r>
              <w:rPr>
                <w:spacing w:val="-4"/>
              </w:rPr>
              <w:t>钟山路</w:t>
            </w:r>
          </w:p>
        </w:tc>
        <w:tc>
          <w:tcPr>
            <w:tcW w:w="1092" w:type="dxa"/>
            <w:vAlign w:val="top"/>
          </w:tcPr>
          <w:p w14:paraId="25FA62EB">
            <w:pPr>
              <w:pStyle w:val="6"/>
              <w:spacing w:before="196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53B6AD36">
            <w:pPr>
              <w:pStyle w:val="6"/>
              <w:spacing w:before="40" w:line="217" w:lineRule="auto"/>
              <w:ind w:left="46"/>
            </w:pPr>
            <w:r>
              <w:rPr>
                <w:spacing w:val="-1"/>
              </w:rPr>
              <w:t>起：江滨北路，止：泰康花园，长约</w:t>
            </w:r>
          </w:p>
          <w:p w14:paraId="715455DA">
            <w:pPr>
              <w:pStyle w:val="6"/>
              <w:spacing w:before="29" w:line="205" w:lineRule="auto"/>
              <w:ind w:left="976"/>
            </w:pPr>
            <w:r>
              <w:rPr>
                <w:rFonts w:ascii="Times New Roman" w:hAnsi="Times New Roman" w:eastAsia="Times New Roman" w:cs="Times New Roman"/>
                <w:spacing w:val="-4"/>
              </w:rPr>
              <w:t xml:space="preserve">942 </w:t>
            </w:r>
            <w:r>
              <w:rPr>
                <w:spacing w:val="-4"/>
              </w:rPr>
              <w:t>米，宽约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4"/>
              </w:rPr>
              <w:t>米</w:t>
            </w:r>
          </w:p>
        </w:tc>
      </w:tr>
      <w:tr w14:paraId="3B1CF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94" w:type="dxa"/>
            <w:vAlign w:val="top"/>
          </w:tcPr>
          <w:p w14:paraId="5E1BEBD7">
            <w:pPr>
              <w:spacing w:before="240" w:line="188" w:lineRule="auto"/>
              <w:ind w:left="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1139" w:type="dxa"/>
            <w:vAlign w:val="top"/>
          </w:tcPr>
          <w:p w14:paraId="7CA3D074">
            <w:pPr>
              <w:pStyle w:val="6"/>
              <w:spacing w:before="199" w:line="217" w:lineRule="auto"/>
              <w:ind w:left="94"/>
            </w:pPr>
            <w:r>
              <w:rPr>
                <w:spacing w:val="-3"/>
              </w:rPr>
              <w:t>江滨北路</w:t>
            </w:r>
          </w:p>
        </w:tc>
        <w:tc>
          <w:tcPr>
            <w:tcW w:w="1469" w:type="dxa"/>
            <w:vAlign w:val="top"/>
          </w:tcPr>
          <w:p w14:paraId="25B6D40E">
            <w:pPr>
              <w:pStyle w:val="6"/>
              <w:spacing w:before="199" w:line="219" w:lineRule="auto"/>
              <w:ind w:left="144"/>
            </w:pPr>
            <w:r>
              <w:rPr>
                <w:spacing w:val="-3"/>
              </w:rPr>
              <w:t>二级主干路</w:t>
            </w:r>
          </w:p>
        </w:tc>
        <w:tc>
          <w:tcPr>
            <w:tcW w:w="3299" w:type="dxa"/>
            <w:vAlign w:val="top"/>
          </w:tcPr>
          <w:p w14:paraId="71ACAA73">
            <w:pPr>
              <w:pStyle w:val="6"/>
              <w:spacing w:before="43" w:line="222" w:lineRule="auto"/>
              <w:ind w:left="462" w:right="2" w:hanging="448"/>
            </w:pPr>
            <w:r>
              <w:rPr>
                <w:spacing w:val="-6"/>
              </w:rPr>
              <w:t>起：芹北路，止：芹江大桥，长</w:t>
            </w:r>
            <w:r>
              <w:t xml:space="preserve"> </w:t>
            </w:r>
            <w:r>
              <w:rPr>
                <w:spacing w:val="-6"/>
              </w:rPr>
              <w:t>约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1073 </w:t>
            </w:r>
            <w:r>
              <w:rPr>
                <w:spacing w:val="-6"/>
              </w:rPr>
              <w:t>米，宽约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14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6"/>
              </w:rPr>
              <w:t>米</w:t>
            </w:r>
          </w:p>
        </w:tc>
        <w:tc>
          <w:tcPr>
            <w:tcW w:w="585" w:type="dxa"/>
            <w:vAlign w:val="top"/>
          </w:tcPr>
          <w:p w14:paraId="43418896">
            <w:pPr>
              <w:spacing w:before="240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975" w:type="dxa"/>
            <w:vAlign w:val="top"/>
          </w:tcPr>
          <w:p w14:paraId="55C2735E">
            <w:pPr>
              <w:pStyle w:val="6"/>
              <w:spacing w:before="198" w:line="220" w:lineRule="auto"/>
              <w:ind w:left="16"/>
            </w:pPr>
            <w:r>
              <w:rPr>
                <w:spacing w:val="-3"/>
              </w:rPr>
              <w:t>永吉二路</w:t>
            </w:r>
          </w:p>
        </w:tc>
        <w:tc>
          <w:tcPr>
            <w:tcW w:w="1092" w:type="dxa"/>
            <w:vAlign w:val="top"/>
          </w:tcPr>
          <w:p w14:paraId="64199101">
            <w:pPr>
              <w:pStyle w:val="6"/>
              <w:spacing w:before="199" w:line="219" w:lineRule="auto"/>
              <w:ind w:left="200"/>
            </w:pPr>
            <w:r>
              <w:rPr>
                <w:spacing w:val="-6"/>
              </w:rPr>
              <w:t>次干路</w:t>
            </w:r>
          </w:p>
        </w:tc>
        <w:tc>
          <w:tcPr>
            <w:tcW w:w="3919" w:type="dxa"/>
            <w:vAlign w:val="top"/>
          </w:tcPr>
          <w:p w14:paraId="1C080FEB">
            <w:pPr>
              <w:pStyle w:val="6"/>
              <w:spacing w:before="43" w:line="222" w:lineRule="auto"/>
              <w:ind w:left="706" w:right="94" w:hanging="660"/>
            </w:pPr>
            <w:r>
              <w:rPr>
                <w:spacing w:val="-5"/>
              </w:rPr>
              <w:t>起：凤凰中路，止：东方文岚转盘，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长约</w:t>
            </w:r>
            <w:r>
              <w:rPr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492 </w:t>
            </w:r>
            <w:r>
              <w:rPr>
                <w:spacing w:val="-1"/>
              </w:rPr>
              <w:t>米，宽约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22 </w:t>
            </w:r>
            <w:r>
              <w:rPr>
                <w:spacing w:val="-1"/>
              </w:rPr>
              <w:t>米</w:t>
            </w:r>
          </w:p>
        </w:tc>
      </w:tr>
    </w:tbl>
    <w:p w14:paraId="0B10D4DA">
      <w:pPr>
        <w:pStyle w:val="2"/>
      </w:pPr>
    </w:p>
    <w:p w14:paraId="29DF1BEE">
      <w:pPr>
        <w:sectPr>
          <w:footerReference r:id="rId74" w:type="default"/>
          <w:pgSz w:w="16839" w:h="11906"/>
          <w:pgMar w:top="1012" w:right="2087" w:bottom="1151" w:left="1973" w:header="0" w:footer="989" w:gutter="0"/>
          <w:cols w:space="720" w:num="1"/>
        </w:sectPr>
      </w:pPr>
    </w:p>
    <w:p w14:paraId="44828DB7">
      <w:pPr>
        <w:spacing w:before="46"/>
      </w:pPr>
    </w:p>
    <w:p w14:paraId="665E1613">
      <w:pPr>
        <w:spacing w:before="46"/>
      </w:pPr>
    </w:p>
    <w:tbl>
      <w:tblPr>
        <w:tblStyle w:val="5"/>
        <w:tblW w:w="127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139"/>
        <w:gridCol w:w="1469"/>
        <w:gridCol w:w="3299"/>
        <w:gridCol w:w="585"/>
        <w:gridCol w:w="975"/>
        <w:gridCol w:w="1092"/>
        <w:gridCol w:w="3919"/>
      </w:tblGrid>
      <w:tr w14:paraId="302C11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294" w:type="dxa"/>
            <w:textDirection w:val="tbRlV"/>
            <w:vAlign w:val="top"/>
          </w:tcPr>
          <w:p w14:paraId="5C0D7DD2">
            <w:pPr>
              <w:pStyle w:val="6"/>
              <w:spacing w:before="25" w:line="210" w:lineRule="auto"/>
              <w:ind w:left="86"/>
            </w:pPr>
            <w:r>
              <w:t>序 号</w:t>
            </w:r>
          </w:p>
        </w:tc>
        <w:tc>
          <w:tcPr>
            <w:tcW w:w="1139" w:type="dxa"/>
            <w:vAlign w:val="top"/>
          </w:tcPr>
          <w:p w14:paraId="43FC05FA">
            <w:pPr>
              <w:pStyle w:val="6"/>
              <w:spacing w:before="266" w:line="220" w:lineRule="auto"/>
              <w:ind w:left="93"/>
            </w:pPr>
            <w:r>
              <w:rPr>
                <w:spacing w:val="-3"/>
              </w:rPr>
              <w:t>道路名称</w:t>
            </w:r>
          </w:p>
        </w:tc>
        <w:tc>
          <w:tcPr>
            <w:tcW w:w="1469" w:type="dxa"/>
            <w:vAlign w:val="top"/>
          </w:tcPr>
          <w:p w14:paraId="1E286E3F">
            <w:pPr>
              <w:pStyle w:val="6"/>
              <w:spacing w:before="266" w:line="220" w:lineRule="auto"/>
              <w:ind w:left="259"/>
            </w:pPr>
            <w:r>
              <w:rPr>
                <w:spacing w:val="-3"/>
              </w:rPr>
              <w:t>道路等级</w:t>
            </w:r>
          </w:p>
        </w:tc>
        <w:tc>
          <w:tcPr>
            <w:tcW w:w="3299" w:type="dxa"/>
            <w:vAlign w:val="top"/>
          </w:tcPr>
          <w:p w14:paraId="5382E14B">
            <w:pPr>
              <w:pStyle w:val="6"/>
              <w:spacing w:before="266" w:line="222" w:lineRule="auto"/>
              <w:ind w:left="1420"/>
            </w:pPr>
            <w:r>
              <w:rPr>
                <w:spacing w:val="-7"/>
              </w:rPr>
              <w:t>备注</w:t>
            </w:r>
          </w:p>
        </w:tc>
        <w:tc>
          <w:tcPr>
            <w:tcW w:w="585" w:type="dxa"/>
            <w:vAlign w:val="top"/>
          </w:tcPr>
          <w:p w14:paraId="4E23B3CB">
            <w:pPr>
              <w:pStyle w:val="6"/>
              <w:spacing w:before="266" w:line="222" w:lineRule="auto"/>
              <w:ind w:left="58"/>
            </w:pPr>
            <w:r>
              <w:rPr>
                <w:spacing w:val="-5"/>
              </w:rPr>
              <w:t>序号</w:t>
            </w:r>
          </w:p>
        </w:tc>
        <w:tc>
          <w:tcPr>
            <w:tcW w:w="975" w:type="dxa"/>
            <w:vAlign w:val="top"/>
          </w:tcPr>
          <w:p w14:paraId="6D2D11B0">
            <w:pPr>
              <w:pStyle w:val="6"/>
              <w:spacing w:before="266" w:line="220" w:lineRule="auto"/>
              <w:ind w:left="13"/>
            </w:pPr>
            <w:r>
              <w:rPr>
                <w:spacing w:val="-3"/>
              </w:rPr>
              <w:t>道路名称</w:t>
            </w:r>
          </w:p>
        </w:tc>
        <w:tc>
          <w:tcPr>
            <w:tcW w:w="1092" w:type="dxa"/>
            <w:vAlign w:val="top"/>
          </w:tcPr>
          <w:p w14:paraId="7A557980">
            <w:pPr>
              <w:pStyle w:val="6"/>
              <w:spacing w:before="266" w:line="220" w:lineRule="auto"/>
              <w:ind w:left="73"/>
            </w:pPr>
            <w:r>
              <w:rPr>
                <w:spacing w:val="-3"/>
              </w:rPr>
              <w:t>道路等级</w:t>
            </w:r>
          </w:p>
        </w:tc>
        <w:tc>
          <w:tcPr>
            <w:tcW w:w="3919" w:type="dxa"/>
            <w:vAlign w:val="top"/>
          </w:tcPr>
          <w:p w14:paraId="7C5CD25E">
            <w:pPr>
              <w:pStyle w:val="6"/>
              <w:spacing w:before="266" w:line="222" w:lineRule="auto"/>
              <w:ind w:left="1728"/>
            </w:pPr>
            <w:r>
              <w:rPr>
                <w:spacing w:val="-7"/>
              </w:rPr>
              <w:t>备注</w:t>
            </w:r>
          </w:p>
        </w:tc>
      </w:tr>
      <w:tr w14:paraId="7EF3C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94" w:type="dxa"/>
            <w:vAlign w:val="top"/>
          </w:tcPr>
          <w:p w14:paraId="463EC63C">
            <w:pPr>
              <w:spacing w:before="235" w:line="188" w:lineRule="auto"/>
              <w:ind w:left="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1139" w:type="dxa"/>
            <w:vAlign w:val="top"/>
          </w:tcPr>
          <w:p w14:paraId="6BF1E52E">
            <w:pPr>
              <w:pStyle w:val="6"/>
              <w:spacing w:before="194" w:line="217" w:lineRule="auto"/>
              <w:ind w:left="94"/>
            </w:pPr>
            <w:r>
              <w:rPr>
                <w:spacing w:val="-3"/>
              </w:rPr>
              <w:t>江滨中路</w:t>
            </w:r>
          </w:p>
        </w:tc>
        <w:tc>
          <w:tcPr>
            <w:tcW w:w="1469" w:type="dxa"/>
            <w:vAlign w:val="top"/>
          </w:tcPr>
          <w:p w14:paraId="2FAA3F9B">
            <w:pPr>
              <w:pStyle w:val="6"/>
              <w:spacing w:before="194" w:line="219" w:lineRule="auto"/>
              <w:ind w:left="144"/>
            </w:pPr>
            <w:r>
              <w:rPr>
                <w:spacing w:val="-3"/>
              </w:rPr>
              <w:t>二级主干路</w:t>
            </w:r>
          </w:p>
        </w:tc>
        <w:tc>
          <w:tcPr>
            <w:tcW w:w="3299" w:type="dxa"/>
            <w:vAlign w:val="top"/>
          </w:tcPr>
          <w:p w14:paraId="1342317A">
            <w:pPr>
              <w:pStyle w:val="6"/>
              <w:spacing w:before="38" w:line="223" w:lineRule="auto"/>
              <w:ind w:left="336" w:hanging="322"/>
            </w:pPr>
            <w:r>
              <w:rPr>
                <w:spacing w:val="-6"/>
              </w:rPr>
              <w:t>起：芹江大桥，止：芹江二桥，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长约</w:t>
            </w:r>
            <w:r>
              <w:rPr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1046 </w:t>
            </w:r>
            <w:r>
              <w:rPr>
                <w:spacing w:val="-5"/>
              </w:rPr>
              <w:t>米，宽约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14 </w:t>
            </w:r>
            <w:r>
              <w:rPr>
                <w:spacing w:val="-5"/>
              </w:rPr>
              <w:t>米</w:t>
            </w:r>
          </w:p>
        </w:tc>
        <w:tc>
          <w:tcPr>
            <w:tcW w:w="585" w:type="dxa"/>
            <w:vAlign w:val="top"/>
          </w:tcPr>
          <w:p w14:paraId="3AF74E02">
            <w:pPr>
              <w:spacing w:before="235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975" w:type="dxa"/>
            <w:vAlign w:val="top"/>
          </w:tcPr>
          <w:p w14:paraId="43341FDD">
            <w:pPr>
              <w:pStyle w:val="6"/>
              <w:spacing w:before="38" w:line="223" w:lineRule="auto"/>
              <w:ind w:left="373" w:right="4" w:hanging="360"/>
            </w:pPr>
            <w:r>
              <w:rPr>
                <w:spacing w:val="-3"/>
              </w:rPr>
              <w:t>杭新景高</w:t>
            </w:r>
            <w:r>
              <w:rPr>
                <w:spacing w:val="2"/>
              </w:rPr>
              <w:t xml:space="preserve"> </w:t>
            </w:r>
            <w:r>
              <w:t>速</w:t>
            </w:r>
          </w:p>
        </w:tc>
        <w:tc>
          <w:tcPr>
            <w:tcW w:w="1092" w:type="dxa"/>
            <w:vAlign w:val="top"/>
          </w:tcPr>
          <w:p w14:paraId="2551AE70">
            <w:pPr>
              <w:pStyle w:val="6"/>
              <w:spacing w:before="193" w:line="220" w:lineRule="auto"/>
              <w:ind w:left="80"/>
            </w:pPr>
            <w:r>
              <w:rPr>
                <w:spacing w:val="-4"/>
              </w:rPr>
              <w:t>高速公路</w:t>
            </w:r>
          </w:p>
        </w:tc>
        <w:tc>
          <w:tcPr>
            <w:tcW w:w="3919" w:type="dxa"/>
            <w:vAlign w:val="top"/>
          </w:tcPr>
          <w:p w14:paraId="7E9B7403">
            <w:pPr>
              <w:pStyle w:val="6"/>
              <w:spacing w:before="38" w:line="223" w:lineRule="auto"/>
              <w:ind w:left="622" w:right="38" w:hanging="576"/>
            </w:pPr>
            <w:r>
              <w:rPr>
                <w:spacing w:val="-1"/>
              </w:rPr>
              <w:t>起：仰天堂隧道，止：小关大桥，长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约</w:t>
            </w:r>
            <w:r>
              <w:rPr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62084 </w:t>
            </w:r>
            <w:r>
              <w:rPr>
                <w:spacing w:val="-2"/>
              </w:rPr>
              <w:t>米，宽约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22.5 </w:t>
            </w:r>
            <w:r>
              <w:rPr>
                <w:spacing w:val="-2"/>
              </w:rPr>
              <w:t>米</w:t>
            </w:r>
          </w:p>
        </w:tc>
      </w:tr>
      <w:tr w14:paraId="65F68D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94" w:type="dxa"/>
            <w:vAlign w:val="top"/>
          </w:tcPr>
          <w:p w14:paraId="629EA3C4">
            <w:pPr>
              <w:spacing w:before="238" w:line="188" w:lineRule="auto"/>
              <w:ind w:left="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1139" w:type="dxa"/>
            <w:vAlign w:val="top"/>
          </w:tcPr>
          <w:p w14:paraId="4ECC8D99">
            <w:pPr>
              <w:pStyle w:val="6"/>
              <w:spacing w:before="197" w:line="217" w:lineRule="auto"/>
              <w:ind w:left="94"/>
            </w:pPr>
            <w:r>
              <w:rPr>
                <w:spacing w:val="-3"/>
              </w:rPr>
              <w:t>江滨南路</w:t>
            </w:r>
          </w:p>
        </w:tc>
        <w:tc>
          <w:tcPr>
            <w:tcW w:w="1469" w:type="dxa"/>
            <w:vAlign w:val="top"/>
          </w:tcPr>
          <w:p w14:paraId="343C8C3D">
            <w:pPr>
              <w:pStyle w:val="6"/>
              <w:spacing w:before="197" w:line="219" w:lineRule="auto"/>
              <w:ind w:left="144"/>
            </w:pPr>
            <w:r>
              <w:rPr>
                <w:spacing w:val="-3"/>
              </w:rPr>
              <w:t>二级主干路</w:t>
            </w:r>
          </w:p>
        </w:tc>
        <w:tc>
          <w:tcPr>
            <w:tcW w:w="3299" w:type="dxa"/>
            <w:vAlign w:val="top"/>
          </w:tcPr>
          <w:p w14:paraId="624100B0">
            <w:pPr>
              <w:pStyle w:val="6"/>
              <w:spacing w:before="40" w:line="222" w:lineRule="auto"/>
              <w:ind w:left="462" w:right="2" w:hanging="448"/>
            </w:pPr>
            <w:r>
              <w:rPr>
                <w:spacing w:val="-6"/>
              </w:rPr>
              <w:t>起：芹江二桥，止：灵山路，长</w:t>
            </w:r>
            <w:r>
              <w:t xml:space="preserve"> </w:t>
            </w:r>
            <w:r>
              <w:rPr>
                <w:spacing w:val="-4"/>
              </w:rPr>
              <w:t>约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1238 </w:t>
            </w:r>
            <w:r>
              <w:rPr>
                <w:spacing w:val="-4"/>
              </w:rPr>
              <w:t>米，宽约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4"/>
              </w:rPr>
              <w:t>米</w:t>
            </w:r>
          </w:p>
        </w:tc>
        <w:tc>
          <w:tcPr>
            <w:tcW w:w="585" w:type="dxa"/>
            <w:vAlign w:val="top"/>
          </w:tcPr>
          <w:p w14:paraId="604946B1">
            <w:pPr>
              <w:spacing w:before="238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975" w:type="dxa"/>
            <w:vAlign w:val="top"/>
          </w:tcPr>
          <w:p w14:paraId="1C4BBD25">
            <w:pPr>
              <w:pStyle w:val="6"/>
              <w:spacing w:before="40" w:line="222" w:lineRule="auto"/>
              <w:ind w:left="373" w:right="4" w:hanging="360"/>
            </w:pPr>
            <w:r>
              <w:rPr>
                <w:spacing w:val="-3"/>
              </w:rPr>
              <w:t>黄衢南高</w:t>
            </w:r>
            <w:r>
              <w:rPr>
                <w:spacing w:val="2"/>
              </w:rPr>
              <w:t xml:space="preserve"> </w:t>
            </w:r>
            <w:r>
              <w:t>速</w:t>
            </w:r>
          </w:p>
        </w:tc>
        <w:tc>
          <w:tcPr>
            <w:tcW w:w="1092" w:type="dxa"/>
            <w:vAlign w:val="top"/>
          </w:tcPr>
          <w:p w14:paraId="238907A1">
            <w:pPr>
              <w:pStyle w:val="6"/>
              <w:spacing w:before="196" w:line="220" w:lineRule="auto"/>
              <w:ind w:left="80"/>
            </w:pPr>
            <w:r>
              <w:rPr>
                <w:spacing w:val="-4"/>
              </w:rPr>
              <w:t>高速公路</w:t>
            </w:r>
          </w:p>
        </w:tc>
        <w:tc>
          <w:tcPr>
            <w:tcW w:w="3919" w:type="dxa"/>
            <w:vAlign w:val="top"/>
          </w:tcPr>
          <w:p w14:paraId="601A10A5">
            <w:pPr>
              <w:pStyle w:val="6"/>
              <w:spacing w:before="40" w:line="222" w:lineRule="auto"/>
              <w:ind w:left="586" w:right="94" w:hanging="540"/>
            </w:pPr>
            <w:r>
              <w:rPr>
                <w:spacing w:val="-5"/>
              </w:rPr>
              <w:t>起：西坑口隧道，止：杨家园隧道，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长约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49715 </w:t>
            </w:r>
            <w:r>
              <w:rPr>
                <w:spacing w:val="-3"/>
              </w:rPr>
              <w:t>米，宽约</w:t>
            </w:r>
            <w:r>
              <w:rPr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15 </w:t>
            </w:r>
            <w:r>
              <w:rPr>
                <w:spacing w:val="-3"/>
              </w:rPr>
              <w:t>米</w:t>
            </w:r>
          </w:p>
        </w:tc>
      </w:tr>
      <w:tr w14:paraId="57208D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294" w:type="dxa"/>
            <w:vAlign w:val="top"/>
          </w:tcPr>
          <w:p w14:paraId="2469B0AF">
            <w:pPr>
              <w:spacing w:line="324" w:lineRule="auto"/>
              <w:rPr>
                <w:rFonts w:ascii="Arial"/>
                <w:sz w:val="21"/>
              </w:rPr>
            </w:pPr>
          </w:p>
          <w:p w14:paraId="4D0EE7C0">
            <w:pPr>
              <w:spacing w:before="69" w:line="188" w:lineRule="auto"/>
              <w:ind w:left="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1139" w:type="dxa"/>
            <w:vAlign w:val="top"/>
          </w:tcPr>
          <w:p w14:paraId="125257B1">
            <w:pPr>
              <w:spacing w:line="273" w:lineRule="auto"/>
              <w:rPr>
                <w:rFonts w:ascii="Arial"/>
                <w:sz w:val="21"/>
              </w:rPr>
            </w:pPr>
          </w:p>
          <w:p w14:paraId="77C2383A">
            <w:pPr>
              <w:pStyle w:val="6"/>
              <w:spacing w:before="78" w:line="220" w:lineRule="auto"/>
              <w:ind w:left="213"/>
            </w:pPr>
            <w:r>
              <w:rPr>
                <w:spacing w:val="-4"/>
              </w:rPr>
              <w:t>桃溪路</w:t>
            </w:r>
          </w:p>
        </w:tc>
        <w:tc>
          <w:tcPr>
            <w:tcW w:w="1469" w:type="dxa"/>
            <w:vAlign w:val="top"/>
          </w:tcPr>
          <w:p w14:paraId="5E9B1657">
            <w:pPr>
              <w:spacing w:line="274" w:lineRule="auto"/>
              <w:rPr>
                <w:rFonts w:ascii="Arial"/>
                <w:sz w:val="21"/>
              </w:rPr>
            </w:pPr>
          </w:p>
          <w:p w14:paraId="56FCF582">
            <w:pPr>
              <w:pStyle w:val="6"/>
              <w:spacing w:before="78" w:line="219" w:lineRule="auto"/>
              <w:ind w:left="144"/>
            </w:pPr>
            <w:r>
              <w:rPr>
                <w:spacing w:val="-3"/>
              </w:rPr>
              <w:t>二级主干路</w:t>
            </w:r>
          </w:p>
        </w:tc>
        <w:tc>
          <w:tcPr>
            <w:tcW w:w="3299" w:type="dxa"/>
            <w:vAlign w:val="top"/>
          </w:tcPr>
          <w:p w14:paraId="4714BEB5">
            <w:pPr>
              <w:pStyle w:val="6"/>
              <w:spacing w:before="197" w:line="230" w:lineRule="auto"/>
              <w:ind w:left="624" w:right="2" w:hanging="610"/>
            </w:pPr>
            <w:r>
              <w:rPr>
                <w:spacing w:val="-6"/>
              </w:rPr>
              <w:t>起：芹南路，止：根博路，长约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1724 </w:t>
            </w:r>
            <w:r>
              <w:rPr>
                <w:spacing w:val="-3"/>
              </w:rPr>
              <w:t>米，宽约</w:t>
            </w:r>
            <w:r>
              <w:rPr>
                <w:spacing w:val="-5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3"/>
              </w:rPr>
              <w:t>米</w:t>
            </w:r>
          </w:p>
        </w:tc>
        <w:tc>
          <w:tcPr>
            <w:tcW w:w="585" w:type="dxa"/>
            <w:vAlign w:val="top"/>
          </w:tcPr>
          <w:p w14:paraId="1A375E59">
            <w:pPr>
              <w:spacing w:line="324" w:lineRule="auto"/>
              <w:rPr>
                <w:rFonts w:ascii="Arial"/>
                <w:sz w:val="21"/>
              </w:rPr>
            </w:pPr>
          </w:p>
          <w:p w14:paraId="50F97AEC">
            <w:pPr>
              <w:spacing w:before="69" w:line="188" w:lineRule="auto"/>
              <w:ind w:left="1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975" w:type="dxa"/>
            <w:vAlign w:val="top"/>
          </w:tcPr>
          <w:p w14:paraId="3E582BE4">
            <w:pPr>
              <w:spacing w:line="273" w:lineRule="auto"/>
              <w:rPr>
                <w:rFonts w:ascii="Arial"/>
                <w:sz w:val="21"/>
              </w:rPr>
            </w:pPr>
          </w:p>
          <w:p w14:paraId="2AECF5DE">
            <w:pPr>
              <w:pStyle w:val="6"/>
              <w:spacing w:before="78" w:line="220" w:lineRule="auto"/>
              <w:ind w:left="13"/>
            </w:pPr>
            <w:r>
              <w:rPr>
                <w:spacing w:val="-3"/>
              </w:rPr>
              <w:t>衢九铁路</w:t>
            </w:r>
          </w:p>
        </w:tc>
        <w:tc>
          <w:tcPr>
            <w:tcW w:w="1092" w:type="dxa"/>
            <w:vAlign w:val="top"/>
          </w:tcPr>
          <w:p w14:paraId="3A6559AD">
            <w:pPr>
              <w:spacing w:line="273" w:lineRule="auto"/>
              <w:rPr>
                <w:rFonts w:ascii="Arial"/>
                <w:sz w:val="21"/>
              </w:rPr>
            </w:pPr>
          </w:p>
          <w:p w14:paraId="46856CCC">
            <w:pPr>
              <w:pStyle w:val="6"/>
              <w:spacing w:before="78" w:line="220" w:lineRule="auto"/>
              <w:ind w:left="313"/>
            </w:pPr>
            <w:r>
              <w:rPr>
                <w:spacing w:val="-5"/>
              </w:rPr>
              <w:t>铁路</w:t>
            </w:r>
          </w:p>
        </w:tc>
        <w:tc>
          <w:tcPr>
            <w:tcW w:w="3919" w:type="dxa"/>
            <w:vAlign w:val="top"/>
          </w:tcPr>
          <w:p w14:paraId="3C39A655">
            <w:pPr>
              <w:pStyle w:val="6"/>
              <w:spacing w:before="41" w:line="220" w:lineRule="auto"/>
              <w:jc w:val="right"/>
            </w:pPr>
            <w:r>
              <w:rPr>
                <w:spacing w:val="-2"/>
              </w:rPr>
              <w:t>在开化境内的长度约为</w:t>
            </w:r>
            <w:r>
              <w:rPr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36.7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>公里，在</w:t>
            </w:r>
          </w:p>
          <w:p w14:paraId="727C2338">
            <w:pPr>
              <w:pStyle w:val="6"/>
              <w:spacing w:before="25" w:line="219" w:lineRule="auto"/>
              <w:ind w:left="67"/>
            </w:pPr>
            <w:r>
              <w:rPr>
                <w:spacing w:val="-4"/>
              </w:rPr>
              <w:t>中心城区内的长度约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</w:t>
            </w:r>
            <w:r>
              <w:rPr>
                <w:spacing w:val="-4"/>
              </w:rPr>
              <w:t>公里，由下田</w:t>
            </w:r>
          </w:p>
          <w:p w14:paraId="19FCA8C1">
            <w:pPr>
              <w:pStyle w:val="6"/>
              <w:spacing w:before="27" w:line="207" w:lineRule="auto"/>
              <w:ind w:left="1366"/>
            </w:pPr>
            <w:r>
              <w:rPr>
                <w:spacing w:val="-3"/>
              </w:rPr>
              <w:t>坞至下星口</w:t>
            </w:r>
          </w:p>
        </w:tc>
      </w:tr>
    </w:tbl>
    <w:p w14:paraId="28FB3A0C">
      <w:pPr>
        <w:pStyle w:val="2"/>
      </w:pPr>
    </w:p>
    <w:p w14:paraId="5A1FBC33">
      <w:pPr>
        <w:sectPr>
          <w:footerReference r:id="rId75" w:type="default"/>
          <w:pgSz w:w="16839" w:h="11906"/>
          <w:pgMar w:top="1012" w:right="2087" w:bottom="1151" w:left="1973" w:header="0" w:footer="989" w:gutter="0"/>
          <w:cols w:space="720" w:num="1"/>
        </w:sectPr>
      </w:pPr>
    </w:p>
    <w:p w14:paraId="36A8E560">
      <w:pPr>
        <w:pStyle w:val="2"/>
        <w:spacing w:line="256" w:lineRule="auto"/>
      </w:pPr>
    </w:p>
    <w:p w14:paraId="16FD7044">
      <w:pPr>
        <w:pStyle w:val="2"/>
        <w:spacing w:line="256" w:lineRule="auto"/>
      </w:pPr>
    </w:p>
    <w:p w14:paraId="55D60EFD">
      <w:pPr>
        <w:pStyle w:val="2"/>
        <w:spacing w:line="256" w:lineRule="auto"/>
      </w:pPr>
    </w:p>
    <w:p w14:paraId="2858B95F">
      <w:pPr>
        <w:spacing w:before="101" w:line="419" w:lineRule="exact"/>
        <w:ind w:left="707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position w:val="1"/>
          <w:sz w:val="31"/>
          <w:szCs w:val="31"/>
        </w:rPr>
        <w:t xml:space="preserve">6.4.2 4b </w:t>
      </w:r>
      <w:r>
        <w:rPr>
          <w:rFonts w:ascii="宋体" w:hAnsi="宋体" w:eastAsia="宋体" w:cs="宋体"/>
          <w:spacing w:val="4"/>
          <w:position w:val="1"/>
          <w:sz w:val="31"/>
          <w:szCs w:val="31"/>
        </w:rPr>
        <w:t>类区划分</w:t>
      </w:r>
    </w:p>
    <w:p w14:paraId="60C8C797">
      <w:pPr>
        <w:spacing w:before="161" w:line="308" w:lineRule="auto"/>
        <w:ind w:left="70" w:right="98" w:firstLine="63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本次调整后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4b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类声环境功能区涉及铁路交通干线</w:t>
      </w:r>
      <w:r>
        <w:rPr>
          <w:rFonts w:ascii="宋体" w:hAnsi="宋体" w:eastAsia="宋体" w:cs="宋体"/>
          <w:spacing w:val="-3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6"/>
          <w:sz w:val="31"/>
          <w:szCs w:val="31"/>
        </w:rPr>
        <w:t>条，详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见表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6-5</w:t>
      </w:r>
      <w:r>
        <w:rPr>
          <w:rFonts w:ascii="宋体" w:hAnsi="宋体" w:eastAsia="宋体" w:cs="宋体"/>
          <w:spacing w:val="-1"/>
          <w:sz w:val="31"/>
          <w:szCs w:val="31"/>
        </w:rPr>
        <w:t>。</w:t>
      </w:r>
    </w:p>
    <w:p w14:paraId="77B27AB8">
      <w:pPr>
        <w:spacing w:before="122" w:line="369" w:lineRule="exact"/>
        <w:ind w:left="12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9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6-5)      </w:t>
      </w:r>
      <w:r>
        <w:rPr>
          <w:rFonts w:ascii="宋体" w:hAnsi="宋体" w:eastAsia="宋体" w:cs="宋体"/>
          <w:position w:val="3"/>
          <w:sz w:val="28"/>
          <w:szCs w:val="28"/>
        </w:rPr>
        <w:t>开化县中心城区</w:t>
      </w:r>
      <w:r>
        <w:rPr>
          <w:rFonts w:ascii="宋体" w:hAnsi="宋体" w:eastAsia="宋体" w:cs="宋体"/>
          <w:spacing w:val="-67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4b </w:t>
      </w:r>
      <w:r>
        <w:rPr>
          <w:rFonts w:ascii="宋体" w:hAnsi="宋体" w:eastAsia="宋体" w:cs="宋体"/>
          <w:position w:val="3"/>
          <w:sz w:val="28"/>
          <w:szCs w:val="28"/>
        </w:rPr>
        <w:t>类声环境功能区一览表</w:t>
      </w:r>
    </w:p>
    <w:p w14:paraId="7E8361D5">
      <w:pPr>
        <w:spacing w:line="26" w:lineRule="exact"/>
      </w:pPr>
    </w:p>
    <w:tbl>
      <w:tblPr>
        <w:tblStyle w:val="5"/>
        <w:tblW w:w="89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3"/>
        <w:gridCol w:w="3409"/>
        <w:gridCol w:w="3555"/>
      </w:tblGrid>
      <w:tr w14:paraId="44F21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983" w:type="dxa"/>
            <w:vAlign w:val="top"/>
          </w:tcPr>
          <w:p w14:paraId="3EA6A2AA">
            <w:pPr>
              <w:pStyle w:val="6"/>
              <w:spacing w:before="139" w:line="222" w:lineRule="auto"/>
              <w:ind w:left="757"/>
            </w:pPr>
            <w:r>
              <w:rPr>
                <w:spacing w:val="-5"/>
              </w:rPr>
              <w:t>序号</w:t>
            </w:r>
          </w:p>
        </w:tc>
        <w:tc>
          <w:tcPr>
            <w:tcW w:w="3409" w:type="dxa"/>
            <w:vAlign w:val="top"/>
          </w:tcPr>
          <w:p w14:paraId="310C9F76">
            <w:pPr>
              <w:pStyle w:val="6"/>
              <w:spacing w:before="139" w:line="220" w:lineRule="auto"/>
              <w:ind w:left="1229"/>
            </w:pPr>
            <w:r>
              <w:rPr>
                <w:spacing w:val="-3"/>
              </w:rPr>
              <w:t>铁路名称</w:t>
            </w:r>
          </w:p>
        </w:tc>
        <w:tc>
          <w:tcPr>
            <w:tcW w:w="3555" w:type="dxa"/>
            <w:vAlign w:val="top"/>
          </w:tcPr>
          <w:p w14:paraId="0BF9A00B">
            <w:pPr>
              <w:pStyle w:val="6"/>
              <w:spacing w:before="139" w:line="220" w:lineRule="auto"/>
              <w:ind w:left="1321"/>
            </w:pPr>
            <w:r>
              <w:rPr>
                <w:spacing w:val="-7"/>
              </w:rPr>
              <w:t>区域范围</w:t>
            </w:r>
          </w:p>
        </w:tc>
      </w:tr>
      <w:tr w14:paraId="6116C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983" w:type="dxa"/>
            <w:vAlign w:val="top"/>
          </w:tcPr>
          <w:p w14:paraId="6E800A8B">
            <w:pPr>
              <w:spacing w:before="180" w:line="188" w:lineRule="auto"/>
              <w:ind w:left="9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409" w:type="dxa"/>
            <w:vAlign w:val="top"/>
          </w:tcPr>
          <w:p w14:paraId="12CE967D">
            <w:pPr>
              <w:pStyle w:val="6"/>
              <w:spacing w:before="138" w:line="220" w:lineRule="auto"/>
              <w:ind w:left="991"/>
            </w:pPr>
            <w:r>
              <w:rPr>
                <w:spacing w:val="-2"/>
              </w:rPr>
              <w:t>开化县火车站</w:t>
            </w:r>
          </w:p>
        </w:tc>
        <w:tc>
          <w:tcPr>
            <w:tcW w:w="3555" w:type="dxa"/>
            <w:vAlign w:val="top"/>
          </w:tcPr>
          <w:p w14:paraId="19641984">
            <w:pPr>
              <w:pStyle w:val="6"/>
              <w:spacing w:before="138" w:line="220" w:lineRule="auto"/>
              <w:ind w:left="945"/>
            </w:pPr>
            <w:r>
              <w:rPr>
                <w:spacing w:val="-2"/>
              </w:rPr>
              <w:t>火车站外墙边界</w:t>
            </w:r>
          </w:p>
        </w:tc>
      </w:tr>
    </w:tbl>
    <w:p w14:paraId="24A3FA1D">
      <w:pPr>
        <w:spacing w:before="255" w:line="227" w:lineRule="auto"/>
        <w:ind w:left="705"/>
        <w:outlineLvl w:val="1"/>
        <w:rPr>
          <w:rFonts w:ascii="宋体" w:hAnsi="宋体" w:eastAsia="宋体" w:cs="宋体"/>
          <w:sz w:val="31"/>
          <w:szCs w:val="31"/>
        </w:rPr>
      </w:pPr>
      <w:bookmarkStart w:id="102" w:name="bookmark58"/>
      <w:bookmarkEnd w:id="102"/>
      <w:bookmarkStart w:id="103" w:name="bookmark57"/>
      <w:bookmarkEnd w:id="103"/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6.5</w:t>
      </w:r>
      <w:r>
        <w:rPr>
          <w:rFonts w:ascii="Times New Roman" w:hAnsi="Times New Roman" w:eastAsia="Times New Roman" w:cs="Times New Roman"/>
          <w:b/>
          <w:bCs/>
          <w:spacing w:val="14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2"/>
          <w:sz w:val="31"/>
          <w:szCs w:val="31"/>
        </w:rPr>
        <w:t>小结</w:t>
      </w:r>
    </w:p>
    <w:p w14:paraId="3EF9581A">
      <w:pPr>
        <w:spacing w:before="155" w:line="319" w:lineRule="auto"/>
        <w:ind w:left="66" w:right="53" w:firstLine="640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本次开化县声环境功能区总面积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24.032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6"/>
          <w:position w:val="10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5"/>
          <w:position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，其中划分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6"/>
          <w:sz w:val="31"/>
          <w:szCs w:val="31"/>
        </w:rPr>
        <w:t>个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3"/>
          <w:sz w:val="31"/>
          <w:szCs w:val="31"/>
        </w:rPr>
        <w:t>类声环境功能区划单元，面积共计为</w:t>
      </w:r>
      <w:r>
        <w:rPr>
          <w:rFonts w:ascii="宋体" w:hAnsi="宋体" w:eastAsia="宋体" w:cs="宋体"/>
          <w:spacing w:val="-4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9.736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5"/>
          <w:position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，划分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3"/>
          <w:sz w:val="31"/>
          <w:szCs w:val="31"/>
        </w:rPr>
        <w:t>个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3"/>
          <w:sz w:val="31"/>
          <w:szCs w:val="31"/>
        </w:rPr>
        <w:t>类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声环境功能区划单元，面积共计为</w:t>
      </w:r>
      <w:r>
        <w:rPr>
          <w:rFonts w:ascii="宋体" w:hAnsi="宋体" w:eastAsia="宋体" w:cs="宋体"/>
          <w:spacing w:val="-4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6.367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2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2"/>
          <w:sz w:val="31"/>
          <w:szCs w:val="31"/>
        </w:rPr>
        <w:t>，划分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2"/>
          <w:sz w:val="31"/>
          <w:szCs w:val="31"/>
        </w:rPr>
        <w:t>个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2"/>
          <w:sz w:val="31"/>
          <w:szCs w:val="31"/>
        </w:rPr>
        <w:t>类声环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境功能区划单元，面积共计为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7.929</w:t>
      </w:r>
      <w:r>
        <w:rPr>
          <w:rFonts w:ascii="Times New Roman" w:hAnsi="Times New Roman" w:eastAsia="Times New Roman" w:cs="Times New Roman"/>
          <w:sz w:val="31"/>
          <w:szCs w:val="31"/>
        </w:rPr>
        <w:t>km</w:t>
      </w:r>
      <w:r>
        <w:rPr>
          <w:rFonts w:ascii="Times New Roman" w:hAnsi="Times New Roman" w:eastAsia="Times New Roman" w:cs="Times New Roman"/>
          <w:spacing w:val="3"/>
          <w:position w:val="10"/>
          <w:sz w:val="20"/>
          <w:szCs w:val="20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，各类功能区划单元本次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调整统计如下所示。</w:t>
      </w:r>
    </w:p>
    <w:p w14:paraId="42E12CA3">
      <w:pPr>
        <w:spacing w:before="156" w:line="369" w:lineRule="exact"/>
        <w:ind w:left="161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7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6-6)      </w:t>
      </w:r>
      <w:r>
        <w:rPr>
          <w:rFonts w:ascii="宋体" w:hAnsi="宋体" w:eastAsia="宋体" w:cs="宋体"/>
          <w:position w:val="3"/>
          <w:sz w:val="28"/>
          <w:szCs w:val="28"/>
        </w:rPr>
        <w:t>本次开化县中心城区区划单元统计表</w:t>
      </w:r>
    </w:p>
    <w:p w14:paraId="28B5BC08">
      <w:pPr>
        <w:spacing w:line="25" w:lineRule="exact"/>
      </w:pPr>
    </w:p>
    <w:tbl>
      <w:tblPr>
        <w:tblStyle w:val="5"/>
        <w:tblW w:w="8855" w:type="dxa"/>
        <w:tblInd w:w="5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1"/>
        <w:gridCol w:w="1430"/>
        <w:gridCol w:w="1178"/>
        <w:gridCol w:w="2623"/>
        <w:gridCol w:w="2507"/>
        <w:gridCol w:w="826"/>
      </w:tblGrid>
      <w:tr w14:paraId="1D2F4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1" w:type="dxa"/>
            <w:textDirection w:val="tbRlV"/>
            <w:vAlign w:val="top"/>
          </w:tcPr>
          <w:p w14:paraId="13CD8A87">
            <w:pPr>
              <w:pStyle w:val="6"/>
              <w:spacing w:before="22" w:line="208" w:lineRule="auto"/>
              <w:ind w:left="42"/>
            </w:pPr>
            <w:r>
              <w:t>类</w:t>
            </w:r>
            <w:r>
              <w:rPr>
                <w:spacing w:val="-49"/>
              </w:rPr>
              <w:t xml:space="preserve"> </w:t>
            </w:r>
            <w:r>
              <w:t>别</w:t>
            </w:r>
          </w:p>
        </w:tc>
        <w:tc>
          <w:tcPr>
            <w:tcW w:w="1430" w:type="dxa"/>
            <w:vAlign w:val="top"/>
          </w:tcPr>
          <w:p w14:paraId="1DA04872">
            <w:pPr>
              <w:pStyle w:val="6"/>
              <w:spacing w:before="198" w:line="222" w:lineRule="auto"/>
              <w:ind w:left="482"/>
            </w:pPr>
            <w:r>
              <w:rPr>
                <w:spacing w:val="-7"/>
              </w:rPr>
              <w:t>功能</w:t>
            </w:r>
          </w:p>
        </w:tc>
        <w:tc>
          <w:tcPr>
            <w:tcW w:w="1178" w:type="dxa"/>
            <w:vAlign w:val="top"/>
          </w:tcPr>
          <w:p w14:paraId="0DCF7901">
            <w:pPr>
              <w:pStyle w:val="6"/>
              <w:spacing w:before="198" w:line="220" w:lineRule="auto"/>
              <w:ind w:left="119"/>
            </w:pPr>
            <w:r>
              <w:rPr>
                <w:spacing w:val="-4"/>
              </w:rPr>
              <w:t>片区编码</w:t>
            </w:r>
          </w:p>
        </w:tc>
        <w:tc>
          <w:tcPr>
            <w:tcW w:w="2623" w:type="dxa"/>
            <w:vAlign w:val="top"/>
          </w:tcPr>
          <w:p w14:paraId="0FE7596D">
            <w:pPr>
              <w:pStyle w:val="6"/>
              <w:spacing w:before="198" w:line="220" w:lineRule="auto"/>
              <w:ind w:left="124"/>
            </w:pPr>
            <w:r>
              <w:rPr>
                <w:spacing w:val="-2"/>
              </w:rPr>
              <w:t>片区面积（平方公里）</w:t>
            </w:r>
          </w:p>
        </w:tc>
        <w:tc>
          <w:tcPr>
            <w:tcW w:w="2507" w:type="dxa"/>
            <w:vAlign w:val="top"/>
          </w:tcPr>
          <w:p w14:paraId="5F4BB1FF">
            <w:pPr>
              <w:pStyle w:val="6"/>
              <w:spacing w:before="198" w:line="220" w:lineRule="auto"/>
              <w:ind w:left="184"/>
            </w:pPr>
            <w:r>
              <w:rPr>
                <w:spacing w:val="-2"/>
              </w:rPr>
              <w:t>总面积（平方公里）</w:t>
            </w:r>
          </w:p>
        </w:tc>
        <w:tc>
          <w:tcPr>
            <w:tcW w:w="826" w:type="dxa"/>
            <w:vAlign w:val="top"/>
          </w:tcPr>
          <w:p w14:paraId="4BEB904F">
            <w:pPr>
              <w:pStyle w:val="6"/>
              <w:spacing w:before="43" w:line="223" w:lineRule="auto"/>
              <w:ind w:left="182" w:right="50" w:hanging="122"/>
            </w:pPr>
            <w:r>
              <w:rPr>
                <w:spacing w:val="-4"/>
              </w:rPr>
              <w:t>所占百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分比</w:t>
            </w:r>
          </w:p>
        </w:tc>
      </w:tr>
      <w:tr w14:paraId="4E164F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restart"/>
            <w:tcBorders>
              <w:bottom w:val="nil"/>
            </w:tcBorders>
            <w:vAlign w:val="top"/>
          </w:tcPr>
          <w:p w14:paraId="24CB9AC9">
            <w:pPr>
              <w:spacing w:line="283" w:lineRule="auto"/>
              <w:rPr>
                <w:rFonts w:ascii="Arial"/>
                <w:sz w:val="21"/>
              </w:rPr>
            </w:pPr>
          </w:p>
          <w:p w14:paraId="4E0A31C9">
            <w:pPr>
              <w:spacing w:line="283" w:lineRule="auto"/>
              <w:rPr>
                <w:rFonts w:ascii="Arial"/>
                <w:sz w:val="21"/>
              </w:rPr>
            </w:pPr>
          </w:p>
          <w:p w14:paraId="63E903B1">
            <w:pPr>
              <w:spacing w:line="284" w:lineRule="auto"/>
              <w:rPr>
                <w:rFonts w:ascii="Arial"/>
                <w:sz w:val="21"/>
              </w:rPr>
            </w:pPr>
          </w:p>
          <w:p w14:paraId="45075FE6">
            <w:pPr>
              <w:spacing w:line="284" w:lineRule="auto"/>
              <w:rPr>
                <w:rFonts w:ascii="Arial"/>
                <w:sz w:val="21"/>
              </w:rPr>
            </w:pPr>
          </w:p>
          <w:p w14:paraId="348E3DB4">
            <w:pPr>
              <w:pStyle w:val="6"/>
              <w:spacing w:before="69" w:line="250" w:lineRule="auto"/>
              <w:ind w:left="32" w:right="22" w:firstLine="107"/>
            </w:pPr>
            <w:r>
              <w:rPr>
                <w:rFonts w:ascii="Times New Roman" w:hAnsi="Times New Roman" w:eastAsia="Times New Roman" w:cs="Times New Roman"/>
                <w:spacing w:val="-29"/>
              </w:rPr>
              <w:t>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1430" w:type="dxa"/>
            <w:vMerge w:val="restart"/>
            <w:tcBorders>
              <w:bottom w:val="nil"/>
            </w:tcBorders>
            <w:vAlign w:val="top"/>
          </w:tcPr>
          <w:p w14:paraId="6F6EE9D3">
            <w:pPr>
              <w:spacing w:line="309" w:lineRule="auto"/>
              <w:rPr>
                <w:rFonts w:ascii="Arial"/>
                <w:sz w:val="21"/>
              </w:rPr>
            </w:pPr>
          </w:p>
          <w:p w14:paraId="3C5BDDFD">
            <w:pPr>
              <w:spacing w:line="309" w:lineRule="auto"/>
              <w:rPr>
                <w:rFonts w:ascii="Arial"/>
                <w:sz w:val="21"/>
              </w:rPr>
            </w:pPr>
          </w:p>
          <w:p w14:paraId="1DB26595">
            <w:pPr>
              <w:pStyle w:val="6"/>
              <w:spacing w:before="78" w:line="221" w:lineRule="auto"/>
              <w:jc w:val="right"/>
            </w:pPr>
            <w:r>
              <w:rPr>
                <w:spacing w:val="-5"/>
              </w:rPr>
              <w:t>居民住宅、医</w:t>
            </w:r>
          </w:p>
          <w:p w14:paraId="4AAB90F3">
            <w:pPr>
              <w:pStyle w:val="6"/>
              <w:spacing w:before="24" w:line="221" w:lineRule="auto"/>
              <w:ind w:left="6"/>
            </w:pPr>
            <w:r>
              <w:rPr>
                <w:spacing w:val="-5"/>
              </w:rPr>
              <w:t>疗卫生、文化</w:t>
            </w:r>
          </w:p>
          <w:p w14:paraId="20EC785E">
            <w:pPr>
              <w:pStyle w:val="6"/>
              <w:spacing w:before="25" w:line="219" w:lineRule="auto"/>
              <w:ind w:left="121"/>
            </w:pPr>
            <w:r>
              <w:rPr>
                <w:spacing w:val="-3"/>
              </w:rPr>
              <w:t>教育科研设</w:t>
            </w:r>
          </w:p>
          <w:p w14:paraId="523FE44D">
            <w:pPr>
              <w:pStyle w:val="6"/>
              <w:spacing w:before="26" w:line="220" w:lineRule="auto"/>
              <w:ind w:left="7"/>
            </w:pPr>
            <w:r>
              <w:rPr>
                <w:spacing w:val="-5"/>
              </w:rPr>
              <w:t>计、行政办公</w:t>
            </w:r>
          </w:p>
          <w:p w14:paraId="36AB794F">
            <w:pPr>
              <w:pStyle w:val="6"/>
              <w:spacing w:before="26" w:line="220" w:lineRule="auto"/>
              <w:ind w:left="241"/>
            </w:pPr>
            <w:r>
              <w:rPr>
                <w:spacing w:val="-4"/>
              </w:rPr>
              <w:t>为主区域</w:t>
            </w:r>
          </w:p>
        </w:tc>
        <w:tc>
          <w:tcPr>
            <w:tcW w:w="1178" w:type="dxa"/>
            <w:vAlign w:val="top"/>
          </w:tcPr>
          <w:p w14:paraId="61D808CC">
            <w:pPr>
              <w:spacing w:before="79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623" w:type="dxa"/>
            <w:vAlign w:val="top"/>
          </w:tcPr>
          <w:p w14:paraId="28244ED3">
            <w:pPr>
              <w:spacing w:before="79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1.914</w:t>
            </w:r>
          </w:p>
        </w:tc>
        <w:tc>
          <w:tcPr>
            <w:tcW w:w="2507" w:type="dxa"/>
            <w:vMerge w:val="restart"/>
            <w:tcBorders>
              <w:bottom w:val="nil"/>
            </w:tcBorders>
            <w:vAlign w:val="top"/>
          </w:tcPr>
          <w:p w14:paraId="053EA678">
            <w:pPr>
              <w:spacing w:line="257" w:lineRule="auto"/>
              <w:rPr>
                <w:rFonts w:ascii="Arial"/>
                <w:sz w:val="21"/>
              </w:rPr>
            </w:pPr>
          </w:p>
          <w:p w14:paraId="503E905A">
            <w:pPr>
              <w:spacing w:line="258" w:lineRule="auto"/>
              <w:rPr>
                <w:rFonts w:ascii="Arial"/>
                <w:sz w:val="21"/>
              </w:rPr>
            </w:pPr>
          </w:p>
          <w:p w14:paraId="6800D251">
            <w:pPr>
              <w:spacing w:line="258" w:lineRule="auto"/>
              <w:rPr>
                <w:rFonts w:ascii="Arial"/>
                <w:sz w:val="21"/>
              </w:rPr>
            </w:pPr>
          </w:p>
          <w:p w14:paraId="24B52C2A">
            <w:pPr>
              <w:spacing w:line="258" w:lineRule="auto"/>
              <w:rPr>
                <w:rFonts w:ascii="Arial"/>
                <w:sz w:val="21"/>
              </w:rPr>
            </w:pPr>
          </w:p>
          <w:p w14:paraId="674A2903">
            <w:pPr>
              <w:spacing w:line="258" w:lineRule="auto"/>
              <w:rPr>
                <w:rFonts w:ascii="Arial"/>
                <w:sz w:val="21"/>
              </w:rPr>
            </w:pPr>
          </w:p>
          <w:p w14:paraId="1B425E54">
            <w:pPr>
              <w:spacing w:before="69" w:line="188" w:lineRule="auto"/>
              <w:ind w:left="9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9.736</w:t>
            </w:r>
          </w:p>
        </w:tc>
        <w:tc>
          <w:tcPr>
            <w:tcW w:w="826" w:type="dxa"/>
            <w:vMerge w:val="restart"/>
            <w:tcBorders>
              <w:bottom w:val="nil"/>
            </w:tcBorders>
            <w:vAlign w:val="top"/>
          </w:tcPr>
          <w:p w14:paraId="716FD72B">
            <w:pPr>
              <w:spacing w:line="242" w:lineRule="auto"/>
              <w:rPr>
                <w:rFonts w:ascii="Arial"/>
                <w:sz w:val="21"/>
              </w:rPr>
            </w:pPr>
          </w:p>
          <w:p w14:paraId="750C827C">
            <w:pPr>
              <w:spacing w:line="242" w:lineRule="auto"/>
              <w:rPr>
                <w:rFonts w:ascii="Arial"/>
                <w:sz w:val="21"/>
              </w:rPr>
            </w:pPr>
          </w:p>
          <w:p w14:paraId="138E52BC">
            <w:pPr>
              <w:spacing w:line="242" w:lineRule="auto"/>
              <w:rPr>
                <w:rFonts w:ascii="Arial"/>
                <w:sz w:val="21"/>
              </w:rPr>
            </w:pPr>
          </w:p>
          <w:p w14:paraId="69DDA205">
            <w:pPr>
              <w:spacing w:line="243" w:lineRule="auto"/>
              <w:rPr>
                <w:rFonts w:ascii="Arial"/>
                <w:sz w:val="21"/>
              </w:rPr>
            </w:pPr>
          </w:p>
          <w:p w14:paraId="20B39765">
            <w:pPr>
              <w:spacing w:line="243" w:lineRule="auto"/>
              <w:rPr>
                <w:rFonts w:ascii="Arial"/>
                <w:sz w:val="21"/>
              </w:rPr>
            </w:pPr>
          </w:p>
          <w:p w14:paraId="37E3E483">
            <w:pPr>
              <w:spacing w:before="69" w:line="315" w:lineRule="exact"/>
              <w:ind w:left="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>40.51%</w:t>
            </w:r>
          </w:p>
        </w:tc>
      </w:tr>
      <w:tr w14:paraId="3060B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58111DB3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7AF0B5DA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66FBB585">
            <w:pPr>
              <w:spacing w:before="79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623" w:type="dxa"/>
            <w:vAlign w:val="top"/>
          </w:tcPr>
          <w:p w14:paraId="455B28B2">
            <w:pPr>
              <w:spacing w:before="79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0.572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2413BAF3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72F92DDF">
            <w:pPr>
              <w:rPr>
                <w:rFonts w:ascii="Arial"/>
                <w:sz w:val="21"/>
              </w:rPr>
            </w:pPr>
          </w:p>
        </w:tc>
      </w:tr>
      <w:tr w14:paraId="0C61A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79C8C294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4ADE7622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017A72E1">
            <w:pPr>
              <w:spacing w:before="80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623" w:type="dxa"/>
            <w:vAlign w:val="top"/>
          </w:tcPr>
          <w:p w14:paraId="12A2B789">
            <w:pPr>
              <w:spacing w:before="80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1.870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775B4CD3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0D098C68">
            <w:pPr>
              <w:rPr>
                <w:rFonts w:ascii="Arial"/>
                <w:sz w:val="21"/>
              </w:rPr>
            </w:pPr>
          </w:p>
        </w:tc>
      </w:tr>
      <w:tr w14:paraId="369FF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478C6F69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580C893D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420062D7">
            <w:pPr>
              <w:spacing w:before="79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623" w:type="dxa"/>
            <w:vAlign w:val="top"/>
          </w:tcPr>
          <w:p w14:paraId="2293CC29">
            <w:pPr>
              <w:spacing w:before="79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0.677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70101074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35599012">
            <w:pPr>
              <w:rPr>
                <w:rFonts w:ascii="Arial"/>
                <w:sz w:val="21"/>
              </w:rPr>
            </w:pPr>
          </w:p>
        </w:tc>
      </w:tr>
      <w:tr w14:paraId="77B22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090E6D53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6515C744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681961B2">
            <w:pPr>
              <w:spacing w:before="79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623" w:type="dxa"/>
            <w:vAlign w:val="top"/>
          </w:tcPr>
          <w:p w14:paraId="7A4EC0CC">
            <w:pPr>
              <w:spacing w:before="79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1.169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28521143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2B785782">
            <w:pPr>
              <w:rPr>
                <w:rFonts w:ascii="Arial"/>
                <w:sz w:val="21"/>
              </w:rPr>
            </w:pPr>
          </w:p>
        </w:tc>
      </w:tr>
      <w:tr w14:paraId="76E19D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230AB686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54FD8F82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312581CC">
            <w:pPr>
              <w:spacing w:before="81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623" w:type="dxa"/>
            <w:vAlign w:val="top"/>
          </w:tcPr>
          <w:p w14:paraId="4F285E08">
            <w:pPr>
              <w:spacing w:before="81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0.534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05CEABA2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4BF42A84">
            <w:pPr>
              <w:rPr>
                <w:rFonts w:ascii="Arial"/>
                <w:sz w:val="21"/>
              </w:rPr>
            </w:pPr>
          </w:p>
        </w:tc>
      </w:tr>
      <w:tr w14:paraId="0DC450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75007BE4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113E3453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0580AFFA">
            <w:pPr>
              <w:spacing w:before="80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623" w:type="dxa"/>
            <w:vAlign w:val="top"/>
          </w:tcPr>
          <w:p w14:paraId="04A4BFDC">
            <w:pPr>
              <w:spacing w:before="80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1.131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6E109571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41D64803">
            <w:pPr>
              <w:rPr>
                <w:rFonts w:ascii="Arial"/>
                <w:sz w:val="21"/>
              </w:rPr>
            </w:pPr>
          </w:p>
        </w:tc>
      </w:tr>
      <w:tr w14:paraId="7997F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485E6A33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50B45CE2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65BBD0B8">
            <w:pPr>
              <w:spacing w:before="80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623" w:type="dxa"/>
            <w:vAlign w:val="top"/>
          </w:tcPr>
          <w:p w14:paraId="7D3A0A3E">
            <w:pPr>
              <w:spacing w:before="80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1.164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43174FBA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05E8DF74">
            <w:pPr>
              <w:rPr>
                <w:rFonts w:ascii="Arial"/>
                <w:sz w:val="21"/>
              </w:rPr>
            </w:pPr>
          </w:p>
        </w:tc>
      </w:tr>
      <w:tr w14:paraId="3DCA7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</w:tcBorders>
            <w:vAlign w:val="top"/>
          </w:tcPr>
          <w:p w14:paraId="47834FDD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</w:tcBorders>
            <w:vAlign w:val="top"/>
          </w:tcPr>
          <w:p w14:paraId="2CBFB7C7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38296E64">
            <w:pPr>
              <w:spacing w:before="80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623" w:type="dxa"/>
            <w:vAlign w:val="top"/>
          </w:tcPr>
          <w:p w14:paraId="43C28392">
            <w:pPr>
              <w:spacing w:before="80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0.704</w:t>
            </w:r>
          </w:p>
        </w:tc>
        <w:tc>
          <w:tcPr>
            <w:tcW w:w="2507" w:type="dxa"/>
            <w:vMerge w:val="continue"/>
            <w:tcBorders>
              <w:top w:val="nil"/>
            </w:tcBorders>
            <w:vAlign w:val="top"/>
          </w:tcPr>
          <w:p w14:paraId="4FDE1D07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</w:tcBorders>
            <w:vAlign w:val="top"/>
          </w:tcPr>
          <w:p w14:paraId="29BED3C6">
            <w:pPr>
              <w:rPr>
                <w:rFonts w:ascii="Arial"/>
                <w:sz w:val="21"/>
              </w:rPr>
            </w:pPr>
          </w:p>
        </w:tc>
      </w:tr>
      <w:tr w14:paraId="26DF81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91" w:type="dxa"/>
            <w:vMerge w:val="restart"/>
            <w:tcBorders>
              <w:bottom w:val="nil"/>
            </w:tcBorders>
            <w:vAlign w:val="top"/>
          </w:tcPr>
          <w:p w14:paraId="7665BC9D">
            <w:pPr>
              <w:spacing w:line="470" w:lineRule="auto"/>
              <w:rPr>
                <w:rFonts w:ascii="Arial"/>
                <w:sz w:val="21"/>
              </w:rPr>
            </w:pPr>
          </w:p>
          <w:p w14:paraId="01C02AA1">
            <w:pPr>
              <w:pStyle w:val="6"/>
              <w:spacing w:before="69" w:line="250" w:lineRule="auto"/>
              <w:ind w:left="32" w:right="22" w:firstLine="84"/>
            </w:pPr>
            <w:r>
              <w:rPr>
                <w:rFonts w:ascii="Times New Roman" w:hAnsi="Times New Roman" w:eastAsia="Times New Roman" w:cs="Times New Roman"/>
                <w:spacing w:val="-6"/>
              </w:rPr>
              <w:t>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1430" w:type="dxa"/>
            <w:vMerge w:val="restart"/>
            <w:tcBorders>
              <w:bottom w:val="nil"/>
            </w:tcBorders>
            <w:vAlign w:val="top"/>
          </w:tcPr>
          <w:p w14:paraId="3DE1073F">
            <w:pPr>
              <w:pStyle w:val="6"/>
              <w:spacing w:before="189" w:line="235" w:lineRule="auto"/>
              <w:ind w:left="6" w:right="3" w:firstLine="5"/>
            </w:pPr>
            <w:r>
              <w:rPr>
                <w:spacing w:val="-6"/>
              </w:rPr>
              <w:t>商业金融、集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市贸易为主，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或居住、商</w:t>
            </w:r>
            <w:r>
              <w:t xml:space="preserve">  </w:t>
            </w:r>
            <w:r>
              <w:rPr>
                <w:spacing w:val="-5"/>
              </w:rPr>
              <w:t>业、工业混杂</w:t>
            </w:r>
          </w:p>
        </w:tc>
        <w:tc>
          <w:tcPr>
            <w:tcW w:w="1178" w:type="dxa"/>
            <w:vAlign w:val="top"/>
          </w:tcPr>
          <w:p w14:paraId="2B102AD7">
            <w:pPr>
              <w:spacing w:before="125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623" w:type="dxa"/>
            <w:vAlign w:val="top"/>
          </w:tcPr>
          <w:p w14:paraId="0D065D3C">
            <w:pPr>
              <w:spacing w:before="125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1.072</w:t>
            </w:r>
          </w:p>
        </w:tc>
        <w:tc>
          <w:tcPr>
            <w:tcW w:w="2507" w:type="dxa"/>
            <w:vMerge w:val="restart"/>
            <w:tcBorders>
              <w:bottom w:val="nil"/>
            </w:tcBorders>
            <w:vAlign w:val="top"/>
          </w:tcPr>
          <w:p w14:paraId="4149C4B9">
            <w:pPr>
              <w:spacing w:line="313" w:lineRule="auto"/>
              <w:rPr>
                <w:rFonts w:ascii="Arial"/>
                <w:sz w:val="21"/>
              </w:rPr>
            </w:pPr>
          </w:p>
          <w:p w14:paraId="59AB2AE8">
            <w:pPr>
              <w:spacing w:line="313" w:lineRule="auto"/>
              <w:rPr>
                <w:rFonts w:ascii="Arial"/>
                <w:sz w:val="21"/>
              </w:rPr>
            </w:pPr>
          </w:p>
          <w:p w14:paraId="42E9F723">
            <w:pPr>
              <w:spacing w:before="69" w:line="188" w:lineRule="auto"/>
              <w:ind w:left="9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6.367</w:t>
            </w:r>
          </w:p>
        </w:tc>
        <w:tc>
          <w:tcPr>
            <w:tcW w:w="826" w:type="dxa"/>
            <w:vMerge w:val="restart"/>
            <w:tcBorders>
              <w:bottom w:val="nil"/>
            </w:tcBorders>
            <w:vAlign w:val="top"/>
          </w:tcPr>
          <w:p w14:paraId="44A5161A">
            <w:pPr>
              <w:spacing w:line="274" w:lineRule="auto"/>
              <w:rPr>
                <w:rFonts w:ascii="Arial"/>
                <w:sz w:val="21"/>
              </w:rPr>
            </w:pPr>
          </w:p>
          <w:p w14:paraId="120B6D25">
            <w:pPr>
              <w:spacing w:line="275" w:lineRule="auto"/>
              <w:rPr>
                <w:rFonts w:ascii="Arial"/>
                <w:sz w:val="21"/>
              </w:rPr>
            </w:pPr>
          </w:p>
          <w:p w14:paraId="4D28054F">
            <w:pPr>
              <w:spacing w:before="69" w:line="315" w:lineRule="exact"/>
              <w:ind w:left="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>26.49%</w:t>
            </w:r>
          </w:p>
        </w:tc>
      </w:tr>
      <w:tr w14:paraId="5291A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139EDB40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113FCB3D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0D2267DD">
            <w:pPr>
              <w:spacing w:before="126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623" w:type="dxa"/>
            <w:vAlign w:val="top"/>
          </w:tcPr>
          <w:p w14:paraId="6C82DF74">
            <w:pPr>
              <w:spacing w:before="126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0.331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47CF7271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02CC94AE">
            <w:pPr>
              <w:rPr>
                <w:rFonts w:ascii="Arial"/>
                <w:sz w:val="21"/>
              </w:rPr>
            </w:pPr>
          </w:p>
        </w:tc>
      </w:tr>
      <w:tr w14:paraId="0368D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1AEBE3BB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4A1E9D51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0B488DC7">
            <w:pPr>
              <w:spacing w:before="126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623" w:type="dxa"/>
            <w:vAlign w:val="top"/>
          </w:tcPr>
          <w:p w14:paraId="2FA76DB4">
            <w:pPr>
              <w:spacing w:before="126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0.405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30ED1753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2F801FEF">
            <w:pPr>
              <w:rPr>
                <w:rFonts w:ascii="Arial"/>
                <w:sz w:val="21"/>
              </w:rPr>
            </w:pPr>
          </w:p>
        </w:tc>
      </w:tr>
      <w:tr w14:paraId="26171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91" w:type="dxa"/>
            <w:vMerge w:val="continue"/>
            <w:tcBorders>
              <w:top w:val="nil"/>
            </w:tcBorders>
            <w:vAlign w:val="top"/>
          </w:tcPr>
          <w:p w14:paraId="52A56361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</w:tcBorders>
            <w:vAlign w:val="top"/>
          </w:tcPr>
          <w:p w14:paraId="11CD19A7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7FCB1721">
            <w:pPr>
              <w:spacing w:before="8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623" w:type="dxa"/>
            <w:vAlign w:val="top"/>
          </w:tcPr>
          <w:p w14:paraId="4E4D81D8">
            <w:pPr>
              <w:spacing w:before="84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0.479</w:t>
            </w:r>
          </w:p>
        </w:tc>
        <w:tc>
          <w:tcPr>
            <w:tcW w:w="2507" w:type="dxa"/>
            <w:vMerge w:val="continue"/>
            <w:tcBorders>
              <w:top w:val="nil"/>
            </w:tcBorders>
            <w:vAlign w:val="top"/>
          </w:tcPr>
          <w:p w14:paraId="63BFE17A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</w:tcBorders>
            <w:vAlign w:val="top"/>
          </w:tcPr>
          <w:p w14:paraId="50747E93">
            <w:pPr>
              <w:rPr>
                <w:rFonts w:ascii="Arial"/>
                <w:sz w:val="21"/>
              </w:rPr>
            </w:pPr>
          </w:p>
        </w:tc>
      </w:tr>
    </w:tbl>
    <w:p w14:paraId="2C9335CF">
      <w:pPr>
        <w:pStyle w:val="2"/>
      </w:pPr>
    </w:p>
    <w:p w14:paraId="302412E1">
      <w:pPr>
        <w:sectPr>
          <w:footerReference r:id="rId76" w:type="default"/>
          <w:pgSz w:w="11906" w:h="16839"/>
          <w:pgMar w:top="1431" w:right="1420" w:bottom="1151" w:left="1533" w:header="0" w:footer="989" w:gutter="0"/>
          <w:cols w:space="720" w:num="1"/>
        </w:sectPr>
      </w:pPr>
    </w:p>
    <w:p w14:paraId="4C6B34D0">
      <w:pPr>
        <w:spacing w:before="92"/>
      </w:pPr>
    </w:p>
    <w:p w14:paraId="2D84188B">
      <w:pPr>
        <w:spacing w:before="91"/>
      </w:pPr>
    </w:p>
    <w:tbl>
      <w:tblPr>
        <w:tblStyle w:val="5"/>
        <w:tblW w:w="8855" w:type="dxa"/>
        <w:tblInd w:w="11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1"/>
        <w:gridCol w:w="1430"/>
        <w:gridCol w:w="1178"/>
        <w:gridCol w:w="2623"/>
        <w:gridCol w:w="2507"/>
        <w:gridCol w:w="826"/>
      </w:tblGrid>
      <w:tr w14:paraId="4D58E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91" w:type="dxa"/>
            <w:vMerge w:val="restart"/>
            <w:tcBorders>
              <w:bottom w:val="nil"/>
            </w:tcBorders>
            <w:vAlign w:val="top"/>
          </w:tcPr>
          <w:p w14:paraId="3A87794B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restart"/>
            <w:tcBorders>
              <w:bottom w:val="nil"/>
            </w:tcBorders>
            <w:vAlign w:val="top"/>
          </w:tcPr>
          <w:p w14:paraId="38C544DE">
            <w:pPr>
              <w:pStyle w:val="6"/>
              <w:spacing w:before="41" w:line="221" w:lineRule="auto"/>
              <w:ind w:left="496"/>
            </w:pPr>
            <w:r>
              <w:rPr>
                <w:spacing w:val="-14"/>
              </w:rPr>
              <w:t>区域</w:t>
            </w:r>
          </w:p>
        </w:tc>
        <w:tc>
          <w:tcPr>
            <w:tcW w:w="1178" w:type="dxa"/>
            <w:vAlign w:val="top"/>
          </w:tcPr>
          <w:p w14:paraId="4C107B91">
            <w:pPr>
              <w:spacing w:before="8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623" w:type="dxa"/>
            <w:vAlign w:val="top"/>
          </w:tcPr>
          <w:p w14:paraId="497F3FB9">
            <w:pPr>
              <w:spacing w:before="83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0.716</w:t>
            </w:r>
          </w:p>
        </w:tc>
        <w:tc>
          <w:tcPr>
            <w:tcW w:w="2507" w:type="dxa"/>
            <w:vMerge w:val="restart"/>
            <w:tcBorders>
              <w:bottom w:val="nil"/>
            </w:tcBorders>
            <w:vAlign w:val="top"/>
          </w:tcPr>
          <w:p w14:paraId="29449D05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restart"/>
            <w:tcBorders>
              <w:bottom w:val="nil"/>
            </w:tcBorders>
            <w:vAlign w:val="top"/>
          </w:tcPr>
          <w:p w14:paraId="308F0446">
            <w:pPr>
              <w:rPr>
                <w:rFonts w:ascii="Arial"/>
                <w:sz w:val="21"/>
              </w:rPr>
            </w:pPr>
          </w:p>
        </w:tc>
      </w:tr>
      <w:tr w14:paraId="24EFC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06BCF3CB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0F0635F3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2810EA1D">
            <w:pPr>
              <w:spacing w:before="78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623" w:type="dxa"/>
            <w:vAlign w:val="top"/>
          </w:tcPr>
          <w:p w14:paraId="75A9FA44">
            <w:pPr>
              <w:spacing w:before="78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1.033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0F1A40BC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080B6005">
            <w:pPr>
              <w:rPr>
                <w:rFonts w:ascii="Arial"/>
                <w:sz w:val="21"/>
              </w:rPr>
            </w:pPr>
          </w:p>
        </w:tc>
      </w:tr>
      <w:tr w14:paraId="25889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1375DA0C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5545B996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525B3B04">
            <w:pPr>
              <w:spacing w:before="78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623" w:type="dxa"/>
            <w:vAlign w:val="top"/>
          </w:tcPr>
          <w:p w14:paraId="5F07BA07">
            <w:pPr>
              <w:spacing w:before="78" w:line="188" w:lineRule="auto"/>
              <w:ind w:left="10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1.718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19E31C95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67F00774">
            <w:pPr>
              <w:rPr>
                <w:rFonts w:ascii="Arial"/>
                <w:sz w:val="21"/>
              </w:rPr>
            </w:pPr>
          </w:p>
        </w:tc>
      </w:tr>
      <w:tr w14:paraId="51462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777C7499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35CDF7EB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1C23FF0B">
            <w:pPr>
              <w:spacing w:before="8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623" w:type="dxa"/>
            <w:vAlign w:val="top"/>
          </w:tcPr>
          <w:p w14:paraId="083D92C4">
            <w:pPr>
              <w:spacing w:before="80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0.378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1F320B34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03452841">
            <w:pPr>
              <w:rPr>
                <w:rFonts w:ascii="Arial"/>
                <w:sz w:val="21"/>
              </w:rPr>
            </w:pPr>
          </w:p>
        </w:tc>
      </w:tr>
      <w:tr w14:paraId="05A9E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</w:tcBorders>
            <w:vAlign w:val="top"/>
          </w:tcPr>
          <w:p w14:paraId="613FCE60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</w:tcBorders>
            <w:vAlign w:val="top"/>
          </w:tcPr>
          <w:p w14:paraId="649889D2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0548073F">
            <w:pPr>
              <w:spacing w:before="7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623" w:type="dxa"/>
            <w:vAlign w:val="top"/>
          </w:tcPr>
          <w:p w14:paraId="25169669">
            <w:pPr>
              <w:spacing w:before="79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0.234</w:t>
            </w:r>
          </w:p>
        </w:tc>
        <w:tc>
          <w:tcPr>
            <w:tcW w:w="2507" w:type="dxa"/>
            <w:vMerge w:val="continue"/>
            <w:tcBorders>
              <w:top w:val="nil"/>
            </w:tcBorders>
            <w:vAlign w:val="top"/>
          </w:tcPr>
          <w:p w14:paraId="380C5D75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</w:tcBorders>
            <w:vAlign w:val="top"/>
          </w:tcPr>
          <w:p w14:paraId="12FF6F30">
            <w:pPr>
              <w:rPr>
                <w:rFonts w:ascii="Arial"/>
                <w:sz w:val="21"/>
              </w:rPr>
            </w:pPr>
          </w:p>
        </w:tc>
      </w:tr>
      <w:tr w14:paraId="47E0B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restart"/>
            <w:tcBorders>
              <w:bottom w:val="nil"/>
            </w:tcBorders>
            <w:vAlign w:val="top"/>
          </w:tcPr>
          <w:p w14:paraId="0666E7DA">
            <w:pPr>
              <w:spacing w:line="343" w:lineRule="auto"/>
              <w:rPr>
                <w:rFonts w:ascii="Arial"/>
                <w:sz w:val="21"/>
              </w:rPr>
            </w:pPr>
          </w:p>
          <w:p w14:paraId="0566BA51">
            <w:pPr>
              <w:pStyle w:val="6"/>
              <w:spacing w:before="69" w:line="248" w:lineRule="auto"/>
              <w:ind w:left="32" w:right="22" w:firstLine="89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3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1430" w:type="dxa"/>
            <w:vMerge w:val="restart"/>
            <w:tcBorders>
              <w:bottom w:val="nil"/>
            </w:tcBorders>
            <w:vAlign w:val="top"/>
          </w:tcPr>
          <w:p w14:paraId="3AB1DFE7">
            <w:pPr>
              <w:pStyle w:val="6"/>
              <w:spacing w:before="217" w:line="220" w:lineRule="auto"/>
              <w:jc w:val="right"/>
            </w:pPr>
            <w:r>
              <w:rPr>
                <w:spacing w:val="-5"/>
              </w:rPr>
              <w:t>工业生产、仓</w:t>
            </w:r>
          </w:p>
          <w:p w14:paraId="2792D3E4">
            <w:pPr>
              <w:pStyle w:val="6"/>
              <w:spacing w:before="26" w:line="230" w:lineRule="auto"/>
              <w:ind w:left="495" w:right="116" w:hanging="378"/>
            </w:pPr>
            <w:r>
              <w:rPr>
                <w:spacing w:val="-2"/>
              </w:rPr>
              <w:t>储物流为主</w:t>
            </w:r>
            <w:r>
              <w:t xml:space="preserve"> </w:t>
            </w:r>
            <w:r>
              <w:rPr>
                <w:spacing w:val="-14"/>
              </w:rPr>
              <w:t>区域</w:t>
            </w:r>
          </w:p>
        </w:tc>
        <w:tc>
          <w:tcPr>
            <w:tcW w:w="1178" w:type="dxa"/>
            <w:vAlign w:val="top"/>
          </w:tcPr>
          <w:p w14:paraId="18471A73">
            <w:pPr>
              <w:spacing w:before="7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2623" w:type="dxa"/>
            <w:vAlign w:val="top"/>
          </w:tcPr>
          <w:p w14:paraId="5E864847">
            <w:pPr>
              <w:spacing w:before="79" w:line="188" w:lineRule="auto"/>
              <w:ind w:left="10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3.401</w:t>
            </w:r>
          </w:p>
        </w:tc>
        <w:tc>
          <w:tcPr>
            <w:tcW w:w="2507" w:type="dxa"/>
            <w:vMerge w:val="restart"/>
            <w:tcBorders>
              <w:bottom w:val="nil"/>
            </w:tcBorders>
            <w:vAlign w:val="top"/>
          </w:tcPr>
          <w:p w14:paraId="66870F0B">
            <w:pPr>
              <w:spacing w:line="249" w:lineRule="auto"/>
              <w:rPr>
                <w:rFonts w:ascii="Arial"/>
                <w:sz w:val="21"/>
              </w:rPr>
            </w:pPr>
          </w:p>
          <w:p w14:paraId="3544F97C">
            <w:pPr>
              <w:spacing w:line="250" w:lineRule="auto"/>
              <w:rPr>
                <w:rFonts w:ascii="Arial"/>
                <w:sz w:val="21"/>
              </w:rPr>
            </w:pPr>
          </w:p>
          <w:p w14:paraId="26DCAD1C">
            <w:pPr>
              <w:spacing w:before="69" w:line="188" w:lineRule="auto"/>
              <w:ind w:left="9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7.929</w:t>
            </w:r>
          </w:p>
        </w:tc>
        <w:tc>
          <w:tcPr>
            <w:tcW w:w="826" w:type="dxa"/>
            <w:vMerge w:val="restart"/>
            <w:tcBorders>
              <w:bottom w:val="nil"/>
            </w:tcBorders>
            <w:vAlign w:val="top"/>
          </w:tcPr>
          <w:p w14:paraId="6729AB6D">
            <w:pPr>
              <w:spacing w:line="422" w:lineRule="auto"/>
              <w:rPr>
                <w:rFonts w:ascii="Arial"/>
                <w:sz w:val="21"/>
              </w:rPr>
            </w:pPr>
          </w:p>
          <w:p w14:paraId="766B42B8">
            <w:pPr>
              <w:spacing w:before="69" w:line="315" w:lineRule="exact"/>
              <w:ind w:left="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32.99%</w:t>
            </w:r>
          </w:p>
        </w:tc>
      </w:tr>
      <w:tr w14:paraId="3F0474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102246A8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41D0A45D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4C97944C">
            <w:pPr>
              <w:spacing w:before="7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2623" w:type="dxa"/>
            <w:vAlign w:val="top"/>
          </w:tcPr>
          <w:p w14:paraId="28BACF2A">
            <w:pPr>
              <w:spacing w:before="79" w:line="188" w:lineRule="auto"/>
              <w:ind w:left="10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3.609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1BFB22BD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22536C15">
            <w:pPr>
              <w:rPr>
                <w:rFonts w:ascii="Arial"/>
                <w:sz w:val="21"/>
              </w:rPr>
            </w:pPr>
          </w:p>
        </w:tc>
      </w:tr>
      <w:tr w14:paraId="22056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291" w:type="dxa"/>
            <w:vMerge w:val="continue"/>
            <w:tcBorders>
              <w:top w:val="nil"/>
              <w:bottom w:val="nil"/>
            </w:tcBorders>
            <w:vAlign w:val="top"/>
          </w:tcPr>
          <w:p w14:paraId="35DA715D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  <w:bottom w:val="nil"/>
            </w:tcBorders>
            <w:vAlign w:val="top"/>
          </w:tcPr>
          <w:p w14:paraId="6F2BED45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09972C4A">
            <w:pPr>
              <w:spacing w:before="88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2623" w:type="dxa"/>
            <w:vAlign w:val="top"/>
          </w:tcPr>
          <w:p w14:paraId="2997223B">
            <w:pPr>
              <w:spacing w:before="88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0.325</w:t>
            </w:r>
          </w:p>
        </w:tc>
        <w:tc>
          <w:tcPr>
            <w:tcW w:w="2507" w:type="dxa"/>
            <w:vMerge w:val="continue"/>
            <w:tcBorders>
              <w:top w:val="nil"/>
              <w:bottom w:val="nil"/>
            </w:tcBorders>
            <w:vAlign w:val="top"/>
          </w:tcPr>
          <w:p w14:paraId="56710EF0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  <w:bottom w:val="nil"/>
            </w:tcBorders>
            <w:vAlign w:val="top"/>
          </w:tcPr>
          <w:p w14:paraId="513BD5EE">
            <w:pPr>
              <w:rPr>
                <w:rFonts w:ascii="Arial"/>
                <w:sz w:val="21"/>
              </w:rPr>
            </w:pPr>
          </w:p>
        </w:tc>
      </w:tr>
      <w:tr w14:paraId="143FF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1" w:type="dxa"/>
            <w:vMerge w:val="continue"/>
            <w:tcBorders>
              <w:top w:val="nil"/>
            </w:tcBorders>
            <w:vAlign w:val="top"/>
          </w:tcPr>
          <w:p w14:paraId="6388B55B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</w:tcBorders>
            <w:vAlign w:val="top"/>
          </w:tcPr>
          <w:p w14:paraId="7272BFBD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 w14:paraId="3EF2BE6D">
            <w:pPr>
              <w:spacing w:before="8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2623" w:type="dxa"/>
            <w:vAlign w:val="top"/>
          </w:tcPr>
          <w:p w14:paraId="0DE18ED8">
            <w:pPr>
              <w:spacing w:before="80" w:line="188" w:lineRule="auto"/>
              <w:ind w:left="10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0.594</w:t>
            </w:r>
          </w:p>
        </w:tc>
        <w:tc>
          <w:tcPr>
            <w:tcW w:w="2507" w:type="dxa"/>
            <w:vMerge w:val="continue"/>
            <w:tcBorders>
              <w:top w:val="nil"/>
            </w:tcBorders>
            <w:vAlign w:val="top"/>
          </w:tcPr>
          <w:p w14:paraId="76BD2170">
            <w:pPr>
              <w:rPr>
                <w:rFonts w:ascii="Arial"/>
                <w:sz w:val="21"/>
              </w:rPr>
            </w:pPr>
          </w:p>
        </w:tc>
        <w:tc>
          <w:tcPr>
            <w:tcW w:w="826" w:type="dxa"/>
            <w:vMerge w:val="continue"/>
            <w:tcBorders>
              <w:top w:val="nil"/>
            </w:tcBorders>
            <w:vAlign w:val="top"/>
          </w:tcPr>
          <w:p w14:paraId="63BB32FE">
            <w:pPr>
              <w:rPr>
                <w:rFonts w:ascii="Arial"/>
                <w:sz w:val="21"/>
              </w:rPr>
            </w:pPr>
          </w:p>
        </w:tc>
      </w:tr>
      <w:tr w14:paraId="46E29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3" w:hRule="atLeast"/>
        </w:trPr>
        <w:tc>
          <w:tcPr>
            <w:tcW w:w="291" w:type="dxa"/>
            <w:vMerge w:val="restart"/>
            <w:tcBorders>
              <w:bottom w:val="nil"/>
            </w:tcBorders>
            <w:vAlign w:val="top"/>
          </w:tcPr>
          <w:p w14:paraId="2CF6BAC7">
            <w:pPr>
              <w:spacing w:line="358" w:lineRule="auto"/>
              <w:rPr>
                <w:rFonts w:ascii="Arial"/>
                <w:sz w:val="21"/>
              </w:rPr>
            </w:pPr>
          </w:p>
          <w:p w14:paraId="39D984BD">
            <w:pPr>
              <w:spacing w:line="359" w:lineRule="auto"/>
              <w:rPr>
                <w:rFonts w:ascii="Arial"/>
                <w:sz w:val="21"/>
              </w:rPr>
            </w:pPr>
          </w:p>
          <w:p w14:paraId="0769F2B7">
            <w:pPr>
              <w:pStyle w:val="6"/>
              <w:spacing w:before="69" w:line="252" w:lineRule="auto"/>
              <w:ind w:left="32" w:right="22" w:firstLine="83"/>
            </w:pPr>
            <w:r>
              <w:rPr>
                <w:rFonts w:ascii="Times New Roman" w:hAnsi="Times New Roman" w:eastAsia="Times New Roman" w:cs="Times New Roman"/>
                <w:spacing w:val="-4"/>
              </w:rPr>
              <w:t>4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1430" w:type="dxa"/>
            <w:vMerge w:val="restart"/>
            <w:tcBorders>
              <w:bottom w:val="nil"/>
            </w:tcBorders>
            <w:vAlign w:val="top"/>
          </w:tcPr>
          <w:p w14:paraId="669B57D5">
            <w:pPr>
              <w:spacing w:line="359" w:lineRule="auto"/>
              <w:rPr>
                <w:rFonts w:ascii="Arial"/>
                <w:sz w:val="21"/>
              </w:rPr>
            </w:pPr>
          </w:p>
          <w:p w14:paraId="7FDA5C03">
            <w:pPr>
              <w:pStyle w:val="6"/>
              <w:spacing w:before="78" w:line="219" w:lineRule="auto"/>
              <w:ind w:left="117"/>
            </w:pPr>
            <w:r>
              <w:rPr>
                <w:spacing w:val="-2"/>
              </w:rPr>
              <w:t>道路交通干</w:t>
            </w:r>
          </w:p>
          <w:p w14:paraId="5AE2D2FF">
            <w:pPr>
              <w:pStyle w:val="6"/>
              <w:spacing w:before="26" w:line="220" w:lineRule="auto"/>
              <w:ind w:left="121"/>
            </w:pPr>
            <w:r>
              <w:rPr>
                <w:spacing w:val="-3"/>
              </w:rPr>
              <w:t>线两侧区域</w:t>
            </w:r>
          </w:p>
          <w:p w14:paraId="079FF0AD">
            <w:pPr>
              <w:pStyle w:val="6"/>
              <w:spacing w:before="25" w:line="220" w:lineRule="auto"/>
              <w:ind w:left="117"/>
            </w:pPr>
            <w:r>
              <w:rPr>
                <w:spacing w:val="-2"/>
              </w:rPr>
              <w:t>及交通服务</w:t>
            </w:r>
          </w:p>
          <w:p w14:paraId="53F5962B">
            <w:pPr>
              <w:pStyle w:val="6"/>
              <w:spacing w:before="26" w:line="221" w:lineRule="auto"/>
              <w:ind w:left="496"/>
            </w:pPr>
            <w:r>
              <w:rPr>
                <w:spacing w:val="-14"/>
              </w:rPr>
              <w:t>区域</w:t>
            </w:r>
          </w:p>
        </w:tc>
        <w:tc>
          <w:tcPr>
            <w:tcW w:w="6308" w:type="dxa"/>
            <w:gridSpan w:val="3"/>
            <w:vAlign w:val="top"/>
          </w:tcPr>
          <w:p w14:paraId="1FE3B714">
            <w:pPr>
              <w:pStyle w:val="6"/>
              <w:spacing w:before="38" w:line="233" w:lineRule="auto"/>
              <w:ind w:left="12" w:hanging="7"/>
            </w:pPr>
            <w:r>
              <w:rPr>
                <w:rFonts w:ascii="Times New Roman" w:hAnsi="Times New Roman" w:eastAsia="Times New Roman" w:cs="Times New Roman"/>
                <w:spacing w:val="-4"/>
              </w:rPr>
              <w:t xml:space="preserve">4a </w:t>
            </w:r>
            <w:r>
              <w:rPr>
                <w:spacing w:val="-4"/>
              </w:rPr>
              <w:t>类：杭新景高速、黄衢南高速、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45"/>
              </w:rPr>
              <w:t xml:space="preserve"> </w:t>
            </w:r>
            <w:r>
              <w:rPr>
                <w:spacing w:val="-4"/>
              </w:rPr>
              <w:t>国道、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205 </w:t>
            </w:r>
            <w:r>
              <w:rPr>
                <w:spacing w:val="-4"/>
              </w:rPr>
              <w:t>接线、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317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spacing w:val="-5"/>
              </w:rPr>
              <w:t>省道、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605 </w:t>
            </w:r>
            <w:r>
              <w:rPr>
                <w:spacing w:val="-5"/>
              </w:rPr>
              <w:t>县道、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609 </w:t>
            </w:r>
            <w:r>
              <w:rPr>
                <w:spacing w:val="-5"/>
              </w:rPr>
              <w:t>县道、城白线、芹南路、芹北路、湘溪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路、江滨路（江滨南路、江滨北路、江滨中</w:t>
            </w:r>
            <w:r>
              <w:rPr>
                <w:spacing w:val="-2"/>
              </w:rPr>
              <w:t>路）、彩虹路、</w:t>
            </w:r>
            <w:r>
              <w:t xml:space="preserve"> </w:t>
            </w:r>
            <w:r>
              <w:rPr>
                <w:spacing w:val="-3"/>
              </w:rPr>
              <w:t>江东路、解放路、桃溪路、凤凰路、华殿线、解放街、古溪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</w:rPr>
              <w:t>路、开元路、双桥路、华康路、城底线、钟山路、永吉二</w:t>
            </w:r>
            <w:r>
              <w:rPr>
                <w:spacing w:val="-8"/>
              </w:rPr>
              <w:t>路。</w:t>
            </w:r>
          </w:p>
        </w:tc>
        <w:tc>
          <w:tcPr>
            <w:tcW w:w="826" w:type="dxa"/>
            <w:vMerge w:val="restart"/>
            <w:tcBorders>
              <w:bottom w:val="nil"/>
            </w:tcBorders>
            <w:vAlign w:val="top"/>
          </w:tcPr>
          <w:p w14:paraId="2296DE3B">
            <w:pPr>
              <w:spacing w:line="256" w:lineRule="auto"/>
              <w:rPr>
                <w:rFonts w:ascii="Arial"/>
                <w:sz w:val="21"/>
              </w:rPr>
            </w:pPr>
          </w:p>
          <w:p w14:paraId="10CFC979">
            <w:pPr>
              <w:spacing w:line="257" w:lineRule="auto"/>
              <w:rPr>
                <w:rFonts w:ascii="Arial"/>
                <w:sz w:val="21"/>
              </w:rPr>
            </w:pPr>
          </w:p>
          <w:p w14:paraId="0B4CC2F5">
            <w:pPr>
              <w:pStyle w:val="6"/>
              <w:spacing w:before="78" w:line="221" w:lineRule="auto"/>
              <w:ind w:left="63"/>
            </w:pPr>
            <w:r>
              <w:rPr>
                <w:spacing w:val="-5"/>
              </w:rPr>
              <w:t>总长度</w:t>
            </w:r>
          </w:p>
          <w:p w14:paraId="05C8AAFB">
            <w:pPr>
              <w:pStyle w:val="6"/>
              <w:spacing w:before="24" w:line="223" w:lineRule="auto"/>
              <w:jc w:val="right"/>
            </w:pPr>
            <w:r>
              <w:rPr>
                <w:rFonts w:ascii="Times New Roman" w:hAnsi="Times New Roman" w:eastAsia="Times New Roman" w:cs="Times New Roman"/>
                <w:spacing w:val="-4"/>
              </w:rPr>
              <w:t>260.6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 xml:space="preserve"> </w:t>
            </w:r>
            <w:r>
              <w:rPr>
                <w:spacing w:val="-4"/>
              </w:rPr>
              <w:t>公</w:t>
            </w:r>
          </w:p>
          <w:p w14:paraId="080C7969">
            <w:pPr>
              <w:pStyle w:val="6"/>
              <w:spacing w:before="21" w:line="227" w:lineRule="auto"/>
              <w:ind w:left="303"/>
            </w:pPr>
            <w:r>
              <w:t>里</w:t>
            </w:r>
          </w:p>
        </w:tc>
      </w:tr>
      <w:tr w14:paraId="0AA50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291" w:type="dxa"/>
            <w:vMerge w:val="continue"/>
            <w:tcBorders>
              <w:top w:val="nil"/>
            </w:tcBorders>
            <w:vAlign w:val="top"/>
          </w:tcPr>
          <w:p w14:paraId="48AF447B">
            <w:pPr>
              <w:rPr>
                <w:rFonts w:ascii="Arial"/>
                <w:sz w:val="21"/>
              </w:rPr>
            </w:pPr>
          </w:p>
        </w:tc>
        <w:tc>
          <w:tcPr>
            <w:tcW w:w="1430" w:type="dxa"/>
            <w:vMerge w:val="continue"/>
            <w:tcBorders>
              <w:top w:val="nil"/>
            </w:tcBorders>
            <w:vAlign w:val="top"/>
          </w:tcPr>
          <w:p w14:paraId="23700F77">
            <w:pPr>
              <w:rPr>
                <w:rFonts w:ascii="Arial"/>
                <w:sz w:val="21"/>
              </w:rPr>
            </w:pPr>
          </w:p>
        </w:tc>
        <w:tc>
          <w:tcPr>
            <w:tcW w:w="6308" w:type="dxa"/>
            <w:gridSpan w:val="3"/>
            <w:vAlign w:val="top"/>
          </w:tcPr>
          <w:p w14:paraId="103A314C">
            <w:pPr>
              <w:pStyle w:val="6"/>
              <w:spacing w:before="86" w:line="360" w:lineRule="exact"/>
              <w:ind w:left="2165"/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</w:rPr>
              <w:t xml:space="preserve">4b </w:t>
            </w:r>
            <w:r>
              <w:rPr>
                <w:spacing w:val="-1"/>
                <w:position w:val="2"/>
              </w:rPr>
              <w:t>类：衢九铁路。</w:t>
            </w:r>
          </w:p>
        </w:tc>
        <w:tc>
          <w:tcPr>
            <w:tcW w:w="826" w:type="dxa"/>
            <w:vMerge w:val="continue"/>
            <w:tcBorders>
              <w:top w:val="nil"/>
            </w:tcBorders>
            <w:vAlign w:val="top"/>
          </w:tcPr>
          <w:p w14:paraId="7EE5ADD1">
            <w:pPr>
              <w:rPr>
                <w:rFonts w:ascii="Arial"/>
                <w:sz w:val="21"/>
              </w:rPr>
            </w:pPr>
          </w:p>
        </w:tc>
      </w:tr>
      <w:tr w14:paraId="37F59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522" w:type="dxa"/>
            <w:gridSpan w:val="4"/>
            <w:vAlign w:val="top"/>
          </w:tcPr>
          <w:p w14:paraId="15AE3D64">
            <w:pPr>
              <w:pStyle w:val="6"/>
              <w:spacing w:before="102" w:line="222" w:lineRule="auto"/>
              <w:ind w:left="2529"/>
            </w:pPr>
            <w:r>
              <w:rPr>
                <w:spacing w:val="-6"/>
              </w:rPr>
              <w:t>合计</w:t>
            </w:r>
          </w:p>
        </w:tc>
        <w:tc>
          <w:tcPr>
            <w:tcW w:w="2507" w:type="dxa"/>
            <w:vAlign w:val="top"/>
          </w:tcPr>
          <w:p w14:paraId="014E51E9">
            <w:pPr>
              <w:spacing w:before="141" w:line="188" w:lineRule="auto"/>
              <w:ind w:left="9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24.032</w:t>
            </w:r>
          </w:p>
        </w:tc>
        <w:tc>
          <w:tcPr>
            <w:tcW w:w="826" w:type="dxa"/>
            <w:vAlign w:val="top"/>
          </w:tcPr>
          <w:p w14:paraId="1806A514">
            <w:pPr>
              <w:spacing w:before="242" w:line="116" w:lineRule="exact"/>
              <w:ind w:left="3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-2"/>
                <w:sz w:val="24"/>
                <w:szCs w:val="24"/>
              </w:rPr>
              <w:t>-</w:t>
            </w:r>
          </w:p>
        </w:tc>
      </w:tr>
    </w:tbl>
    <w:p w14:paraId="05961FAB">
      <w:pPr>
        <w:spacing w:before="175" w:line="318" w:lineRule="auto"/>
        <w:ind w:left="125" w:right="109" w:firstLine="642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7"/>
          <w:sz w:val="31"/>
          <w:szCs w:val="31"/>
        </w:rPr>
        <w:t>调整后的声环境功能区划与现行的声环境功能区划的统计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结果以及声环境功能区类别变更情况统计表分别见下</w:t>
      </w:r>
      <w:r>
        <w:rPr>
          <w:rFonts w:ascii="宋体" w:hAnsi="宋体" w:eastAsia="宋体" w:cs="宋体"/>
          <w:spacing w:val="7"/>
          <w:sz w:val="31"/>
          <w:szCs w:val="31"/>
        </w:rPr>
        <w:t>表</w:t>
      </w:r>
      <w:r>
        <w:rPr>
          <w:rFonts w:ascii="宋体" w:hAnsi="宋体" w:eastAsia="宋体" w:cs="宋体"/>
          <w:spacing w:val="-9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6-7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和图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6-20</w:t>
      </w:r>
      <w:r>
        <w:rPr>
          <w:rFonts w:ascii="宋体" w:hAnsi="宋体" w:eastAsia="宋体" w:cs="宋体"/>
          <w:sz w:val="31"/>
          <w:szCs w:val="31"/>
        </w:rPr>
        <w:t>。</w:t>
      </w:r>
    </w:p>
    <w:p w14:paraId="3976D46B">
      <w:pPr>
        <w:spacing w:before="68" w:line="369" w:lineRule="exact"/>
        <w:ind w:left="69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6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6-7)      </w:t>
      </w:r>
      <w:r>
        <w:rPr>
          <w:rFonts w:ascii="宋体" w:hAnsi="宋体" w:eastAsia="宋体" w:cs="宋体"/>
          <w:position w:val="3"/>
          <w:sz w:val="28"/>
          <w:szCs w:val="28"/>
        </w:rPr>
        <w:t>本次声环境功能区划与现声环境功能区划的统计结果</w:t>
      </w:r>
    </w:p>
    <w:p w14:paraId="55243EEC">
      <w:pPr>
        <w:spacing w:line="25" w:lineRule="exact"/>
      </w:pPr>
    </w:p>
    <w:tbl>
      <w:tblPr>
        <w:tblStyle w:val="5"/>
        <w:tblW w:w="90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865"/>
        <w:gridCol w:w="1700"/>
        <w:gridCol w:w="1131"/>
        <w:gridCol w:w="774"/>
        <w:gridCol w:w="1850"/>
        <w:gridCol w:w="1080"/>
      </w:tblGrid>
      <w:tr w14:paraId="38BD9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660" w:type="dxa"/>
            <w:vMerge w:val="restart"/>
            <w:tcBorders>
              <w:bottom w:val="nil"/>
            </w:tcBorders>
            <w:vAlign w:val="top"/>
          </w:tcPr>
          <w:p w14:paraId="7465018C">
            <w:pPr>
              <w:pStyle w:val="6"/>
              <w:spacing w:before="219" w:line="221" w:lineRule="auto"/>
              <w:ind w:left="121"/>
            </w:pPr>
            <w:r>
              <w:rPr>
                <w:spacing w:val="-3"/>
              </w:rPr>
              <w:t>声环境功能区</w:t>
            </w:r>
          </w:p>
        </w:tc>
        <w:tc>
          <w:tcPr>
            <w:tcW w:w="3696" w:type="dxa"/>
            <w:gridSpan w:val="3"/>
            <w:vAlign w:val="top"/>
          </w:tcPr>
          <w:p w14:paraId="1B80FB27">
            <w:pPr>
              <w:pStyle w:val="6"/>
              <w:spacing w:before="49" w:line="215" w:lineRule="auto"/>
              <w:ind w:left="776"/>
            </w:pPr>
            <w:r>
              <w:rPr>
                <w:spacing w:val="-2"/>
              </w:rPr>
              <w:t>现行声环境功能区划</w:t>
            </w:r>
          </w:p>
        </w:tc>
        <w:tc>
          <w:tcPr>
            <w:tcW w:w="3704" w:type="dxa"/>
            <w:gridSpan w:val="3"/>
            <w:vAlign w:val="top"/>
          </w:tcPr>
          <w:p w14:paraId="6F2F0264">
            <w:pPr>
              <w:pStyle w:val="6"/>
              <w:spacing w:before="49" w:line="215" w:lineRule="auto"/>
              <w:ind w:left="778"/>
            </w:pPr>
            <w:r>
              <w:rPr>
                <w:spacing w:val="-2"/>
              </w:rPr>
              <w:t>本次声环境功能区划</w:t>
            </w:r>
          </w:p>
        </w:tc>
      </w:tr>
      <w:tr w14:paraId="64893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  <w:vMerge w:val="continue"/>
            <w:tcBorders>
              <w:top w:val="nil"/>
            </w:tcBorders>
            <w:vAlign w:val="top"/>
          </w:tcPr>
          <w:p w14:paraId="245F328A">
            <w:pPr>
              <w:rPr>
                <w:rFonts w:ascii="Arial"/>
                <w:sz w:val="21"/>
              </w:rPr>
            </w:pPr>
          </w:p>
        </w:tc>
        <w:tc>
          <w:tcPr>
            <w:tcW w:w="865" w:type="dxa"/>
            <w:vAlign w:val="top"/>
          </w:tcPr>
          <w:p w14:paraId="79CB91FD">
            <w:pPr>
              <w:pStyle w:val="6"/>
              <w:spacing w:before="45" w:line="214" w:lineRule="auto"/>
              <w:ind w:left="198"/>
            </w:pPr>
            <w:r>
              <w:rPr>
                <w:spacing w:val="-5"/>
              </w:rPr>
              <w:t>个数</w:t>
            </w:r>
          </w:p>
        </w:tc>
        <w:tc>
          <w:tcPr>
            <w:tcW w:w="1700" w:type="dxa"/>
            <w:vAlign w:val="top"/>
          </w:tcPr>
          <w:p w14:paraId="2DDEC371">
            <w:pPr>
              <w:pStyle w:val="6"/>
              <w:spacing w:before="10" w:line="241" w:lineRule="auto"/>
              <w:ind w:left="184"/>
            </w:pPr>
            <w:r>
              <w:rPr>
                <w:spacing w:val="-1"/>
              </w:rPr>
              <w:t>面积（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"/>
                <w:position w:val="7"/>
                <w:sz w:val="15"/>
                <w:szCs w:val="15"/>
              </w:rPr>
              <w:t>2</w:t>
            </w:r>
            <w:r>
              <w:rPr>
                <w:spacing w:val="-1"/>
              </w:rPr>
              <w:t>）</w:t>
            </w:r>
          </w:p>
        </w:tc>
        <w:tc>
          <w:tcPr>
            <w:tcW w:w="1131" w:type="dxa"/>
            <w:vAlign w:val="top"/>
          </w:tcPr>
          <w:p w14:paraId="2A2285C6">
            <w:pPr>
              <w:pStyle w:val="6"/>
              <w:spacing w:before="45" w:line="214" w:lineRule="auto"/>
              <w:ind w:left="373"/>
            </w:pPr>
            <w:r>
              <w:rPr>
                <w:spacing w:val="-25"/>
              </w:rPr>
              <w:t>占比</w:t>
            </w:r>
          </w:p>
        </w:tc>
        <w:tc>
          <w:tcPr>
            <w:tcW w:w="774" w:type="dxa"/>
            <w:vAlign w:val="top"/>
          </w:tcPr>
          <w:p w14:paraId="4F5844F0">
            <w:pPr>
              <w:pStyle w:val="6"/>
              <w:spacing w:before="45" w:line="214" w:lineRule="auto"/>
              <w:ind w:left="155"/>
            </w:pPr>
            <w:r>
              <w:rPr>
                <w:spacing w:val="-5"/>
              </w:rPr>
              <w:t>个数</w:t>
            </w:r>
          </w:p>
        </w:tc>
        <w:tc>
          <w:tcPr>
            <w:tcW w:w="1850" w:type="dxa"/>
            <w:vAlign w:val="top"/>
          </w:tcPr>
          <w:p w14:paraId="1190D9D5">
            <w:pPr>
              <w:pStyle w:val="6"/>
              <w:spacing w:before="10" w:line="241" w:lineRule="auto"/>
              <w:ind w:left="261"/>
            </w:pPr>
            <w:r>
              <w:rPr>
                <w:spacing w:val="-1"/>
              </w:rPr>
              <w:t>面积（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"/>
                <w:position w:val="7"/>
                <w:sz w:val="15"/>
                <w:szCs w:val="15"/>
              </w:rPr>
              <w:t>2</w:t>
            </w:r>
            <w:r>
              <w:rPr>
                <w:spacing w:val="-1"/>
              </w:rPr>
              <w:t>）</w:t>
            </w:r>
          </w:p>
        </w:tc>
        <w:tc>
          <w:tcPr>
            <w:tcW w:w="1080" w:type="dxa"/>
            <w:vAlign w:val="top"/>
          </w:tcPr>
          <w:p w14:paraId="006F5ED2">
            <w:pPr>
              <w:pStyle w:val="6"/>
              <w:spacing w:before="45" w:line="214" w:lineRule="auto"/>
              <w:ind w:left="345"/>
            </w:pPr>
            <w:r>
              <w:rPr>
                <w:spacing w:val="-25"/>
              </w:rPr>
              <w:t>占比</w:t>
            </w:r>
          </w:p>
        </w:tc>
      </w:tr>
      <w:tr w14:paraId="7AA6D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660" w:type="dxa"/>
            <w:vAlign w:val="top"/>
          </w:tcPr>
          <w:p w14:paraId="3E0DE210">
            <w:pPr>
              <w:pStyle w:val="6"/>
              <w:spacing w:before="38" w:line="208" w:lineRule="auto"/>
              <w:ind w:left="526"/>
            </w:pPr>
            <w:r>
              <w:rPr>
                <w:rFonts w:ascii="Times New Roman" w:hAnsi="Times New Roman" w:eastAsia="Times New Roman" w:cs="Times New Roman"/>
                <w:spacing w:val="-1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13"/>
              </w:rPr>
              <w:t>类区</w:t>
            </w:r>
          </w:p>
        </w:tc>
        <w:tc>
          <w:tcPr>
            <w:tcW w:w="865" w:type="dxa"/>
            <w:vAlign w:val="top"/>
          </w:tcPr>
          <w:p w14:paraId="59419AC6">
            <w:pPr>
              <w:spacing w:before="83" w:line="185" w:lineRule="auto"/>
              <w:ind w:left="3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vAlign w:val="top"/>
          </w:tcPr>
          <w:p w14:paraId="7721E4E6">
            <w:pPr>
              <w:spacing w:before="80" w:line="188" w:lineRule="auto"/>
              <w:ind w:left="4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14.5879</w:t>
            </w:r>
          </w:p>
        </w:tc>
        <w:tc>
          <w:tcPr>
            <w:tcW w:w="1131" w:type="dxa"/>
            <w:vAlign w:val="top"/>
          </w:tcPr>
          <w:p w14:paraId="552B3337">
            <w:pPr>
              <w:spacing w:before="3" w:line="306" w:lineRule="exact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44.95%</w:t>
            </w:r>
          </w:p>
        </w:tc>
        <w:tc>
          <w:tcPr>
            <w:tcW w:w="774" w:type="dxa"/>
            <w:vAlign w:val="top"/>
          </w:tcPr>
          <w:p w14:paraId="58F90A74">
            <w:pPr>
              <w:spacing w:before="80" w:line="188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850" w:type="dxa"/>
            <w:vAlign w:val="top"/>
          </w:tcPr>
          <w:p w14:paraId="166F8042">
            <w:pPr>
              <w:spacing w:before="80" w:line="188" w:lineRule="auto"/>
              <w:ind w:left="6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9.736</w:t>
            </w:r>
          </w:p>
        </w:tc>
        <w:tc>
          <w:tcPr>
            <w:tcW w:w="1080" w:type="dxa"/>
            <w:vAlign w:val="top"/>
          </w:tcPr>
          <w:p w14:paraId="4704E78F">
            <w:pPr>
              <w:spacing w:before="3" w:line="306" w:lineRule="exact"/>
              <w:ind w:left="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40.51%</w:t>
            </w:r>
          </w:p>
        </w:tc>
      </w:tr>
      <w:tr w14:paraId="16DF3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660" w:type="dxa"/>
            <w:vAlign w:val="top"/>
          </w:tcPr>
          <w:p w14:paraId="01D156C4">
            <w:pPr>
              <w:pStyle w:val="6"/>
              <w:spacing w:before="46" w:line="210" w:lineRule="auto"/>
              <w:ind w:left="503"/>
            </w:pPr>
            <w:r>
              <w:rPr>
                <w:rFonts w:ascii="Times New Roman" w:hAnsi="Times New Roman" w:eastAsia="Times New Roman" w:cs="Times New Roman"/>
                <w:spacing w:val="-5"/>
              </w:rPr>
              <w:t>2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 </w:t>
            </w:r>
            <w:r>
              <w:rPr>
                <w:spacing w:val="-5"/>
              </w:rPr>
              <w:t>类区</w:t>
            </w:r>
          </w:p>
        </w:tc>
        <w:tc>
          <w:tcPr>
            <w:tcW w:w="865" w:type="dxa"/>
            <w:vAlign w:val="top"/>
          </w:tcPr>
          <w:p w14:paraId="20A90E75">
            <w:pPr>
              <w:spacing w:before="87" w:line="188" w:lineRule="auto"/>
              <w:ind w:left="3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1700" w:type="dxa"/>
            <w:vAlign w:val="top"/>
          </w:tcPr>
          <w:p w14:paraId="64CA2ABE">
            <w:pPr>
              <w:spacing w:before="87" w:line="188" w:lineRule="auto"/>
              <w:ind w:left="5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9.1917</w:t>
            </w:r>
          </w:p>
        </w:tc>
        <w:tc>
          <w:tcPr>
            <w:tcW w:w="1131" w:type="dxa"/>
            <w:vAlign w:val="top"/>
          </w:tcPr>
          <w:p w14:paraId="4B41DC82">
            <w:pPr>
              <w:spacing w:before="10" w:line="309" w:lineRule="exact"/>
              <w:ind w:left="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28.32%</w:t>
            </w:r>
          </w:p>
        </w:tc>
        <w:tc>
          <w:tcPr>
            <w:tcW w:w="774" w:type="dxa"/>
            <w:vAlign w:val="top"/>
          </w:tcPr>
          <w:p w14:paraId="7EC29594">
            <w:pPr>
              <w:spacing w:before="87" w:line="188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850" w:type="dxa"/>
            <w:vAlign w:val="top"/>
          </w:tcPr>
          <w:p w14:paraId="29D8C2DD">
            <w:pPr>
              <w:spacing w:before="87" w:line="188" w:lineRule="auto"/>
              <w:ind w:left="6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6.367</w:t>
            </w:r>
          </w:p>
        </w:tc>
        <w:tc>
          <w:tcPr>
            <w:tcW w:w="1080" w:type="dxa"/>
            <w:vAlign w:val="top"/>
          </w:tcPr>
          <w:p w14:paraId="340329CA">
            <w:pPr>
              <w:spacing w:before="10" w:line="309" w:lineRule="exact"/>
              <w:ind w:left="1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26.49%</w:t>
            </w:r>
          </w:p>
        </w:tc>
      </w:tr>
      <w:tr w14:paraId="5E487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660" w:type="dxa"/>
            <w:vAlign w:val="top"/>
          </w:tcPr>
          <w:p w14:paraId="2DF5E609">
            <w:pPr>
              <w:pStyle w:val="6"/>
              <w:spacing w:before="41" w:line="206" w:lineRule="auto"/>
              <w:ind w:left="508"/>
            </w:pPr>
            <w:r>
              <w:rPr>
                <w:rFonts w:ascii="Times New Roman" w:hAnsi="Times New Roman" w:eastAsia="Times New Roman" w:cs="Times New Roman"/>
                <w:spacing w:val="-7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7"/>
              </w:rPr>
              <w:t>类区</w:t>
            </w:r>
          </w:p>
        </w:tc>
        <w:tc>
          <w:tcPr>
            <w:tcW w:w="865" w:type="dxa"/>
            <w:vAlign w:val="top"/>
          </w:tcPr>
          <w:p w14:paraId="3FFA59F9">
            <w:pPr>
              <w:spacing w:before="85" w:line="185" w:lineRule="auto"/>
              <w:ind w:left="38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vAlign w:val="top"/>
          </w:tcPr>
          <w:p w14:paraId="629C7740">
            <w:pPr>
              <w:spacing w:before="82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8.4792</w:t>
            </w:r>
          </w:p>
        </w:tc>
        <w:tc>
          <w:tcPr>
            <w:tcW w:w="1131" w:type="dxa"/>
            <w:vAlign w:val="top"/>
          </w:tcPr>
          <w:p w14:paraId="325489FD">
            <w:pPr>
              <w:spacing w:before="5" w:line="304" w:lineRule="exact"/>
              <w:ind w:left="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26.12%</w:t>
            </w:r>
          </w:p>
        </w:tc>
        <w:tc>
          <w:tcPr>
            <w:tcW w:w="774" w:type="dxa"/>
            <w:vAlign w:val="top"/>
          </w:tcPr>
          <w:p w14:paraId="0F43FA9D">
            <w:pPr>
              <w:spacing w:before="82" w:line="188" w:lineRule="auto"/>
              <w:ind w:left="3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850" w:type="dxa"/>
            <w:vAlign w:val="top"/>
          </w:tcPr>
          <w:p w14:paraId="5F36F76D">
            <w:pPr>
              <w:spacing w:before="82" w:line="188" w:lineRule="auto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7.929</w:t>
            </w:r>
          </w:p>
        </w:tc>
        <w:tc>
          <w:tcPr>
            <w:tcW w:w="1080" w:type="dxa"/>
            <w:vAlign w:val="top"/>
          </w:tcPr>
          <w:p w14:paraId="661BADA6">
            <w:pPr>
              <w:spacing w:before="5" w:line="304" w:lineRule="exact"/>
              <w:ind w:left="1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32.99%</w:t>
            </w:r>
          </w:p>
        </w:tc>
      </w:tr>
      <w:tr w14:paraId="1D371E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660" w:type="dxa"/>
            <w:vAlign w:val="top"/>
          </w:tcPr>
          <w:p w14:paraId="78F1451A">
            <w:pPr>
              <w:pStyle w:val="6"/>
              <w:spacing w:before="43" w:line="205" w:lineRule="auto"/>
              <w:ind w:left="502"/>
            </w:pPr>
            <w:r>
              <w:rPr>
                <w:rFonts w:ascii="Times New Roman" w:hAnsi="Times New Roman" w:eastAsia="Times New Roman" w:cs="Times New Roman"/>
                <w:spacing w:val="-5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 </w:t>
            </w:r>
            <w:r>
              <w:rPr>
                <w:spacing w:val="-5"/>
              </w:rPr>
              <w:t>类区</w:t>
            </w:r>
          </w:p>
        </w:tc>
        <w:tc>
          <w:tcPr>
            <w:tcW w:w="865" w:type="dxa"/>
            <w:vAlign w:val="top"/>
          </w:tcPr>
          <w:p w14:paraId="01DB55E0">
            <w:pPr>
              <w:spacing w:before="84" w:line="188" w:lineRule="auto"/>
              <w:ind w:left="3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Align w:val="top"/>
          </w:tcPr>
          <w:p w14:paraId="1094FAD8">
            <w:pPr>
              <w:spacing w:before="84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0.0478</w:t>
            </w:r>
          </w:p>
        </w:tc>
        <w:tc>
          <w:tcPr>
            <w:tcW w:w="1131" w:type="dxa"/>
            <w:vAlign w:val="top"/>
          </w:tcPr>
          <w:p w14:paraId="57F54E5E">
            <w:pPr>
              <w:spacing w:before="7" w:line="302" w:lineRule="exact"/>
              <w:ind w:left="2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0.61%</w:t>
            </w:r>
          </w:p>
        </w:tc>
        <w:tc>
          <w:tcPr>
            <w:tcW w:w="774" w:type="dxa"/>
            <w:vAlign w:val="top"/>
          </w:tcPr>
          <w:p w14:paraId="04205D82">
            <w:pPr>
              <w:spacing w:before="7" w:line="302" w:lineRule="exact"/>
              <w:ind w:left="3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  <w:tc>
          <w:tcPr>
            <w:tcW w:w="1850" w:type="dxa"/>
            <w:vAlign w:val="top"/>
          </w:tcPr>
          <w:p w14:paraId="00FEE30F">
            <w:pPr>
              <w:spacing w:before="7" w:line="302" w:lineRule="exact"/>
              <w:ind w:left="8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  <w:tc>
          <w:tcPr>
            <w:tcW w:w="1080" w:type="dxa"/>
            <w:vAlign w:val="top"/>
          </w:tcPr>
          <w:p w14:paraId="2E4C0142">
            <w:pPr>
              <w:spacing w:before="7" w:line="302" w:lineRule="exact"/>
              <w:ind w:left="5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</w:tr>
      <w:tr w14:paraId="099E45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  <w:vAlign w:val="top"/>
          </w:tcPr>
          <w:p w14:paraId="3DE41BF4">
            <w:pPr>
              <w:pStyle w:val="6"/>
              <w:spacing w:before="47" w:line="213" w:lineRule="auto"/>
              <w:ind w:left="599"/>
            </w:pPr>
            <w:r>
              <w:rPr>
                <w:spacing w:val="-7"/>
              </w:rPr>
              <w:t>总计</w:t>
            </w:r>
          </w:p>
        </w:tc>
        <w:tc>
          <w:tcPr>
            <w:tcW w:w="865" w:type="dxa"/>
            <w:vAlign w:val="top"/>
          </w:tcPr>
          <w:p w14:paraId="03647C62">
            <w:pPr>
              <w:spacing w:before="88" w:line="188" w:lineRule="auto"/>
              <w:ind w:left="3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1700" w:type="dxa"/>
            <w:vAlign w:val="top"/>
          </w:tcPr>
          <w:p w14:paraId="302A9904">
            <w:pPr>
              <w:spacing w:before="88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32.4565</w:t>
            </w:r>
          </w:p>
        </w:tc>
        <w:tc>
          <w:tcPr>
            <w:tcW w:w="1131" w:type="dxa"/>
            <w:vAlign w:val="top"/>
          </w:tcPr>
          <w:p w14:paraId="6088C30E">
            <w:pPr>
              <w:spacing w:before="189" w:line="115" w:lineRule="exact"/>
              <w:ind w:left="5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-2"/>
                <w:sz w:val="24"/>
                <w:szCs w:val="24"/>
              </w:rPr>
              <w:t>-</w:t>
            </w:r>
          </w:p>
        </w:tc>
        <w:tc>
          <w:tcPr>
            <w:tcW w:w="774" w:type="dxa"/>
            <w:vAlign w:val="top"/>
          </w:tcPr>
          <w:p w14:paraId="5ABBB35C">
            <w:pPr>
              <w:spacing w:before="88" w:line="188" w:lineRule="auto"/>
              <w:ind w:left="2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1850" w:type="dxa"/>
            <w:vAlign w:val="top"/>
          </w:tcPr>
          <w:p w14:paraId="5FA774A6">
            <w:pPr>
              <w:spacing w:before="88" w:line="188" w:lineRule="auto"/>
              <w:ind w:left="5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24.032</w:t>
            </w:r>
          </w:p>
        </w:tc>
        <w:tc>
          <w:tcPr>
            <w:tcW w:w="1080" w:type="dxa"/>
            <w:vAlign w:val="top"/>
          </w:tcPr>
          <w:p w14:paraId="7EC76984">
            <w:pPr>
              <w:spacing w:before="11" w:line="312" w:lineRule="exact"/>
              <w:ind w:left="4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24"/>
                <w:szCs w:val="24"/>
              </w:rPr>
              <w:t>/-</w:t>
            </w:r>
          </w:p>
        </w:tc>
      </w:tr>
    </w:tbl>
    <w:p w14:paraId="61075E0B">
      <w:pPr>
        <w:pStyle w:val="2"/>
      </w:pPr>
    </w:p>
    <w:p w14:paraId="53257D44">
      <w:pPr>
        <w:sectPr>
          <w:footerReference r:id="rId77" w:type="default"/>
          <w:pgSz w:w="11906" w:h="16839"/>
          <w:pgMar w:top="1431" w:right="1366" w:bottom="1151" w:left="1474" w:header="0" w:footer="989" w:gutter="0"/>
          <w:cols w:space="720" w:num="1"/>
        </w:sectPr>
      </w:pPr>
    </w:p>
    <w:p w14:paraId="44663207">
      <w:pPr>
        <w:pStyle w:val="2"/>
        <w:spacing w:line="346" w:lineRule="auto"/>
      </w:pPr>
    </w:p>
    <w:p w14:paraId="562EFD87">
      <w:pPr>
        <w:pStyle w:val="2"/>
        <w:spacing w:line="346" w:lineRule="auto"/>
      </w:pPr>
    </w:p>
    <w:p w14:paraId="682D7DFC">
      <w:pPr>
        <w:spacing w:line="5535" w:lineRule="exact"/>
        <w:ind w:firstLine="581"/>
      </w:pPr>
      <w:r>
        <w:rPr>
          <w:position w:val="-110"/>
        </w:rPr>
        <w:drawing>
          <wp:inline distT="0" distB="0" distL="0" distR="0">
            <wp:extent cx="4873625" cy="351472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D1BB">
      <w:pPr>
        <w:spacing w:before="260" w:line="333" w:lineRule="auto"/>
        <w:ind w:left="658" w:right="1071" w:firstLine="37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"/>
          <w:sz w:val="28"/>
          <w:szCs w:val="28"/>
        </w:rPr>
        <w:t>图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6-20.</w:t>
      </w:r>
      <w:r>
        <w:rPr>
          <w:rFonts w:ascii="Times New Roman" w:hAnsi="Times New Roman" w:eastAsia="Times New Roman" w:cs="Times New Roman"/>
          <w:spacing w:val="15"/>
          <w:sz w:val="28"/>
          <w:szCs w:val="28"/>
        </w:rPr>
        <w:t xml:space="preserve">    </w:t>
      </w:r>
      <w:r>
        <w:rPr>
          <w:rFonts w:ascii="宋体" w:hAnsi="宋体" w:eastAsia="宋体" w:cs="宋体"/>
          <w:spacing w:val="-3"/>
          <w:sz w:val="28"/>
          <w:szCs w:val="28"/>
        </w:rPr>
        <w:t>现行与本次调整后各类声环境功能区面积对比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本次调整的情况具体如下：</w:t>
      </w:r>
    </w:p>
    <w:p w14:paraId="0800B517">
      <w:pPr>
        <w:spacing w:before="22" w:line="326" w:lineRule="auto"/>
        <w:ind w:left="16" w:firstLine="66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7"/>
          <w:sz w:val="31"/>
          <w:szCs w:val="31"/>
        </w:rPr>
        <w:t>类声环境功能区区划单元由原先的</w:t>
      </w:r>
      <w:r>
        <w:rPr>
          <w:rFonts w:ascii="宋体" w:hAnsi="宋体" w:eastAsia="宋体" w:cs="宋体"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 </w:t>
      </w:r>
      <w:r>
        <w:rPr>
          <w:rFonts w:ascii="宋体" w:hAnsi="宋体" w:eastAsia="宋体" w:cs="宋体"/>
          <w:spacing w:val="7"/>
          <w:sz w:val="31"/>
          <w:szCs w:val="31"/>
        </w:rPr>
        <w:t>个变为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7"/>
          <w:sz w:val="31"/>
          <w:szCs w:val="31"/>
        </w:rPr>
        <w:t>个；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7"/>
          <w:sz w:val="31"/>
          <w:szCs w:val="31"/>
        </w:rPr>
        <w:t>类声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环境功能区区划单元由原先的</w:t>
      </w:r>
      <w:r>
        <w:rPr>
          <w:rFonts w:ascii="宋体" w:hAnsi="宋体" w:eastAsia="宋体" w:cs="宋体"/>
          <w:spacing w:val="-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12 </w:t>
      </w:r>
      <w:r>
        <w:rPr>
          <w:rFonts w:ascii="宋体" w:hAnsi="宋体" w:eastAsia="宋体" w:cs="宋体"/>
          <w:spacing w:val="10"/>
          <w:sz w:val="31"/>
          <w:szCs w:val="31"/>
        </w:rPr>
        <w:t>个变为</w:t>
      </w:r>
      <w:r>
        <w:rPr>
          <w:rFonts w:ascii="宋体" w:hAnsi="宋体" w:eastAsia="宋体" w:cs="宋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10"/>
          <w:sz w:val="31"/>
          <w:szCs w:val="31"/>
        </w:rPr>
        <w:t>个；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10"/>
          <w:sz w:val="31"/>
          <w:szCs w:val="31"/>
        </w:rPr>
        <w:t>类声环境功能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区区划单元由原先的</w:t>
      </w:r>
      <w:r>
        <w:rPr>
          <w:rFonts w:ascii="宋体" w:hAnsi="宋体" w:eastAsia="宋体" w:cs="宋体"/>
          <w:spacing w:val="-4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 </w:t>
      </w:r>
      <w:r>
        <w:rPr>
          <w:rFonts w:ascii="宋体" w:hAnsi="宋体" w:eastAsia="宋体" w:cs="宋体"/>
          <w:spacing w:val="6"/>
          <w:sz w:val="31"/>
          <w:szCs w:val="31"/>
        </w:rPr>
        <w:t>个变为</w:t>
      </w:r>
      <w:r>
        <w:rPr>
          <w:rFonts w:ascii="宋体" w:hAnsi="宋体" w:eastAsia="宋体" w:cs="宋体"/>
          <w:spacing w:val="-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6"/>
          <w:sz w:val="31"/>
          <w:szCs w:val="31"/>
        </w:rPr>
        <w:t>个；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6"/>
          <w:sz w:val="31"/>
          <w:szCs w:val="31"/>
        </w:rPr>
        <w:t>类声环境功能区区划单元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由原先的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个变为</w:t>
      </w:r>
      <w:r>
        <w:rPr>
          <w:rFonts w:ascii="宋体" w:hAnsi="宋体" w:eastAsia="宋体" w:cs="宋体"/>
          <w:spacing w:val="-9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个。相关区划单元前后调整统计入下表所示：</w:t>
      </w:r>
    </w:p>
    <w:p w14:paraId="22AB66AD">
      <w:pPr>
        <w:spacing w:before="38" w:line="369" w:lineRule="exact"/>
        <w:ind w:left="128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3"/>
          <w:sz w:val="28"/>
          <w:szCs w:val="28"/>
        </w:rPr>
        <w:t>表</w:t>
      </w:r>
      <w:r>
        <w:rPr>
          <w:rFonts w:ascii="宋体" w:hAnsi="宋体" w:eastAsia="宋体" w:cs="宋体"/>
          <w:spacing w:val="-55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8"/>
          <w:szCs w:val="28"/>
        </w:rPr>
        <w:t xml:space="preserve">6-8)      </w:t>
      </w:r>
      <w:r>
        <w:rPr>
          <w:rFonts w:ascii="宋体" w:hAnsi="宋体" w:eastAsia="宋体" w:cs="宋体"/>
          <w:position w:val="3"/>
          <w:sz w:val="28"/>
          <w:szCs w:val="28"/>
        </w:rPr>
        <w:t>本次开化县中心城区区划单元调整汇总表</w:t>
      </w:r>
    </w:p>
    <w:p w14:paraId="2E66094B">
      <w:pPr>
        <w:spacing w:line="27" w:lineRule="exact"/>
      </w:pPr>
    </w:p>
    <w:tbl>
      <w:tblPr>
        <w:tblStyle w:val="5"/>
        <w:tblW w:w="88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"/>
        <w:gridCol w:w="959"/>
        <w:gridCol w:w="508"/>
        <w:gridCol w:w="398"/>
        <w:gridCol w:w="3044"/>
        <w:gridCol w:w="3675"/>
      </w:tblGrid>
      <w:tr w14:paraId="46AF84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71" w:type="dxa"/>
            <w:vMerge w:val="restart"/>
            <w:tcBorders>
              <w:bottom w:val="nil"/>
            </w:tcBorders>
            <w:textDirection w:val="tbRlV"/>
            <w:vAlign w:val="top"/>
          </w:tcPr>
          <w:p w14:paraId="5129D862">
            <w:pPr>
              <w:pStyle w:val="6"/>
              <w:spacing w:before="12" w:line="208" w:lineRule="auto"/>
              <w:ind w:left="515"/>
            </w:pPr>
            <w:r>
              <w:rPr>
                <w:spacing w:val="36"/>
              </w:rPr>
              <w:t>类别</w:t>
            </w: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3B68630D">
            <w:pPr>
              <w:spacing w:line="294" w:lineRule="auto"/>
              <w:rPr>
                <w:rFonts w:ascii="Arial"/>
                <w:sz w:val="21"/>
              </w:rPr>
            </w:pPr>
          </w:p>
          <w:p w14:paraId="5978BCB9">
            <w:pPr>
              <w:spacing w:line="295" w:lineRule="auto"/>
              <w:rPr>
                <w:rFonts w:ascii="Arial"/>
                <w:sz w:val="21"/>
              </w:rPr>
            </w:pPr>
          </w:p>
          <w:p w14:paraId="2EE20F1A">
            <w:pPr>
              <w:pStyle w:val="6"/>
              <w:spacing w:before="78" w:line="222" w:lineRule="auto"/>
              <w:ind w:left="247"/>
            </w:pPr>
            <w:r>
              <w:rPr>
                <w:spacing w:val="-7"/>
              </w:rPr>
              <w:t>功能</w:t>
            </w:r>
          </w:p>
        </w:tc>
        <w:tc>
          <w:tcPr>
            <w:tcW w:w="906" w:type="dxa"/>
            <w:gridSpan w:val="2"/>
            <w:vAlign w:val="top"/>
          </w:tcPr>
          <w:p w14:paraId="6369925D">
            <w:pPr>
              <w:pStyle w:val="6"/>
              <w:spacing w:before="40" w:line="224" w:lineRule="auto"/>
              <w:ind w:left="337" w:right="91" w:hanging="233"/>
            </w:pPr>
            <w:r>
              <w:rPr>
                <w:spacing w:val="-6"/>
              </w:rPr>
              <w:t>片区编</w:t>
            </w:r>
            <w:r>
              <w:rPr>
                <w:spacing w:val="1"/>
              </w:rPr>
              <w:t xml:space="preserve"> </w:t>
            </w:r>
            <w:r>
              <w:t>码</w:t>
            </w:r>
          </w:p>
        </w:tc>
        <w:tc>
          <w:tcPr>
            <w:tcW w:w="3044" w:type="dxa"/>
            <w:vMerge w:val="restart"/>
            <w:tcBorders>
              <w:bottom w:val="nil"/>
            </w:tcBorders>
            <w:vAlign w:val="top"/>
          </w:tcPr>
          <w:p w14:paraId="1F12B3FB">
            <w:pPr>
              <w:spacing w:line="294" w:lineRule="auto"/>
              <w:rPr>
                <w:rFonts w:ascii="Arial"/>
                <w:sz w:val="21"/>
              </w:rPr>
            </w:pPr>
          </w:p>
          <w:p w14:paraId="59AB6B31">
            <w:pPr>
              <w:spacing w:line="295" w:lineRule="auto"/>
              <w:rPr>
                <w:rFonts w:ascii="Arial"/>
                <w:sz w:val="21"/>
              </w:rPr>
            </w:pPr>
          </w:p>
          <w:p w14:paraId="15B5209E">
            <w:pPr>
              <w:pStyle w:val="6"/>
              <w:spacing w:before="78" w:line="221" w:lineRule="auto"/>
              <w:ind w:left="1052"/>
            </w:pPr>
            <w:r>
              <w:rPr>
                <w:spacing w:val="-3"/>
              </w:rPr>
              <w:t>调整情况</w:t>
            </w:r>
          </w:p>
        </w:tc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6FB12CF6">
            <w:pPr>
              <w:spacing w:line="295" w:lineRule="auto"/>
              <w:rPr>
                <w:rFonts w:ascii="Arial"/>
                <w:sz w:val="21"/>
              </w:rPr>
            </w:pPr>
          </w:p>
          <w:p w14:paraId="25AB9B95">
            <w:pPr>
              <w:spacing w:line="295" w:lineRule="auto"/>
              <w:rPr>
                <w:rFonts w:ascii="Arial"/>
                <w:sz w:val="21"/>
              </w:rPr>
            </w:pPr>
          </w:p>
          <w:p w14:paraId="611F6C1C">
            <w:pPr>
              <w:pStyle w:val="6"/>
              <w:spacing w:before="78" w:line="222" w:lineRule="auto"/>
              <w:ind w:left="1365"/>
            </w:pPr>
            <w:r>
              <w:rPr>
                <w:spacing w:val="-3"/>
              </w:rPr>
              <w:t>调整原因</w:t>
            </w:r>
          </w:p>
        </w:tc>
      </w:tr>
      <w:tr w14:paraId="4F96D9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71" w:type="dxa"/>
            <w:vMerge w:val="continue"/>
            <w:tcBorders>
              <w:top w:val="nil"/>
            </w:tcBorders>
            <w:textDirection w:val="tbRlV"/>
            <w:vAlign w:val="top"/>
          </w:tcPr>
          <w:p w14:paraId="6BF1479A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16D7ECD3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3D452896">
            <w:pPr>
              <w:pStyle w:val="6"/>
              <w:spacing w:before="194" w:line="231" w:lineRule="auto"/>
              <w:ind w:left="142" w:right="13" w:hanging="121"/>
            </w:pPr>
            <w:r>
              <w:rPr>
                <w:spacing w:val="-6"/>
              </w:rPr>
              <w:t>调整</w:t>
            </w:r>
            <w:r>
              <w:t xml:space="preserve"> 前</w:t>
            </w:r>
          </w:p>
        </w:tc>
        <w:tc>
          <w:tcPr>
            <w:tcW w:w="398" w:type="dxa"/>
            <w:textDirection w:val="tbRlV"/>
            <w:vAlign w:val="top"/>
          </w:tcPr>
          <w:p w14:paraId="6C4BDDA6">
            <w:pPr>
              <w:pStyle w:val="6"/>
              <w:spacing w:before="77" w:line="208" w:lineRule="auto"/>
              <w:ind w:left="38"/>
            </w:pPr>
            <w:r>
              <w:rPr>
                <w:spacing w:val="48"/>
              </w:rPr>
              <w:t>调整后</w:t>
            </w:r>
          </w:p>
        </w:tc>
        <w:tc>
          <w:tcPr>
            <w:tcW w:w="3044" w:type="dxa"/>
            <w:vMerge w:val="continue"/>
            <w:tcBorders>
              <w:top w:val="nil"/>
            </w:tcBorders>
            <w:vAlign w:val="top"/>
          </w:tcPr>
          <w:p w14:paraId="3085B161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6B88A160">
            <w:pPr>
              <w:rPr>
                <w:rFonts w:ascii="Arial"/>
                <w:sz w:val="21"/>
              </w:rPr>
            </w:pPr>
          </w:p>
        </w:tc>
      </w:tr>
      <w:tr w14:paraId="69E05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71" w:type="dxa"/>
            <w:vMerge w:val="restart"/>
            <w:tcBorders>
              <w:bottom w:val="nil"/>
            </w:tcBorders>
            <w:vAlign w:val="top"/>
          </w:tcPr>
          <w:p w14:paraId="4717FA84">
            <w:pPr>
              <w:spacing w:line="247" w:lineRule="auto"/>
              <w:rPr>
                <w:rFonts w:ascii="Arial"/>
                <w:sz w:val="21"/>
              </w:rPr>
            </w:pPr>
          </w:p>
          <w:p w14:paraId="2BCC3C15">
            <w:pPr>
              <w:spacing w:line="248" w:lineRule="auto"/>
              <w:rPr>
                <w:rFonts w:ascii="Arial"/>
                <w:sz w:val="21"/>
              </w:rPr>
            </w:pPr>
          </w:p>
          <w:p w14:paraId="0812235F">
            <w:pPr>
              <w:pStyle w:val="6"/>
              <w:spacing w:before="69" w:line="250" w:lineRule="auto"/>
              <w:ind w:left="22" w:right="12" w:firstLine="107"/>
            </w:pPr>
            <w:r>
              <w:rPr>
                <w:rFonts w:ascii="Times New Roman" w:hAnsi="Times New Roman" w:eastAsia="Times New Roman" w:cs="Times New Roman"/>
                <w:spacing w:val="-29"/>
              </w:rPr>
              <w:t>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736E39EE">
            <w:pPr>
              <w:pStyle w:val="6"/>
              <w:spacing w:before="57" w:line="236" w:lineRule="auto"/>
              <w:ind w:left="12" w:right="4" w:firstLine="113"/>
              <w:jc w:val="both"/>
            </w:pPr>
            <w:r>
              <w:rPr>
                <w:spacing w:val="-4"/>
              </w:rPr>
              <w:t>居民住</w:t>
            </w:r>
            <w:r>
              <w:t xml:space="preserve">  </w:t>
            </w:r>
            <w:r>
              <w:rPr>
                <w:spacing w:val="-6"/>
              </w:rPr>
              <w:t>宅、医疗</w:t>
            </w:r>
            <w:r>
              <w:t xml:space="preserve"> </w:t>
            </w:r>
            <w:r>
              <w:rPr>
                <w:spacing w:val="-6"/>
              </w:rPr>
              <w:t>卫生、文</w:t>
            </w:r>
            <w:r>
              <w:t xml:space="preserve"> </w:t>
            </w:r>
            <w:r>
              <w:rPr>
                <w:spacing w:val="34"/>
              </w:rPr>
              <w:t>化教育</w:t>
            </w:r>
            <w:r>
              <w:t xml:space="preserve">  </w:t>
            </w:r>
            <w:r>
              <w:rPr>
                <w:spacing w:val="34"/>
              </w:rPr>
              <w:t>科研设</w:t>
            </w:r>
          </w:p>
        </w:tc>
        <w:tc>
          <w:tcPr>
            <w:tcW w:w="508" w:type="dxa"/>
            <w:vAlign w:val="top"/>
          </w:tcPr>
          <w:p w14:paraId="1614CFC6">
            <w:pPr>
              <w:spacing w:before="78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398" w:type="dxa"/>
            <w:vAlign w:val="top"/>
          </w:tcPr>
          <w:p w14:paraId="065D153C">
            <w:pPr>
              <w:spacing w:before="78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3044" w:type="dxa"/>
            <w:vMerge w:val="restart"/>
            <w:tcBorders>
              <w:bottom w:val="nil"/>
            </w:tcBorders>
            <w:vAlign w:val="top"/>
          </w:tcPr>
          <w:p w14:paraId="76B9D878">
            <w:pPr>
              <w:pStyle w:val="6"/>
              <w:spacing w:before="58" w:line="236" w:lineRule="auto"/>
              <w:ind w:left="11" w:right="1" w:firstLine="79"/>
              <w:jc w:val="both"/>
            </w:pPr>
            <w:r>
              <w:rPr>
                <w:spacing w:val="-1"/>
              </w:rPr>
              <w:t>新增了华殿线附近的区划单</w:t>
            </w:r>
            <w:r>
              <w:t xml:space="preserve"> </w:t>
            </w:r>
            <w:r>
              <w:rPr>
                <w:spacing w:val="-8"/>
              </w:rPr>
              <w:t>元</w:t>
            </w:r>
            <w:r>
              <w:rPr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102</w:t>
            </w:r>
            <w:r>
              <w:rPr>
                <w:spacing w:val="-8"/>
              </w:rPr>
              <w:t>；原部分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102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8"/>
              </w:rPr>
              <w:t>区划单元</w:t>
            </w:r>
            <w:r>
              <w:t xml:space="preserve"> </w:t>
            </w:r>
            <w:r>
              <w:rPr>
                <w:spacing w:val="-3"/>
              </w:rPr>
              <w:t>和</w:t>
            </w:r>
            <w:r>
              <w:rPr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101 </w:t>
            </w:r>
            <w:r>
              <w:rPr>
                <w:spacing w:val="-3"/>
              </w:rPr>
              <w:t>区划单元变成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202 </w:t>
            </w:r>
            <w:r>
              <w:rPr>
                <w:spacing w:val="-3"/>
              </w:rPr>
              <w:t>区划</w:t>
            </w:r>
            <w:r>
              <w:t xml:space="preserve"> </w:t>
            </w:r>
            <w:r>
              <w:rPr>
                <w:spacing w:val="-6"/>
              </w:rPr>
              <w:t>单元和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201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6"/>
              </w:rPr>
              <w:t>区划单元；原</w:t>
            </w:r>
            <w:r>
              <w:rPr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301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3"/>
              </w:rPr>
              <w:t>区划单元南侧新增为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>106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spacing w:val="3"/>
              </w:rPr>
              <w:t>区</w:t>
            </w:r>
          </w:p>
        </w:tc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4808AEFC">
            <w:pPr>
              <w:pStyle w:val="6"/>
              <w:spacing w:before="58" w:line="236" w:lineRule="auto"/>
              <w:ind w:left="14" w:right="4" w:firstLine="149"/>
            </w:pPr>
            <w:r>
              <w:rPr>
                <w:spacing w:val="-1"/>
              </w:rPr>
              <w:t>根据《开化县国土空间总体规划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2021-2035 </w:t>
            </w:r>
            <w:r>
              <w:rPr>
                <w:spacing w:val="-5"/>
              </w:rPr>
              <w:t>年）》：原规划边界在</w:t>
            </w:r>
            <w:r>
              <w:rPr>
                <w:spacing w:val="15"/>
              </w:rPr>
              <w:t xml:space="preserve"> </w:t>
            </w:r>
            <w:r>
              <w:rPr>
                <w:spacing w:val="1"/>
              </w:rPr>
              <w:t>华殿线附近，原本的未进行划分；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原</w:t>
            </w:r>
            <w:r>
              <w:rPr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102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6"/>
              </w:rPr>
              <w:t>区划单元和部分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101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6"/>
              </w:rPr>
              <w:t>区划单</w:t>
            </w:r>
            <w:r>
              <w:t xml:space="preserve"> </w:t>
            </w:r>
            <w:r>
              <w:rPr>
                <w:spacing w:val="-10"/>
              </w:rPr>
              <w:t>元规划为商业服务用地；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301</w:t>
            </w:r>
            <w:r>
              <w:rPr>
                <w:rFonts w:ascii="Times New Roman" w:hAnsi="Times New Roman" w:eastAsia="Times New Roman" w:cs="Times New Roman"/>
                <w:spacing w:val="40"/>
              </w:rPr>
              <w:t xml:space="preserve"> </w:t>
            </w:r>
            <w:r>
              <w:rPr>
                <w:spacing w:val="-10"/>
              </w:rPr>
              <w:t>区划单</w:t>
            </w:r>
          </w:p>
        </w:tc>
      </w:tr>
      <w:tr w14:paraId="587338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4786D545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7580EC6F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3FAC5070">
            <w:pPr>
              <w:spacing w:before="81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398" w:type="dxa"/>
            <w:vAlign w:val="top"/>
          </w:tcPr>
          <w:p w14:paraId="2D365DAA">
            <w:pPr>
              <w:spacing w:before="81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04C1203D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47D19556">
            <w:pPr>
              <w:rPr>
                <w:rFonts w:ascii="Arial"/>
                <w:sz w:val="21"/>
              </w:rPr>
            </w:pPr>
          </w:p>
        </w:tc>
      </w:tr>
      <w:tr w14:paraId="56C8EF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55986A96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4AAA806A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11A1C9F9">
            <w:pPr>
              <w:spacing w:before="82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398" w:type="dxa"/>
            <w:vAlign w:val="top"/>
          </w:tcPr>
          <w:p w14:paraId="409E4FCA">
            <w:pPr>
              <w:spacing w:before="82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2F1ACF6E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2524CEDA">
            <w:pPr>
              <w:rPr>
                <w:rFonts w:ascii="Arial"/>
                <w:sz w:val="21"/>
              </w:rPr>
            </w:pPr>
          </w:p>
        </w:tc>
      </w:tr>
      <w:tr w14:paraId="38791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6DE2D91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75E5E66C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2B0B7DAF">
            <w:pPr>
              <w:spacing w:before="81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398" w:type="dxa"/>
            <w:vAlign w:val="top"/>
          </w:tcPr>
          <w:p w14:paraId="1D29F58A">
            <w:pPr>
              <w:spacing w:before="81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6DA7D32F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2F8A456B">
            <w:pPr>
              <w:rPr>
                <w:rFonts w:ascii="Arial"/>
                <w:sz w:val="21"/>
              </w:rPr>
            </w:pPr>
          </w:p>
        </w:tc>
      </w:tr>
      <w:tr w14:paraId="57E17E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71" w:type="dxa"/>
            <w:vMerge w:val="continue"/>
            <w:tcBorders>
              <w:top w:val="nil"/>
            </w:tcBorders>
            <w:vAlign w:val="top"/>
          </w:tcPr>
          <w:p w14:paraId="17237BCA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5B4F154A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5F49150B">
            <w:pPr>
              <w:spacing w:before="82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398" w:type="dxa"/>
            <w:vAlign w:val="top"/>
          </w:tcPr>
          <w:p w14:paraId="1694224F">
            <w:pPr>
              <w:spacing w:before="82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3044" w:type="dxa"/>
            <w:vMerge w:val="continue"/>
            <w:tcBorders>
              <w:top w:val="nil"/>
            </w:tcBorders>
            <w:vAlign w:val="top"/>
          </w:tcPr>
          <w:p w14:paraId="2EC05535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014DDE46">
            <w:pPr>
              <w:rPr>
                <w:rFonts w:ascii="Arial"/>
                <w:sz w:val="21"/>
              </w:rPr>
            </w:pPr>
          </w:p>
        </w:tc>
      </w:tr>
    </w:tbl>
    <w:p w14:paraId="57805B08">
      <w:pPr>
        <w:pStyle w:val="2"/>
      </w:pPr>
    </w:p>
    <w:p w14:paraId="0BD96DC1">
      <w:pPr>
        <w:sectPr>
          <w:footerReference r:id="rId78" w:type="default"/>
          <w:pgSz w:w="11906" w:h="16839"/>
          <w:pgMar w:top="1431" w:right="1392" w:bottom="1151" w:left="1582" w:header="0" w:footer="989" w:gutter="0"/>
          <w:cols w:space="720" w:num="1"/>
        </w:sectPr>
      </w:pPr>
    </w:p>
    <w:p w14:paraId="130E188A">
      <w:pPr>
        <w:spacing w:before="92"/>
      </w:pPr>
    </w:p>
    <w:p w14:paraId="4C296252">
      <w:pPr>
        <w:spacing w:before="91"/>
      </w:pPr>
    </w:p>
    <w:tbl>
      <w:tblPr>
        <w:tblStyle w:val="5"/>
        <w:tblW w:w="88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"/>
        <w:gridCol w:w="959"/>
        <w:gridCol w:w="508"/>
        <w:gridCol w:w="398"/>
        <w:gridCol w:w="3044"/>
        <w:gridCol w:w="3675"/>
      </w:tblGrid>
      <w:tr w14:paraId="04A58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71" w:type="dxa"/>
            <w:vMerge w:val="restart"/>
            <w:tcBorders>
              <w:bottom w:val="nil"/>
            </w:tcBorders>
            <w:vAlign w:val="top"/>
          </w:tcPr>
          <w:p w14:paraId="59B7A1A5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570EB543">
            <w:pPr>
              <w:pStyle w:val="6"/>
              <w:spacing w:before="39" w:line="234" w:lineRule="auto"/>
              <w:ind w:left="125" w:right="4" w:hanging="114"/>
              <w:jc w:val="both"/>
            </w:pPr>
            <w:r>
              <w:rPr>
                <w:spacing w:val="-6"/>
              </w:rPr>
              <w:t>计、行政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办公为</w:t>
            </w:r>
            <w:r>
              <w:t xml:space="preserve">  </w:t>
            </w:r>
            <w:r>
              <w:rPr>
                <w:spacing w:val="-4"/>
              </w:rPr>
              <w:t>主区域</w:t>
            </w:r>
          </w:p>
        </w:tc>
        <w:tc>
          <w:tcPr>
            <w:tcW w:w="508" w:type="dxa"/>
            <w:vAlign w:val="top"/>
          </w:tcPr>
          <w:p w14:paraId="56FAA5C5">
            <w:pPr>
              <w:spacing w:before="83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398" w:type="dxa"/>
            <w:vAlign w:val="top"/>
          </w:tcPr>
          <w:p w14:paraId="4A26A951">
            <w:pPr>
              <w:spacing w:before="83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3044" w:type="dxa"/>
            <w:vMerge w:val="restart"/>
            <w:tcBorders>
              <w:bottom w:val="nil"/>
            </w:tcBorders>
            <w:vAlign w:val="top"/>
          </w:tcPr>
          <w:p w14:paraId="400B6673">
            <w:pPr>
              <w:pStyle w:val="6"/>
              <w:spacing w:before="41" w:line="235" w:lineRule="auto"/>
              <w:ind w:left="6" w:right="1" w:firstLine="3"/>
              <w:jc w:val="both"/>
            </w:pPr>
            <w:r>
              <w:rPr>
                <w:spacing w:val="-11"/>
              </w:rPr>
              <w:t>划单元；原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106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11"/>
              </w:rPr>
              <w:t>区划单元编号</w:t>
            </w:r>
            <w:r>
              <w:t xml:space="preserve"> </w:t>
            </w:r>
            <w:r>
              <w:rPr>
                <w:spacing w:val="-4"/>
              </w:rPr>
              <w:t>改为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108 </w:t>
            </w:r>
            <w:r>
              <w:rPr>
                <w:spacing w:val="-4"/>
              </w:rPr>
              <w:t>和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204</w:t>
            </w:r>
            <w:r>
              <w:rPr>
                <w:spacing w:val="-4"/>
              </w:rPr>
              <w:t>；原马金溪东</w:t>
            </w:r>
            <w:r>
              <w:t xml:space="preserve"> </w:t>
            </w:r>
            <w:r>
              <w:rPr>
                <w:spacing w:val="1"/>
              </w:rPr>
              <w:t>侧的</w:t>
            </w:r>
            <w:r>
              <w:rPr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107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1"/>
              </w:rPr>
              <w:t>区划单元，变更为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207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6"/>
              </w:rPr>
              <w:t>区划单元；将原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212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6"/>
              </w:rPr>
              <w:t>区划</w:t>
            </w:r>
          </w:p>
          <w:p w14:paraId="074F3CF7">
            <w:pPr>
              <w:pStyle w:val="6"/>
              <w:spacing w:before="25" w:line="221" w:lineRule="auto"/>
              <w:ind w:left="360"/>
            </w:pPr>
            <w:r>
              <w:rPr>
                <w:spacing w:val="-4"/>
              </w:rPr>
              <w:t>单元分为</w:t>
            </w:r>
            <w:r>
              <w:rPr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206 </w:t>
            </w:r>
            <w:r>
              <w:rPr>
                <w:spacing w:val="-4"/>
              </w:rPr>
              <w:t>和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106</w:t>
            </w:r>
            <w:r>
              <w:rPr>
                <w:spacing w:val="-4"/>
              </w:rPr>
              <w:t>；</w:t>
            </w:r>
          </w:p>
        </w:tc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33C9141F">
            <w:pPr>
              <w:pStyle w:val="6"/>
              <w:spacing w:before="41" w:line="220" w:lineRule="auto"/>
              <w:ind w:left="45"/>
            </w:pPr>
            <w:r>
              <w:rPr>
                <w:spacing w:val="-1"/>
              </w:rPr>
              <w:t>元南侧规划为住宅用地；经现场勘</w:t>
            </w:r>
          </w:p>
          <w:p w14:paraId="7314DAAF">
            <w:pPr>
              <w:pStyle w:val="6"/>
              <w:spacing w:before="25" w:line="220" w:lineRule="auto"/>
              <w:ind w:left="46"/>
            </w:pPr>
            <w:r>
              <w:rPr>
                <w:spacing w:val="-5"/>
              </w:rPr>
              <w:t>察，原</w:t>
            </w:r>
            <w:r>
              <w:rPr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106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5"/>
              </w:rPr>
              <w:t>区划单元南侧部分已经</w:t>
            </w:r>
          </w:p>
          <w:p w14:paraId="78F9279D">
            <w:pPr>
              <w:pStyle w:val="6"/>
              <w:spacing w:before="25" w:line="221" w:lineRule="auto"/>
              <w:ind w:left="43"/>
            </w:pPr>
            <w:r>
              <w:t>变为工业、住宅、商业混合区；根</w:t>
            </w:r>
          </w:p>
          <w:p w14:paraId="56852B6E">
            <w:pPr>
              <w:pStyle w:val="6"/>
              <w:spacing w:before="25" w:line="220" w:lineRule="auto"/>
              <w:ind w:left="42"/>
            </w:pPr>
            <w:r>
              <w:rPr>
                <w:spacing w:val="-4"/>
              </w:rPr>
              <w:t>据规划，原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107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4"/>
              </w:rPr>
              <w:t>区划单元目前已经</w:t>
            </w:r>
          </w:p>
          <w:p w14:paraId="52648EE2">
            <w:pPr>
              <w:pStyle w:val="6"/>
              <w:spacing w:before="26" w:line="220" w:lineRule="auto"/>
              <w:ind w:left="44"/>
            </w:pPr>
            <w:r>
              <w:rPr>
                <w:spacing w:val="-1"/>
              </w:rPr>
              <w:t>规划为住宅和商业混合区；根据规</w:t>
            </w:r>
          </w:p>
          <w:p w14:paraId="4F5B5415">
            <w:pPr>
              <w:pStyle w:val="6"/>
              <w:spacing w:before="25" w:line="221" w:lineRule="auto"/>
              <w:jc w:val="right"/>
            </w:pPr>
            <w:r>
              <w:rPr>
                <w:spacing w:val="-13"/>
              </w:rPr>
              <w:t>划，原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212</w:t>
            </w:r>
            <w:r>
              <w:rPr>
                <w:rFonts w:ascii="Times New Roman" w:hAnsi="Times New Roman" w:eastAsia="Times New Roman" w:cs="Times New Roman"/>
                <w:spacing w:val="25"/>
              </w:rPr>
              <w:t xml:space="preserve"> </w:t>
            </w:r>
            <w:r>
              <w:rPr>
                <w:spacing w:val="-13"/>
              </w:rPr>
              <w:t>区划单元为工业、住宅、</w:t>
            </w:r>
          </w:p>
          <w:p w14:paraId="356BA60B">
            <w:pPr>
              <w:pStyle w:val="6"/>
              <w:spacing w:before="25" w:line="220" w:lineRule="auto"/>
              <w:ind w:left="48"/>
            </w:pPr>
            <w:r>
              <w:rPr>
                <w:spacing w:val="-1"/>
              </w:rPr>
              <w:t>商业混合区，桃下线周边部分新增</w:t>
            </w:r>
          </w:p>
          <w:p w14:paraId="1BD86B75">
            <w:pPr>
              <w:pStyle w:val="6"/>
              <w:spacing w:before="26" w:line="207" w:lineRule="auto"/>
              <w:ind w:left="1362"/>
            </w:pPr>
            <w:r>
              <w:rPr>
                <w:spacing w:val="-3"/>
              </w:rPr>
              <w:t>住宅用地</w:t>
            </w:r>
          </w:p>
        </w:tc>
      </w:tr>
      <w:tr w14:paraId="56A35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59F5660A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5D600B11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11187E57">
            <w:pPr>
              <w:spacing w:before="78" w:line="188" w:lineRule="auto"/>
              <w:ind w:left="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398" w:type="dxa"/>
            <w:vAlign w:val="top"/>
          </w:tcPr>
          <w:p w14:paraId="77EC7F6F">
            <w:pPr>
              <w:spacing w:before="78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63850B7F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7AD39BF3">
            <w:pPr>
              <w:rPr>
                <w:rFonts w:ascii="Arial"/>
                <w:sz w:val="21"/>
              </w:rPr>
            </w:pPr>
          </w:p>
        </w:tc>
      </w:tr>
      <w:tr w14:paraId="5413A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704C2833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7263A4FF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25709756">
            <w:pPr>
              <w:rPr>
                <w:rFonts w:ascii="Arial"/>
                <w:sz w:val="21"/>
              </w:rPr>
            </w:pPr>
          </w:p>
        </w:tc>
        <w:tc>
          <w:tcPr>
            <w:tcW w:w="398" w:type="dxa"/>
            <w:vAlign w:val="top"/>
          </w:tcPr>
          <w:p w14:paraId="628D7913">
            <w:pPr>
              <w:spacing w:before="78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2C2A04C6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4D4862BB">
            <w:pPr>
              <w:rPr>
                <w:rFonts w:ascii="Arial"/>
                <w:sz w:val="21"/>
              </w:rPr>
            </w:pPr>
          </w:p>
        </w:tc>
      </w:tr>
      <w:tr w14:paraId="055E1B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4" w:hRule="atLeast"/>
        </w:trPr>
        <w:tc>
          <w:tcPr>
            <w:tcW w:w="271" w:type="dxa"/>
            <w:vMerge w:val="continue"/>
            <w:tcBorders>
              <w:top w:val="nil"/>
            </w:tcBorders>
            <w:vAlign w:val="top"/>
          </w:tcPr>
          <w:p w14:paraId="7D10C7DA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13C7E4C4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7440B0A7">
            <w:pPr>
              <w:rPr>
                <w:rFonts w:ascii="Arial"/>
                <w:sz w:val="21"/>
              </w:rPr>
            </w:pPr>
          </w:p>
        </w:tc>
        <w:tc>
          <w:tcPr>
            <w:tcW w:w="398" w:type="dxa"/>
            <w:vAlign w:val="top"/>
          </w:tcPr>
          <w:p w14:paraId="1CF1E750">
            <w:pPr>
              <w:spacing w:line="307" w:lineRule="auto"/>
              <w:rPr>
                <w:rFonts w:ascii="Arial"/>
                <w:sz w:val="21"/>
              </w:rPr>
            </w:pPr>
          </w:p>
          <w:p w14:paraId="4123852A">
            <w:pPr>
              <w:spacing w:line="307" w:lineRule="auto"/>
              <w:rPr>
                <w:rFonts w:ascii="Arial"/>
                <w:sz w:val="21"/>
              </w:rPr>
            </w:pPr>
          </w:p>
          <w:p w14:paraId="4DF7C681">
            <w:pPr>
              <w:spacing w:before="69" w:line="188" w:lineRule="auto"/>
              <w:ind w:left="4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3044" w:type="dxa"/>
            <w:vMerge w:val="continue"/>
            <w:tcBorders>
              <w:top w:val="nil"/>
            </w:tcBorders>
            <w:vAlign w:val="top"/>
          </w:tcPr>
          <w:p w14:paraId="7C3D2321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170D9ABC">
            <w:pPr>
              <w:rPr>
                <w:rFonts w:ascii="Arial"/>
                <w:sz w:val="21"/>
              </w:rPr>
            </w:pPr>
          </w:p>
        </w:tc>
      </w:tr>
      <w:tr w14:paraId="50FA5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71" w:type="dxa"/>
            <w:vMerge w:val="restart"/>
            <w:tcBorders>
              <w:bottom w:val="nil"/>
            </w:tcBorders>
            <w:vAlign w:val="top"/>
          </w:tcPr>
          <w:p w14:paraId="50D25230">
            <w:pPr>
              <w:spacing w:line="242" w:lineRule="auto"/>
              <w:rPr>
                <w:rFonts w:ascii="Arial"/>
                <w:sz w:val="21"/>
              </w:rPr>
            </w:pPr>
          </w:p>
          <w:p w14:paraId="52F088E1">
            <w:pPr>
              <w:spacing w:line="242" w:lineRule="auto"/>
              <w:rPr>
                <w:rFonts w:ascii="Arial"/>
                <w:sz w:val="21"/>
              </w:rPr>
            </w:pPr>
          </w:p>
          <w:p w14:paraId="40130F6D">
            <w:pPr>
              <w:spacing w:line="242" w:lineRule="auto"/>
              <w:rPr>
                <w:rFonts w:ascii="Arial"/>
                <w:sz w:val="21"/>
              </w:rPr>
            </w:pPr>
          </w:p>
          <w:p w14:paraId="747690AE">
            <w:pPr>
              <w:spacing w:line="242" w:lineRule="auto"/>
              <w:rPr>
                <w:rFonts w:ascii="Arial"/>
                <w:sz w:val="21"/>
              </w:rPr>
            </w:pPr>
          </w:p>
          <w:p w14:paraId="698AE6C2">
            <w:pPr>
              <w:spacing w:line="242" w:lineRule="auto"/>
              <w:rPr>
                <w:rFonts w:ascii="Arial"/>
                <w:sz w:val="21"/>
              </w:rPr>
            </w:pPr>
          </w:p>
          <w:p w14:paraId="6AFFEFEE">
            <w:pPr>
              <w:spacing w:line="242" w:lineRule="auto"/>
              <w:rPr>
                <w:rFonts w:ascii="Arial"/>
                <w:sz w:val="21"/>
              </w:rPr>
            </w:pPr>
          </w:p>
          <w:p w14:paraId="52FEA830">
            <w:pPr>
              <w:spacing w:line="243" w:lineRule="auto"/>
              <w:rPr>
                <w:rFonts w:ascii="Arial"/>
                <w:sz w:val="21"/>
              </w:rPr>
            </w:pPr>
          </w:p>
          <w:p w14:paraId="2E17B266">
            <w:pPr>
              <w:spacing w:line="243" w:lineRule="auto"/>
              <w:rPr>
                <w:rFonts w:ascii="Arial"/>
                <w:sz w:val="21"/>
              </w:rPr>
            </w:pPr>
          </w:p>
          <w:p w14:paraId="7DC49216">
            <w:pPr>
              <w:spacing w:line="243" w:lineRule="auto"/>
              <w:rPr>
                <w:rFonts w:ascii="Arial"/>
                <w:sz w:val="21"/>
              </w:rPr>
            </w:pPr>
          </w:p>
          <w:p w14:paraId="5B414C69">
            <w:pPr>
              <w:pStyle w:val="6"/>
              <w:spacing w:before="69" w:line="250" w:lineRule="auto"/>
              <w:ind w:left="22" w:right="12" w:firstLine="84"/>
            </w:pPr>
            <w:r>
              <w:rPr>
                <w:rFonts w:ascii="Times New Roman" w:hAnsi="Times New Roman" w:eastAsia="Times New Roman" w:cs="Times New Roman"/>
                <w:spacing w:val="-6"/>
              </w:rPr>
              <w:t>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6D080679">
            <w:pPr>
              <w:rPr>
                <w:rFonts w:ascii="Arial"/>
                <w:sz w:val="21"/>
              </w:rPr>
            </w:pPr>
          </w:p>
          <w:p w14:paraId="6C8AFB7E">
            <w:pPr>
              <w:rPr>
                <w:rFonts w:ascii="Arial"/>
                <w:sz w:val="21"/>
              </w:rPr>
            </w:pPr>
          </w:p>
          <w:p w14:paraId="322F1805">
            <w:pPr>
              <w:rPr>
                <w:rFonts w:ascii="Arial"/>
                <w:sz w:val="21"/>
              </w:rPr>
            </w:pPr>
          </w:p>
          <w:p w14:paraId="69D9729A">
            <w:pPr>
              <w:rPr>
                <w:rFonts w:ascii="Arial"/>
                <w:sz w:val="21"/>
              </w:rPr>
            </w:pPr>
          </w:p>
          <w:p w14:paraId="76FE3785">
            <w:pPr>
              <w:rPr>
                <w:rFonts w:ascii="Arial"/>
                <w:sz w:val="21"/>
              </w:rPr>
            </w:pPr>
          </w:p>
          <w:p w14:paraId="3BAA2410">
            <w:pPr>
              <w:pStyle w:val="6"/>
              <w:spacing w:before="78" w:line="221" w:lineRule="auto"/>
              <w:ind w:left="128"/>
            </w:pPr>
            <w:r>
              <w:rPr>
                <w:spacing w:val="-5"/>
              </w:rPr>
              <w:t>商业金</w:t>
            </w:r>
          </w:p>
          <w:p w14:paraId="77630780">
            <w:pPr>
              <w:pStyle w:val="6"/>
              <w:spacing w:before="25" w:line="220" w:lineRule="auto"/>
              <w:ind w:left="16"/>
            </w:pPr>
            <w:r>
              <w:rPr>
                <w:spacing w:val="-7"/>
              </w:rPr>
              <w:t>融、集市</w:t>
            </w:r>
          </w:p>
          <w:p w14:paraId="021C5833">
            <w:pPr>
              <w:pStyle w:val="6"/>
              <w:spacing w:before="25" w:line="221" w:lineRule="auto"/>
              <w:ind w:left="133"/>
            </w:pPr>
            <w:r>
              <w:rPr>
                <w:spacing w:val="-7"/>
              </w:rPr>
              <w:t>贸易为</w:t>
            </w:r>
          </w:p>
          <w:p w14:paraId="6919C8F4">
            <w:pPr>
              <w:pStyle w:val="6"/>
              <w:spacing w:before="24" w:line="221" w:lineRule="auto"/>
              <w:ind w:left="13"/>
            </w:pPr>
            <w:r>
              <w:rPr>
                <w:spacing w:val="-6"/>
              </w:rPr>
              <w:t>主，或居</w:t>
            </w:r>
          </w:p>
          <w:p w14:paraId="25672B32">
            <w:pPr>
              <w:pStyle w:val="6"/>
              <w:spacing w:before="24" w:line="221" w:lineRule="auto"/>
              <w:ind w:left="122"/>
            </w:pPr>
            <w:r>
              <w:rPr>
                <w:spacing w:val="1"/>
              </w:rPr>
              <w:t>住、商</w:t>
            </w:r>
          </w:p>
          <w:p w14:paraId="2C081410">
            <w:pPr>
              <w:pStyle w:val="6"/>
              <w:spacing w:before="25" w:line="232" w:lineRule="auto"/>
              <w:ind w:left="10"/>
            </w:pPr>
            <w:r>
              <w:rPr>
                <w:spacing w:val="-6"/>
              </w:rPr>
              <w:t>业、工业</w:t>
            </w:r>
          </w:p>
          <w:p w14:paraId="5CBD3FBC">
            <w:pPr>
              <w:pStyle w:val="6"/>
              <w:spacing w:before="10" w:line="220" w:lineRule="auto"/>
              <w:ind w:left="126"/>
            </w:pPr>
            <w:r>
              <w:rPr>
                <w:spacing w:val="-5"/>
              </w:rPr>
              <w:t>混杂区</w:t>
            </w:r>
          </w:p>
          <w:p w14:paraId="3992A019">
            <w:pPr>
              <w:pStyle w:val="6"/>
              <w:spacing w:before="26" w:line="221" w:lineRule="auto"/>
              <w:ind w:left="364"/>
            </w:pPr>
            <w:r>
              <w:t>域</w:t>
            </w:r>
          </w:p>
        </w:tc>
        <w:tc>
          <w:tcPr>
            <w:tcW w:w="508" w:type="dxa"/>
            <w:vAlign w:val="top"/>
          </w:tcPr>
          <w:p w14:paraId="3CDDB5E3">
            <w:pPr>
              <w:spacing w:before="125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398" w:type="dxa"/>
            <w:vAlign w:val="top"/>
          </w:tcPr>
          <w:p w14:paraId="5A38F4C8">
            <w:pPr>
              <w:spacing w:before="125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3044" w:type="dxa"/>
            <w:vMerge w:val="restart"/>
            <w:tcBorders>
              <w:bottom w:val="nil"/>
            </w:tcBorders>
            <w:vAlign w:val="top"/>
          </w:tcPr>
          <w:p w14:paraId="6EC5A066">
            <w:pPr>
              <w:pStyle w:val="6"/>
              <w:spacing w:before="37" w:line="221" w:lineRule="auto"/>
              <w:ind w:right="1"/>
              <w:jc w:val="right"/>
            </w:pPr>
            <w:r>
              <w:rPr>
                <w:spacing w:val="1"/>
              </w:rPr>
              <w:t>原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203 </w:t>
            </w:r>
            <w:r>
              <w:rPr>
                <w:spacing w:val="1"/>
              </w:rPr>
              <w:t>和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205 </w:t>
            </w:r>
            <w:r>
              <w:rPr>
                <w:spacing w:val="1"/>
              </w:rPr>
              <w:t>区划单元以及中</w:t>
            </w:r>
          </w:p>
          <w:p w14:paraId="65F2C0B1">
            <w:pPr>
              <w:pStyle w:val="6"/>
              <w:spacing w:before="25" w:line="220" w:lineRule="auto"/>
              <w:ind w:left="108"/>
            </w:pPr>
            <w:r>
              <w:rPr>
                <w:spacing w:val="-5"/>
              </w:rPr>
              <w:t>间部分合并为新的</w:t>
            </w: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203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5"/>
              </w:rPr>
              <w:t>区划</w:t>
            </w:r>
          </w:p>
          <w:p w14:paraId="12A25791">
            <w:pPr>
              <w:pStyle w:val="6"/>
              <w:spacing w:before="25" w:line="221" w:lineRule="auto"/>
              <w:jc w:val="right"/>
            </w:pPr>
            <w:r>
              <w:rPr>
                <w:spacing w:val="-6"/>
              </w:rPr>
              <w:t>单元；原</w:t>
            </w: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204 </w:t>
            </w:r>
            <w:r>
              <w:rPr>
                <w:spacing w:val="-6"/>
              </w:rPr>
              <w:t>和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102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-6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201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6"/>
              </w:rPr>
              <w:t>区</w:t>
            </w:r>
          </w:p>
          <w:p w14:paraId="4BB6ED3E">
            <w:pPr>
              <w:pStyle w:val="6"/>
              <w:spacing w:before="25" w:line="220" w:lineRule="auto"/>
              <w:ind w:left="89"/>
            </w:pPr>
            <w:r>
              <w:rPr>
                <w:spacing w:val="-4"/>
              </w:rPr>
              <w:t>划单元合并成新的</w:t>
            </w:r>
            <w:r>
              <w:rPr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201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4"/>
              </w:rPr>
              <w:t>区划</w:t>
            </w:r>
          </w:p>
          <w:p w14:paraId="1988546C">
            <w:pPr>
              <w:pStyle w:val="6"/>
              <w:spacing w:before="25" w:line="220" w:lineRule="auto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spacing w:val="-7"/>
              </w:rPr>
              <w:t>单元；原</w:t>
            </w:r>
            <w:r>
              <w:rPr>
                <w:spacing w:val="-5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208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7"/>
              </w:rPr>
              <w:t>区划单元改成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1</w:t>
            </w:r>
          </w:p>
          <w:p w14:paraId="30189F44">
            <w:pPr>
              <w:pStyle w:val="6"/>
              <w:spacing w:before="26" w:line="220" w:lineRule="auto"/>
              <w:jc w:val="right"/>
            </w:pPr>
            <w:r>
              <w:rPr>
                <w:spacing w:val="-9"/>
              </w:rPr>
              <w:t>类区划单元；原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206 </w:t>
            </w:r>
            <w:r>
              <w:rPr>
                <w:spacing w:val="-9"/>
              </w:rPr>
              <w:t>和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207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9"/>
              </w:rPr>
              <w:t>区</w:t>
            </w:r>
          </w:p>
          <w:p w14:paraId="2023DD40">
            <w:pPr>
              <w:pStyle w:val="6"/>
              <w:spacing w:before="26" w:line="221" w:lineRule="auto"/>
              <w:ind w:left="89"/>
            </w:pPr>
            <w:r>
              <w:rPr>
                <w:spacing w:val="-4"/>
              </w:rPr>
              <w:t>划单元以及原</w:t>
            </w:r>
            <w:r>
              <w:rPr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301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4"/>
              </w:rPr>
              <w:t>区划单元</w:t>
            </w:r>
          </w:p>
          <w:p w14:paraId="67F8C979">
            <w:pPr>
              <w:pStyle w:val="6"/>
              <w:spacing w:before="25" w:line="220" w:lineRule="auto"/>
              <w:jc w:val="right"/>
            </w:pPr>
            <w:r>
              <w:rPr>
                <w:spacing w:val="-10"/>
              </w:rPr>
              <w:t>合并为新的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206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10"/>
              </w:rPr>
              <w:t>区划单元；原</w:t>
            </w:r>
          </w:p>
          <w:p w14:paraId="2EC4117F">
            <w:pPr>
              <w:pStyle w:val="6"/>
              <w:spacing w:before="26" w:line="220" w:lineRule="auto"/>
              <w:ind w:left="6"/>
            </w:pPr>
            <w:r>
              <w:rPr>
                <w:rFonts w:ascii="Times New Roman" w:hAnsi="Times New Roman" w:eastAsia="Times New Roman" w:cs="Times New Roman"/>
                <w:spacing w:val="-5"/>
              </w:rPr>
              <w:t>212</w:t>
            </w:r>
            <w:r>
              <w:rPr>
                <w:rFonts w:ascii="Times New Roman" w:hAnsi="Times New Roman" w:eastAsia="Times New Roman" w:cs="Times New Roman"/>
                <w:spacing w:val="29"/>
              </w:rPr>
              <w:t xml:space="preserve"> </w:t>
            </w:r>
            <w:r>
              <w:rPr>
                <w:spacing w:val="-5"/>
              </w:rPr>
              <w:t>区划单元改成</w:t>
            </w:r>
            <w:r>
              <w:rPr>
                <w:spacing w:val="-6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206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spacing w:val="-5"/>
              </w:rPr>
              <w:t>区划单</w:t>
            </w:r>
          </w:p>
          <w:p w14:paraId="77723B45">
            <w:pPr>
              <w:pStyle w:val="6"/>
              <w:spacing w:before="26" w:line="220" w:lineRule="auto"/>
              <w:ind w:right="1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spacing w:val="-5"/>
              </w:rPr>
              <w:t>元；原</w:t>
            </w:r>
            <w:r>
              <w:rPr>
                <w:spacing w:val="-5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210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5"/>
              </w:rPr>
              <w:t>区划单元改成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208</w:t>
            </w:r>
          </w:p>
          <w:p w14:paraId="475BC6FB">
            <w:pPr>
              <w:pStyle w:val="6"/>
              <w:spacing w:before="25" w:line="221" w:lineRule="auto"/>
              <w:ind w:right="1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spacing w:val="-13"/>
              </w:rPr>
              <w:t>区划单元、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302</w:t>
            </w:r>
            <w:r>
              <w:rPr>
                <w:rFonts w:ascii="Times New Roman" w:hAnsi="Times New Roman" w:eastAsia="Times New Roman" w:cs="Times New Roman"/>
                <w:spacing w:val="35"/>
                <w:w w:val="101"/>
              </w:rPr>
              <w:t xml:space="preserve"> </w:t>
            </w:r>
            <w:r>
              <w:rPr>
                <w:spacing w:val="-13"/>
              </w:rPr>
              <w:t>区划单元、</w:t>
            </w:r>
            <w:r>
              <w:rPr>
                <w:rFonts w:ascii="Times New Roman" w:hAnsi="Times New Roman" w:eastAsia="Times New Roman" w:cs="Times New Roman"/>
                <w:spacing w:val="-13"/>
              </w:rPr>
              <w:t>107</w:t>
            </w:r>
          </w:p>
          <w:p w14:paraId="62D46CF5">
            <w:pPr>
              <w:pStyle w:val="6"/>
              <w:spacing w:before="25" w:line="221" w:lineRule="auto"/>
              <w:ind w:right="1"/>
              <w:jc w:val="right"/>
            </w:pPr>
            <w:r>
              <w:rPr>
                <w:spacing w:val="-11"/>
              </w:rPr>
              <w:t>区划单元；原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>303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11"/>
              </w:rPr>
              <w:t>区划单元的</w:t>
            </w:r>
          </w:p>
          <w:p w14:paraId="0776342C">
            <w:pPr>
              <w:pStyle w:val="6"/>
              <w:spacing w:before="25" w:line="220" w:lineRule="auto"/>
              <w:ind w:left="98"/>
            </w:pPr>
            <w:r>
              <w:rPr>
                <w:spacing w:val="-3"/>
              </w:rPr>
              <w:t>东侧新增</w:t>
            </w: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204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3"/>
              </w:rPr>
              <w:t>区划单元；原</w:t>
            </w:r>
          </w:p>
          <w:p w14:paraId="7C1CA6A0">
            <w:pPr>
              <w:pStyle w:val="6"/>
              <w:spacing w:before="26" w:line="220" w:lineRule="auto"/>
              <w:ind w:left="6"/>
            </w:pPr>
            <w:r>
              <w:rPr>
                <w:rFonts w:ascii="Times New Roman" w:hAnsi="Times New Roman" w:eastAsia="Times New Roman" w:cs="Times New Roman"/>
                <w:spacing w:val="-5"/>
              </w:rPr>
              <w:t>211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-5"/>
              </w:rPr>
              <w:t>区划单元改成</w:t>
            </w:r>
            <w:r>
              <w:rPr>
                <w:spacing w:val="-6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207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</w:rPr>
              <w:t xml:space="preserve"> </w:t>
            </w:r>
            <w:r>
              <w:rPr>
                <w:spacing w:val="-5"/>
              </w:rPr>
              <w:t>区划单</w:t>
            </w:r>
          </w:p>
          <w:p w14:paraId="216B06CD">
            <w:pPr>
              <w:pStyle w:val="6"/>
              <w:spacing w:before="26" w:line="221" w:lineRule="auto"/>
              <w:ind w:left="68"/>
              <w:rPr>
                <w:rFonts w:ascii="Times New Roman" w:hAnsi="Times New Roman" w:eastAsia="Times New Roman" w:cs="Times New Roman"/>
              </w:rPr>
            </w:pPr>
            <w:r>
              <w:rPr>
                <w:spacing w:val="-4"/>
              </w:rPr>
              <w:t>元；原</w:t>
            </w:r>
            <w:r>
              <w:rPr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204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4"/>
              </w:rPr>
              <w:t>区划单元和</w:t>
            </w:r>
            <w:r>
              <w:rPr>
                <w:spacing w:val="-5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4a02</w:t>
            </w:r>
          </w:p>
          <w:p w14:paraId="232A9D0A">
            <w:pPr>
              <w:pStyle w:val="6"/>
              <w:spacing w:before="25" w:line="205" w:lineRule="auto"/>
              <w:ind w:left="212"/>
            </w:pPr>
            <w:r>
              <w:rPr>
                <w:spacing w:val="-4"/>
              </w:rPr>
              <w:t>单元合并至</w:t>
            </w: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202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4"/>
              </w:rPr>
              <w:t>区划单元</w:t>
            </w:r>
          </w:p>
        </w:tc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6C2AFF73">
            <w:pPr>
              <w:spacing w:line="260" w:lineRule="auto"/>
              <w:rPr>
                <w:rFonts w:ascii="Arial"/>
                <w:sz w:val="21"/>
              </w:rPr>
            </w:pPr>
          </w:p>
          <w:p w14:paraId="1DBC721E">
            <w:pPr>
              <w:spacing w:line="260" w:lineRule="auto"/>
              <w:rPr>
                <w:rFonts w:ascii="Arial"/>
                <w:sz w:val="21"/>
              </w:rPr>
            </w:pPr>
          </w:p>
          <w:p w14:paraId="2CAD07EE">
            <w:pPr>
              <w:spacing w:line="260" w:lineRule="auto"/>
              <w:rPr>
                <w:rFonts w:ascii="Arial"/>
                <w:sz w:val="21"/>
              </w:rPr>
            </w:pPr>
          </w:p>
          <w:p w14:paraId="31948FF9">
            <w:pPr>
              <w:spacing w:line="260" w:lineRule="auto"/>
              <w:rPr>
                <w:rFonts w:ascii="Arial"/>
                <w:sz w:val="21"/>
              </w:rPr>
            </w:pPr>
          </w:p>
          <w:p w14:paraId="17510E41">
            <w:pPr>
              <w:pStyle w:val="6"/>
              <w:spacing w:before="78" w:line="238" w:lineRule="auto"/>
              <w:ind w:left="24" w:right="4" w:firstLine="139"/>
            </w:pPr>
            <w:r>
              <w:rPr>
                <w:spacing w:val="-1"/>
              </w:rPr>
              <w:t>根据《开化县国土空间总体规划</w:t>
            </w:r>
            <w:r>
              <w:rPr>
                <w:spacing w:val="1"/>
              </w:rPr>
              <w:t xml:space="preserve">  </w:t>
            </w:r>
            <w:r>
              <w:rPr>
                <w:spacing w:val="-7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7"/>
              </w:rPr>
              <w:t xml:space="preserve">2021-2035 </w:t>
            </w:r>
            <w:r>
              <w:rPr>
                <w:spacing w:val="-7"/>
              </w:rPr>
              <w:t>年）》：原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102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7"/>
              </w:rPr>
              <w:t>区划单</w:t>
            </w:r>
            <w:r>
              <w:t xml:space="preserve"> </w:t>
            </w:r>
            <w:r>
              <w:rPr>
                <w:spacing w:val="-3"/>
              </w:rPr>
              <w:t>元和部分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101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3"/>
              </w:rPr>
              <w:t>区划单元规划为商业</w:t>
            </w:r>
            <w:r>
              <w:t xml:space="preserve"> </w:t>
            </w:r>
            <w:r>
              <w:rPr>
                <w:spacing w:val="-2"/>
              </w:rPr>
              <w:t>服务用地；原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301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2"/>
              </w:rPr>
              <w:t>区划单元主要用</w:t>
            </w:r>
            <w:r>
              <w:t xml:space="preserve"> 于商业服务用地，与北侧地块合并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为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206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4"/>
              </w:rPr>
              <w:t>区划单元；原</w:t>
            </w:r>
            <w:r>
              <w:rPr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303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4"/>
              </w:rPr>
              <w:t>区划单元</w:t>
            </w:r>
            <w:r>
              <w:t xml:space="preserve"> 东侧部分为商业服务用地，结合现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场踏勘，原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303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2"/>
              </w:rPr>
              <w:t>区划单元东侧目前</w:t>
            </w:r>
          </w:p>
          <w:p w14:paraId="365E0D75">
            <w:pPr>
              <w:pStyle w:val="6"/>
              <w:spacing w:before="26" w:line="220" w:lineRule="auto"/>
              <w:ind w:left="166"/>
            </w:pPr>
            <w:r>
              <w:rPr>
                <w:spacing w:val="-1"/>
              </w:rPr>
              <w:t>为居住、商业、工业混杂地块；</w:t>
            </w:r>
          </w:p>
        </w:tc>
      </w:tr>
      <w:tr w14:paraId="2099BB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2961F840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0083CB64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5EE8718D">
            <w:pPr>
              <w:spacing w:before="125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398" w:type="dxa"/>
            <w:vAlign w:val="top"/>
          </w:tcPr>
          <w:p w14:paraId="735ABC23">
            <w:pPr>
              <w:spacing w:before="125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0CB179F3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7AA071D3">
            <w:pPr>
              <w:rPr>
                <w:rFonts w:ascii="Arial"/>
                <w:sz w:val="21"/>
              </w:rPr>
            </w:pPr>
          </w:p>
        </w:tc>
      </w:tr>
      <w:tr w14:paraId="24F5A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0C47460E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69C5611D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5AE2CF8C">
            <w:pPr>
              <w:spacing w:before="124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398" w:type="dxa"/>
            <w:vAlign w:val="top"/>
          </w:tcPr>
          <w:p w14:paraId="5C5FDE77">
            <w:pPr>
              <w:spacing w:before="124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083602F9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007A3F2D">
            <w:pPr>
              <w:rPr>
                <w:rFonts w:ascii="Arial"/>
                <w:sz w:val="21"/>
              </w:rPr>
            </w:pPr>
          </w:p>
        </w:tc>
      </w:tr>
      <w:tr w14:paraId="02AAE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0513E00B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407C7A1E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36E48A4A">
            <w:pPr>
              <w:spacing w:before="124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398" w:type="dxa"/>
            <w:vAlign w:val="top"/>
          </w:tcPr>
          <w:p w14:paraId="0A289081">
            <w:pPr>
              <w:spacing w:before="124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0BF8AD25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3BCE4888">
            <w:pPr>
              <w:rPr>
                <w:rFonts w:ascii="Arial"/>
                <w:sz w:val="21"/>
              </w:rPr>
            </w:pPr>
          </w:p>
        </w:tc>
      </w:tr>
      <w:tr w14:paraId="0D350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165F44DD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377A6EBA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13536BD0">
            <w:pPr>
              <w:spacing w:before="124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398" w:type="dxa"/>
            <w:vAlign w:val="top"/>
          </w:tcPr>
          <w:p w14:paraId="4013A1BF">
            <w:pPr>
              <w:spacing w:before="124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78C18D07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606A58F6">
            <w:pPr>
              <w:rPr>
                <w:rFonts w:ascii="Arial"/>
                <w:sz w:val="21"/>
              </w:rPr>
            </w:pPr>
          </w:p>
        </w:tc>
      </w:tr>
      <w:tr w14:paraId="4F3D1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6A57D503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3EE93621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52C745F2">
            <w:pPr>
              <w:spacing w:before="125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398" w:type="dxa"/>
            <w:vAlign w:val="top"/>
          </w:tcPr>
          <w:p w14:paraId="24BE96B8">
            <w:pPr>
              <w:spacing w:before="125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32BC9B00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6743FF3D">
            <w:pPr>
              <w:rPr>
                <w:rFonts w:ascii="Arial"/>
                <w:sz w:val="21"/>
              </w:rPr>
            </w:pPr>
          </w:p>
        </w:tc>
      </w:tr>
      <w:tr w14:paraId="685CF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244CAF55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7350C7A6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52F1583C">
            <w:pPr>
              <w:spacing w:before="79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398" w:type="dxa"/>
            <w:vAlign w:val="top"/>
          </w:tcPr>
          <w:p w14:paraId="2F9B40B4">
            <w:pPr>
              <w:spacing w:before="79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4B16EF36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24777F5C">
            <w:pPr>
              <w:rPr>
                <w:rFonts w:ascii="Arial"/>
                <w:sz w:val="21"/>
              </w:rPr>
            </w:pPr>
          </w:p>
        </w:tc>
      </w:tr>
      <w:tr w14:paraId="217CF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39768C20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0A57F7FA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28958F7B">
            <w:pPr>
              <w:spacing w:before="81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398" w:type="dxa"/>
            <w:vAlign w:val="top"/>
          </w:tcPr>
          <w:p w14:paraId="686E23EB">
            <w:pPr>
              <w:spacing w:before="81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1B8D2603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06035E67">
            <w:pPr>
              <w:rPr>
                <w:rFonts w:ascii="Arial"/>
                <w:sz w:val="21"/>
              </w:rPr>
            </w:pPr>
          </w:p>
        </w:tc>
      </w:tr>
      <w:tr w14:paraId="09772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2FA0DAF2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3AA890E4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03874A14">
            <w:pPr>
              <w:spacing w:before="81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398" w:type="dxa"/>
            <w:vAlign w:val="top"/>
          </w:tcPr>
          <w:p w14:paraId="24C5A349">
            <w:pPr>
              <w:spacing w:before="81" w:line="188" w:lineRule="auto"/>
              <w:ind w:left="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091421E4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33426365">
            <w:pPr>
              <w:rPr>
                <w:rFonts w:ascii="Arial"/>
                <w:sz w:val="21"/>
              </w:rPr>
            </w:pPr>
          </w:p>
        </w:tc>
      </w:tr>
      <w:tr w14:paraId="64399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54314BD6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3C9E5FB2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33C815D6">
            <w:pPr>
              <w:spacing w:before="80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398" w:type="dxa"/>
            <w:vAlign w:val="top"/>
          </w:tcPr>
          <w:p w14:paraId="441A3FE3">
            <w:pPr>
              <w:rPr>
                <w:rFonts w:ascii="Arial"/>
                <w:sz w:val="21"/>
              </w:rPr>
            </w:pP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676944E8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224A11C8">
            <w:pPr>
              <w:rPr>
                <w:rFonts w:ascii="Arial"/>
                <w:sz w:val="21"/>
              </w:rPr>
            </w:pPr>
          </w:p>
        </w:tc>
      </w:tr>
      <w:tr w14:paraId="32771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794557A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16836F58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4135D8D4">
            <w:pPr>
              <w:spacing w:before="80" w:line="188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398" w:type="dxa"/>
            <w:vAlign w:val="top"/>
          </w:tcPr>
          <w:p w14:paraId="64A871AE">
            <w:pPr>
              <w:rPr>
                <w:rFonts w:ascii="Arial"/>
                <w:sz w:val="21"/>
              </w:rPr>
            </w:pP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5ED54EB3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10B53BF0">
            <w:pPr>
              <w:rPr>
                <w:rFonts w:ascii="Arial"/>
                <w:sz w:val="21"/>
              </w:rPr>
            </w:pPr>
          </w:p>
        </w:tc>
      </w:tr>
      <w:tr w14:paraId="4BDEB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271" w:type="dxa"/>
            <w:vMerge w:val="continue"/>
            <w:tcBorders>
              <w:top w:val="nil"/>
            </w:tcBorders>
            <w:vAlign w:val="top"/>
          </w:tcPr>
          <w:p w14:paraId="385E16F9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601E015B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7235459F">
            <w:pPr>
              <w:spacing w:line="306" w:lineRule="auto"/>
              <w:rPr>
                <w:rFonts w:ascii="Arial"/>
                <w:sz w:val="21"/>
              </w:rPr>
            </w:pPr>
          </w:p>
          <w:p w14:paraId="2F1CC4F7">
            <w:pPr>
              <w:spacing w:before="69" w:line="188" w:lineRule="auto"/>
              <w:ind w:left="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398" w:type="dxa"/>
            <w:vAlign w:val="top"/>
          </w:tcPr>
          <w:p w14:paraId="1E030881">
            <w:pPr>
              <w:rPr>
                <w:rFonts w:ascii="Arial"/>
                <w:sz w:val="21"/>
              </w:rPr>
            </w:pPr>
          </w:p>
        </w:tc>
        <w:tc>
          <w:tcPr>
            <w:tcW w:w="3044" w:type="dxa"/>
            <w:vMerge w:val="continue"/>
            <w:tcBorders>
              <w:top w:val="nil"/>
            </w:tcBorders>
            <w:vAlign w:val="top"/>
          </w:tcPr>
          <w:p w14:paraId="0669CE3C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3E161BC0">
            <w:pPr>
              <w:rPr>
                <w:rFonts w:ascii="Arial"/>
                <w:sz w:val="21"/>
              </w:rPr>
            </w:pPr>
          </w:p>
        </w:tc>
      </w:tr>
      <w:tr w14:paraId="2ABFB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restart"/>
            <w:tcBorders>
              <w:bottom w:val="nil"/>
            </w:tcBorders>
            <w:vAlign w:val="top"/>
          </w:tcPr>
          <w:p w14:paraId="7BD0E32C">
            <w:pPr>
              <w:spacing w:line="274" w:lineRule="auto"/>
              <w:rPr>
                <w:rFonts w:ascii="Arial"/>
                <w:sz w:val="21"/>
              </w:rPr>
            </w:pPr>
          </w:p>
          <w:p w14:paraId="3D182C99">
            <w:pPr>
              <w:spacing w:line="274" w:lineRule="auto"/>
              <w:rPr>
                <w:rFonts w:ascii="Arial"/>
                <w:sz w:val="21"/>
              </w:rPr>
            </w:pPr>
          </w:p>
          <w:p w14:paraId="04739DBB">
            <w:pPr>
              <w:spacing w:line="274" w:lineRule="auto"/>
              <w:rPr>
                <w:rFonts w:ascii="Arial"/>
                <w:sz w:val="21"/>
              </w:rPr>
            </w:pPr>
          </w:p>
          <w:p w14:paraId="14618F40">
            <w:pPr>
              <w:spacing w:line="275" w:lineRule="auto"/>
              <w:rPr>
                <w:rFonts w:ascii="Arial"/>
                <w:sz w:val="21"/>
              </w:rPr>
            </w:pPr>
          </w:p>
          <w:p w14:paraId="14F38D7A">
            <w:pPr>
              <w:pStyle w:val="6"/>
              <w:spacing w:before="69" w:line="248" w:lineRule="auto"/>
              <w:ind w:left="22" w:right="12" w:firstLine="89"/>
            </w:pPr>
            <w:r>
              <w:rPr>
                <w:rFonts w:ascii="Times New Roman" w:hAnsi="Times New Roman" w:eastAsia="Times New Roman" w:cs="Times New Roman"/>
                <w:spacing w:val="-10"/>
              </w:rPr>
              <w:t>3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697F4C95">
            <w:pPr>
              <w:spacing w:line="246" w:lineRule="auto"/>
              <w:rPr>
                <w:rFonts w:ascii="Arial"/>
                <w:sz w:val="21"/>
              </w:rPr>
            </w:pPr>
          </w:p>
          <w:p w14:paraId="637B5251">
            <w:pPr>
              <w:spacing w:line="246" w:lineRule="auto"/>
              <w:rPr>
                <w:rFonts w:ascii="Arial"/>
                <w:sz w:val="21"/>
              </w:rPr>
            </w:pPr>
          </w:p>
          <w:p w14:paraId="6DD59451">
            <w:pPr>
              <w:spacing w:line="246" w:lineRule="auto"/>
              <w:rPr>
                <w:rFonts w:ascii="Arial"/>
                <w:sz w:val="21"/>
              </w:rPr>
            </w:pPr>
          </w:p>
          <w:p w14:paraId="00054D83">
            <w:pPr>
              <w:pStyle w:val="6"/>
              <w:spacing w:before="78" w:line="235" w:lineRule="auto"/>
              <w:ind w:left="11" w:right="4" w:firstLine="115"/>
              <w:jc w:val="both"/>
            </w:pPr>
            <w:r>
              <w:rPr>
                <w:spacing w:val="-5"/>
              </w:rPr>
              <w:t>工业生</w:t>
            </w:r>
            <w:r>
              <w:t xml:space="preserve">  </w:t>
            </w:r>
            <w:r>
              <w:rPr>
                <w:spacing w:val="-6"/>
              </w:rPr>
              <w:t>产、仓储</w:t>
            </w:r>
            <w:r>
              <w:rPr>
                <w:spacing w:val="1"/>
              </w:rPr>
              <w:t xml:space="preserve"> </w:t>
            </w:r>
            <w:r>
              <w:rPr>
                <w:spacing w:val="34"/>
              </w:rPr>
              <w:t>物流为</w:t>
            </w:r>
            <w:r>
              <w:t xml:space="preserve">  </w:t>
            </w:r>
            <w:r>
              <w:rPr>
                <w:spacing w:val="34"/>
              </w:rPr>
              <w:t>主区域</w:t>
            </w:r>
          </w:p>
        </w:tc>
        <w:tc>
          <w:tcPr>
            <w:tcW w:w="508" w:type="dxa"/>
            <w:vAlign w:val="top"/>
          </w:tcPr>
          <w:p w14:paraId="1C79DD19">
            <w:pPr>
              <w:spacing w:before="81" w:line="188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398" w:type="dxa"/>
            <w:vAlign w:val="top"/>
          </w:tcPr>
          <w:p w14:paraId="3634B9A2">
            <w:pPr>
              <w:spacing w:before="81" w:line="188" w:lineRule="auto"/>
              <w:ind w:left="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3044" w:type="dxa"/>
            <w:vMerge w:val="restart"/>
            <w:tcBorders>
              <w:bottom w:val="nil"/>
            </w:tcBorders>
            <w:vAlign w:val="top"/>
          </w:tcPr>
          <w:p w14:paraId="5FA1E37F">
            <w:pPr>
              <w:pStyle w:val="6"/>
              <w:spacing w:before="39" w:line="221" w:lineRule="auto"/>
              <w:ind w:left="95"/>
            </w:pPr>
            <w:r>
              <w:rPr>
                <w:spacing w:val="-5"/>
              </w:rPr>
              <w:t>原</w:t>
            </w:r>
            <w:r>
              <w:rPr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</w:rPr>
              <w:t>301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5"/>
              </w:rPr>
              <w:t>区划单元目前已经变</w:t>
            </w:r>
          </w:p>
          <w:p w14:paraId="130D7BB3">
            <w:pPr>
              <w:pStyle w:val="6"/>
              <w:spacing w:before="25" w:line="220" w:lineRule="auto"/>
              <w:ind w:right="1"/>
              <w:jc w:val="right"/>
            </w:pPr>
            <w:r>
              <w:rPr>
                <w:spacing w:val="-10"/>
              </w:rPr>
              <w:t>更为</w:t>
            </w:r>
            <w:r>
              <w:rPr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 xml:space="preserve">2 </w:t>
            </w:r>
            <w:r>
              <w:rPr>
                <w:spacing w:val="-10"/>
              </w:rPr>
              <w:t>类功能区；原</w:t>
            </w:r>
            <w:r>
              <w:rPr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303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10"/>
              </w:rPr>
              <w:t>区划</w:t>
            </w:r>
          </w:p>
          <w:p w14:paraId="74C018B6">
            <w:pPr>
              <w:pStyle w:val="6"/>
              <w:spacing w:before="26" w:line="220" w:lineRule="auto"/>
              <w:ind w:left="92"/>
            </w:pPr>
            <w:r>
              <w:rPr>
                <w:spacing w:val="-1"/>
              </w:rPr>
              <w:t>单元西侧新增了一片工业用</w:t>
            </w:r>
          </w:p>
          <w:p w14:paraId="4D52150E">
            <w:pPr>
              <w:pStyle w:val="6"/>
              <w:spacing w:before="25" w:line="220" w:lineRule="auto"/>
              <w:ind w:right="1"/>
              <w:jc w:val="right"/>
            </w:pPr>
            <w:r>
              <w:rPr>
                <w:spacing w:val="-10"/>
              </w:rPr>
              <w:t>地；原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305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10"/>
              </w:rPr>
              <w:t>区划单元编号改成</w:t>
            </w:r>
          </w:p>
          <w:p w14:paraId="5BDC4978">
            <w:pPr>
              <w:pStyle w:val="6"/>
              <w:spacing w:before="26" w:line="220" w:lineRule="auto"/>
              <w:ind w:left="11"/>
            </w:pPr>
            <w:r>
              <w:rPr>
                <w:rFonts w:ascii="Times New Roman" w:hAnsi="Times New Roman" w:eastAsia="Times New Roman" w:cs="Times New Roman"/>
                <w:spacing w:val="-4"/>
              </w:rPr>
              <w:t>301</w:t>
            </w:r>
            <w:r>
              <w:rPr>
                <w:spacing w:val="-4"/>
              </w:rPr>
              <w:t>；原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33"/>
              </w:rPr>
              <w:t xml:space="preserve"> </w:t>
            </w:r>
            <w:r>
              <w:rPr>
                <w:spacing w:val="-4"/>
              </w:rPr>
              <w:t>国道北侧的部分</w:t>
            </w:r>
          </w:p>
          <w:p w14:paraId="6692D024">
            <w:pPr>
              <w:pStyle w:val="6"/>
              <w:spacing w:before="25" w:line="220" w:lineRule="auto"/>
              <w:ind w:left="119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302 </w:t>
            </w:r>
            <w:r>
              <w:rPr>
                <w:spacing w:val="-3"/>
              </w:rPr>
              <w:t>单元合并至</w:t>
            </w:r>
            <w:r>
              <w:rPr>
                <w:spacing w:val="-5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27"/>
              </w:rPr>
              <w:t xml:space="preserve"> </w:t>
            </w:r>
            <w:r>
              <w:rPr>
                <w:spacing w:val="-3"/>
              </w:rPr>
              <w:t>区划单</w:t>
            </w:r>
          </w:p>
          <w:p w14:paraId="564ABF97">
            <w:pPr>
              <w:pStyle w:val="6"/>
              <w:spacing w:before="26" w:line="221" w:lineRule="auto"/>
              <w:ind w:right="1"/>
              <w:jc w:val="right"/>
            </w:pPr>
            <w:r>
              <w:rPr>
                <w:spacing w:val="-10"/>
              </w:rPr>
              <w:t>元；原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</w:rPr>
              <w:t>210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10"/>
              </w:rPr>
              <w:t>区划单元的目前已</w:t>
            </w:r>
          </w:p>
          <w:p w14:paraId="1D7070DA">
            <w:pPr>
              <w:pStyle w:val="6"/>
              <w:spacing w:before="25" w:line="220" w:lineRule="auto"/>
              <w:ind w:right="1"/>
              <w:jc w:val="right"/>
            </w:pPr>
            <w:r>
              <w:rPr>
                <w:spacing w:val="-8"/>
              </w:rPr>
              <w:t>经大部分变为工业用地，目前</w:t>
            </w:r>
          </w:p>
          <w:p w14:paraId="71F991C4">
            <w:pPr>
              <w:pStyle w:val="6"/>
              <w:spacing w:before="25" w:line="205" w:lineRule="auto"/>
              <w:ind w:left="569"/>
            </w:pPr>
            <w:r>
              <w:rPr>
                <w:spacing w:val="-6"/>
              </w:rPr>
              <w:t>划至</w:t>
            </w:r>
            <w:r>
              <w:rPr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302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6"/>
              </w:rPr>
              <w:t>区划单元</w:t>
            </w:r>
          </w:p>
        </w:tc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18E9C33E">
            <w:pPr>
              <w:spacing w:line="272" w:lineRule="auto"/>
              <w:rPr>
                <w:rFonts w:ascii="Arial"/>
                <w:sz w:val="21"/>
              </w:rPr>
            </w:pPr>
          </w:p>
          <w:p w14:paraId="5F133B57">
            <w:pPr>
              <w:pStyle w:val="6"/>
              <w:spacing w:before="78" w:line="220" w:lineRule="auto"/>
              <w:ind w:left="163"/>
            </w:pPr>
            <w:r>
              <w:rPr>
                <w:spacing w:val="-1"/>
              </w:rPr>
              <w:t>根据《开化县国土空间总体规划</w:t>
            </w:r>
          </w:p>
          <w:p w14:paraId="78D44685">
            <w:pPr>
              <w:pStyle w:val="6"/>
              <w:spacing w:before="26" w:line="220" w:lineRule="auto"/>
              <w:ind w:left="24"/>
            </w:pPr>
            <w:r>
              <w:rPr>
                <w:spacing w:val="-7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7"/>
              </w:rPr>
              <w:t xml:space="preserve">2021-2035 </w:t>
            </w:r>
            <w:r>
              <w:rPr>
                <w:spacing w:val="-7"/>
              </w:rPr>
              <w:t>年）》：原</w:t>
            </w:r>
            <w:r>
              <w:rPr>
                <w:spacing w:val="-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</w:rPr>
              <w:t>301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7"/>
              </w:rPr>
              <w:t>区划单</w:t>
            </w:r>
          </w:p>
          <w:p w14:paraId="75219A81">
            <w:pPr>
              <w:pStyle w:val="6"/>
              <w:spacing w:before="25" w:line="220" w:lineRule="auto"/>
              <w:ind w:left="76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元规划用作商业服务用地；原</w:t>
            </w:r>
            <w:r>
              <w:rPr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303</w:t>
            </w:r>
          </w:p>
          <w:p w14:paraId="7FD1062A">
            <w:pPr>
              <w:pStyle w:val="6"/>
              <w:spacing w:before="26" w:line="220" w:lineRule="auto"/>
              <w:ind w:left="181"/>
            </w:pPr>
            <w:r>
              <w:rPr>
                <w:spacing w:val="-2"/>
              </w:rPr>
              <w:t>区划单元西侧新增了一片工业用</w:t>
            </w:r>
          </w:p>
          <w:p w14:paraId="45310898">
            <w:pPr>
              <w:pStyle w:val="6"/>
              <w:spacing w:before="25" w:line="220" w:lineRule="auto"/>
              <w:ind w:left="43"/>
            </w:pPr>
            <w:r>
              <w:rPr>
                <w:spacing w:val="-3"/>
              </w:rPr>
              <w:t>地；原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33"/>
              </w:rPr>
              <w:t xml:space="preserve"> </w:t>
            </w:r>
            <w:r>
              <w:rPr>
                <w:spacing w:val="-3"/>
              </w:rPr>
              <w:t>国道北侧的部分</w:t>
            </w:r>
            <w:r>
              <w:rPr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302 </w:t>
            </w:r>
            <w:r>
              <w:rPr>
                <w:spacing w:val="-3"/>
              </w:rPr>
              <w:t>单</w:t>
            </w:r>
          </w:p>
          <w:p w14:paraId="780B1E49">
            <w:pPr>
              <w:pStyle w:val="6"/>
              <w:spacing w:before="26" w:line="220" w:lineRule="auto"/>
              <w:ind w:left="45"/>
            </w:pPr>
            <w:r>
              <w:rPr>
                <w:spacing w:val="-2"/>
              </w:rPr>
              <w:t>元规划为商业服务用地；原</w:t>
            </w:r>
            <w:r>
              <w:rPr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210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</w:rPr>
              <w:t xml:space="preserve"> </w:t>
            </w:r>
            <w:r>
              <w:rPr>
                <w:spacing w:val="-2"/>
              </w:rPr>
              <w:t>区</w:t>
            </w:r>
          </w:p>
          <w:p w14:paraId="2F2C8FB0">
            <w:pPr>
              <w:pStyle w:val="6"/>
              <w:spacing w:before="25" w:line="221" w:lineRule="auto"/>
              <w:ind w:left="642"/>
            </w:pPr>
            <w:r>
              <w:rPr>
                <w:spacing w:val="-1"/>
              </w:rPr>
              <w:t>划单元规划为工业用地</w:t>
            </w:r>
          </w:p>
        </w:tc>
      </w:tr>
      <w:tr w14:paraId="332560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1E32B5C8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2E33D475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4F087921">
            <w:pPr>
              <w:spacing w:before="80" w:line="188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398" w:type="dxa"/>
            <w:vAlign w:val="top"/>
          </w:tcPr>
          <w:p w14:paraId="0A982C54">
            <w:pPr>
              <w:spacing w:before="80" w:line="188" w:lineRule="auto"/>
              <w:ind w:left="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4AA9E402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08F2A9A9">
            <w:pPr>
              <w:rPr>
                <w:rFonts w:ascii="Arial"/>
                <w:sz w:val="21"/>
              </w:rPr>
            </w:pPr>
          </w:p>
        </w:tc>
      </w:tr>
      <w:tr w14:paraId="7798B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32110455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214AE4DB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10F225CB">
            <w:pPr>
              <w:spacing w:before="90" w:line="188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398" w:type="dxa"/>
            <w:vAlign w:val="top"/>
          </w:tcPr>
          <w:p w14:paraId="28771214">
            <w:pPr>
              <w:spacing w:before="90" w:line="188" w:lineRule="auto"/>
              <w:ind w:left="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54D4EE83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147D25CB">
            <w:pPr>
              <w:rPr>
                <w:rFonts w:ascii="Arial"/>
                <w:sz w:val="21"/>
              </w:rPr>
            </w:pPr>
          </w:p>
        </w:tc>
      </w:tr>
      <w:tr w14:paraId="5E886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40DF1093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7DD25B35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0430F192">
            <w:pPr>
              <w:spacing w:before="81" w:line="188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398" w:type="dxa"/>
            <w:vAlign w:val="top"/>
          </w:tcPr>
          <w:p w14:paraId="04B25321">
            <w:pPr>
              <w:spacing w:before="81" w:line="188" w:lineRule="auto"/>
              <w:ind w:left="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6A7CB82C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695F7D4B">
            <w:pPr>
              <w:rPr>
                <w:rFonts w:ascii="Arial"/>
                <w:sz w:val="21"/>
              </w:rPr>
            </w:pPr>
          </w:p>
        </w:tc>
      </w:tr>
      <w:tr w14:paraId="54942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271" w:type="dxa"/>
            <w:vMerge w:val="continue"/>
            <w:tcBorders>
              <w:top w:val="nil"/>
            </w:tcBorders>
            <w:vAlign w:val="top"/>
          </w:tcPr>
          <w:p w14:paraId="41CAF98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4FF86DB6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6BC16126">
            <w:pPr>
              <w:spacing w:line="301" w:lineRule="auto"/>
              <w:rPr>
                <w:rFonts w:ascii="Arial"/>
                <w:sz w:val="21"/>
              </w:rPr>
            </w:pPr>
          </w:p>
          <w:p w14:paraId="47A1780D">
            <w:pPr>
              <w:spacing w:line="302" w:lineRule="auto"/>
              <w:rPr>
                <w:rFonts w:ascii="Arial"/>
                <w:sz w:val="21"/>
              </w:rPr>
            </w:pPr>
          </w:p>
          <w:p w14:paraId="4635B10D">
            <w:pPr>
              <w:spacing w:before="69" w:line="188" w:lineRule="auto"/>
              <w:ind w:left="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305</w:t>
            </w:r>
          </w:p>
        </w:tc>
        <w:tc>
          <w:tcPr>
            <w:tcW w:w="398" w:type="dxa"/>
            <w:vAlign w:val="top"/>
          </w:tcPr>
          <w:p w14:paraId="5FB51E38">
            <w:pPr>
              <w:rPr>
                <w:rFonts w:ascii="Arial"/>
                <w:sz w:val="21"/>
              </w:rPr>
            </w:pPr>
          </w:p>
        </w:tc>
        <w:tc>
          <w:tcPr>
            <w:tcW w:w="3044" w:type="dxa"/>
            <w:vMerge w:val="continue"/>
            <w:tcBorders>
              <w:top w:val="nil"/>
            </w:tcBorders>
            <w:vAlign w:val="top"/>
          </w:tcPr>
          <w:p w14:paraId="0157E63B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77B5D03A">
            <w:pPr>
              <w:rPr>
                <w:rFonts w:ascii="Arial"/>
                <w:sz w:val="21"/>
              </w:rPr>
            </w:pPr>
          </w:p>
        </w:tc>
      </w:tr>
      <w:tr w14:paraId="551A2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restart"/>
            <w:tcBorders>
              <w:bottom w:val="nil"/>
            </w:tcBorders>
            <w:vAlign w:val="top"/>
          </w:tcPr>
          <w:p w14:paraId="1B3600E8">
            <w:pPr>
              <w:spacing w:line="294" w:lineRule="auto"/>
              <w:rPr>
                <w:rFonts w:ascii="Arial"/>
                <w:sz w:val="21"/>
              </w:rPr>
            </w:pPr>
          </w:p>
          <w:p w14:paraId="3C89BE2F">
            <w:pPr>
              <w:spacing w:line="295" w:lineRule="auto"/>
              <w:rPr>
                <w:rFonts w:ascii="Arial"/>
                <w:sz w:val="21"/>
              </w:rPr>
            </w:pPr>
          </w:p>
          <w:p w14:paraId="20FC931C">
            <w:pPr>
              <w:spacing w:line="295" w:lineRule="auto"/>
              <w:rPr>
                <w:rFonts w:ascii="Arial"/>
                <w:sz w:val="21"/>
              </w:rPr>
            </w:pPr>
          </w:p>
          <w:p w14:paraId="6471385F">
            <w:pPr>
              <w:pStyle w:val="6"/>
              <w:spacing w:before="69" w:line="252" w:lineRule="auto"/>
              <w:ind w:left="22" w:right="12" w:firstLine="83"/>
            </w:pPr>
            <w:r>
              <w:rPr>
                <w:rFonts w:ascii="Times New Roman" w:hAnsi="Times New Roman" w:eastAsia="Times New Roman" w:cs="Times New Roman"/>
                <w:spacing w:val="-4"/>
              </w:rPr>
              <w:t>4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10"/>
              </w:rPr>
              <w:t>类</w:t>
            </w: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368D6618">
            <w:pPr>
              <w:pStyle w:val="6"/>
              <w:spacing w:before="294" w:line="220" w:lineRule="auto"/>
              <w:ind w:left="122"/>
            </w:pPr>
            <w:r>
              <w:rPr>
                <w:spacing w:val="-3"/>
              </w:rPr>
              <w:t>道路交</w:t>
            </w:r>
          </w:p>
          <w:p w14:paraId="0D867225">
            <w:pPr>
              <w:pStyle w:val="6"/>
              <w:spacing w:before="26" w:line="219" w:lineRule="auto"/>
              <w:ind w:left="123"/>
            </w:pPr>
            <w:r>
              <w:rPr>
                <w:spacing w:val="-4"/>
              </w:rPr>
              <w:t>通干线</w:t>
            </w:r>
          </w:p>
          <w:p w14:paraId="3B1EAF0C">
            <w:pPr>
              <w:pStyle w:val="6"/>
              <w:spacing w:before="26" w:line="220" w:lineRule="auto"/>
              <w:ind w:left="124"/>
            </w:pPr>
            <w:r>
              <w:rPr>
                <w:spacing w:val="-4"/>
              </w:rPr>
              <w:t>两侧区</w:t>
            </w:r>
          </w:p>
          <w:p w14:paraId="6B4E19D6">
            <w:pPr>
              <w:pStyle w:val="6"/>
              <w:spacing w:before="25" w:line="221" w:lineRule="auto"/>
              <w:ind w:left="124"/>
            </w:pPr>
            <w:r>
              <w:rPr>
                <w:spacing w:val="-4"/>
              </w:rPr>
              <w:t>域及交</w:t>
            </w:r>
          </w:p>
          <w:p w14:paraId="05E67D3D">
            <w:pPr>
              <w:pStyle w:val="6"/>
              <w:spacing w:before="25" w:line="220" w:lineRule="auto"/>
              <w:ind w:left="123"/>
            </w:pPr>
            <w:r>
              <w:rPr>
                <w:spacing w:val="-4"/>
              </w:rPr>
              <w:t>通服务</w:t>
            </w:r>
          </w:p>
          <w:p w14:paraId="07F7A294">
            <w:pPr>
              <w:pStyle w:val="6"/>
              <w:spacing w:before="26" w:line="221" w:lineRule="auto"/>
              <w:ind w:left="261"/>
            </w:pPr>
            <w:r>
              <w:rPr>
                <w:spacing w:val="-14"/>
              </w:rPr>
              <w:t>区域</w:t>
            </w:r>
          </w:p>
        </w:tc>
        <w:tc>
          <w:tcPr>
            <w:tcW w:w="508" w:type="dxa"/>
            <w:vAlign w:val="top"/>
          </w:tcPr>
          <w:p w14:paraId="74B83C6B">
            <w:pPr>
              <w:spacing w:before="81" w:line="188" w:lineRule="auto"/>
              <w:ind w:left="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4a01</w:t>
            </w:r>
          </w:p>
        </w:tc>
        <w:tc>
          <w:tcPr>
            <w:tcW w:w="398" w:type="dxa"/>
            <w:vAlign w:val="top"/>
          </w:tcPr>
          <w:p w14:paraId="25553BE1">
            <w:pPr>
              <w:spacing w:before="4" w:line="302" w:lineRule="exact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  <w:tc>
          <w:tcPr>
            <w:tcW w:w="3044" w:type="dxa"/>
            <w:vMerge w:val="restart"/>
            <w:tcBorders>
              <w:bottom w:val="nil"/>
            </w:tcBorders>
            <w:vAlign w:val="top"/>
          </w:tcPr>
          <w:p w14:paraId="06A75174">
            <w:pPr>
              <w:spacing w:line="444" w:lineRule="auto"/>
              <w:rPr>
                <w:rFonts w:ascii="Arial"/>
                <w:sz w:val="21"/>
              </w:rPr>
            </w:pPr>
          </w:p>
          <w:p w14:paraId="45B7B0FC">
            <w:pPr>
              <w:pStyle w:val="6"/>
              <w:spacing w:before="78" w:line="220" w:lineRule="auto"/>
              <w:ind w:left="569"/>
            </w:pPr>
            <w:r>
              <w:rPr>
                <w:spacing w:val="-2"/>
              </w:rPr>
              <w:t>删除相关区块面积</w:t>
            </w:r>
          </w:p>
        </w:tc>
        <w:tc>
          <w:tcPr>
            <w:tcW w:w="3675" w:type="dxa"/>
            <w:vMerge w:val="restart"/>
            <w:tcBorders>
              <w:bottom w:val="nil"/>
            </w:tcBorders>
            <w:vAlign w:val="top"/>
          </w:tcPr>
          <w:p w14:paraId="292D4A5D">
            <w:pPr>
              <w:spacing w:line="444" w:lineRule="auto"/>
              <w:rPr>
                <w:rFonts w:ascii="Arial"/>
                <w:sz w:val="21"/>
              </w:rPr>
            </w:pPr>
          </w:p>
          <w:p w14:paraId="3B2B2D8A">
            <w:pPr>
              <w:pStyle w:val="6"/>
              <w:spacing w:before="78" w:line="220" w:lineRule="auto"/>
              <w:ind w:left="1123"/>
            </w:pPr>
            <w:r>
              <w:rPr>
                <w:spacing w:val="-2"/>
              </w:rPr>
              <w:t>根据专家意见</w:t>
            </w:r>
          </w:p>
        </w:tc>
      </w:tr>
      <w:tr w14:paraId="76A5F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791645E6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11CEF427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3F46D0A4">
            <w:pPr>
              <w:spacing w:before="81" w:line="188" w:lineRule="auto"/>
              <w:ind w:left="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4a02</w:t>
            </w:r>
          </w:p>
        </w:tc>
        <w:tc>
          <w:tcPr>
            <w:tcW w:w="398" w:type="dxa"/>
            <w:vAlign w:val="top"/>
          </w:tcPr>
          <w:p w14:paraId="31927116">
            <w:pPr>
              <w:spacing w:before="4" w:line="303" w:lineRule="exact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24C84B3D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2500730C">
            <w:pPr>
              <w:rPr>
                <w:rFonts w:ascii="Arial"/>
                <w:sz w:val="21"/>
              </w:rPr>
            </w:pPr>
          </w:p>
        </w:tc>
      </w:tr>
      <w:tr w14:paraId="2BB874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760BA07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3FDF26D8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53C00221">
            <w:pPr>
              <w:spacing w:before="83" w:line="188" w:lineRule="auto"/>
              <w:ind w:left="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4a03</w:t>
            </w:r>
          </w:p>
        </w:tc>
        <w:tc>
          <w:tcPr>
            <w:tcW w:w="398" w:type="dxa"/>
            <w:vAlign w:val="top"/>
          </w:tcPr>
          <w:p w14:paraId="531FDFD9">
            <w:pPr>
              <w:spacing w:before="6" w:line="301" w:lineRule="exact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  <w:tc>
          <w:tcPr>
            <w:tcW w:w="3044" w:type="dxa"/>
            <w:vMerge w:val="continue"/>
            <w:tcBorders>
              <w:top w:val="nil"/>
              <w:bottom w:val="nil"/>
            </w:tcBorders>
            <w:vAlign w:val="top"/>
          </w:tcPr>
          <w:p w14:paraId="2CD5DBCE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  <w:bottom w:val="nil"/>
            </w:tcBorders>
            <w:vAlign w:val="top"/>
          </w:tcPr>
          <w:p w14:paraId="6A9696A8">
            <w:pPr>
              <w:rPr>
                <w:rFonts w:ascii="Arial"/>
                <w:sz w:val="21"/>
              </w:rPr>
            </w:pPr>
          </w:p>
        </w:tc>
      </w:tr>
      <w:tr w14:paraId="78CE4D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71" w:type="dxa"/>
            <w:vMerge w:val="continue"/>
            <w:tcBorders>
              <w:top w:val="nil"/>
              <w:bottom w:val="nil"/>
            </w:tcBorders>
            <w:vAlign w:val="top"/>
          </w:tcPr>
          <w:p w14:paraId="3974D5C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  <w:bottom w:val="nil"/>
            </w:tcBorders>
            <w:vAlign w:val="top"/>
          </w:tcPr>
          <w:p w14:paraId="4A369D17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220DFF2E">
            <w:pPr>
              <w:spacing w:before="6" w:line="301" w:lineRule="exact"/>
              <w:ind w:left="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4b01</w:t>
            </w:r>
          </w:p>
        </w:tc>
        <w:tc>
          <w:tcPr>
            <w:tcW w:w="398" w:type="dxa"/>
            <w:vAlign w:val="top"/>
          </w:tcPr>
          <w:p w14:paraId="793B8726">
            <w:pPr>
              <w:spacing w:before="6" w:line="301" w:lineRule="exact"/>
              <w:ind w:left="1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/</w:t>
            </w:r>
          </w:p>
        </w:tc>
        <w:tc>
          <w:tcPr>
            <w:tcW w:w="3044" w:type="dxa"/>
            <w:vMerge w:val="continue"/>
            <w:tcBorders>
              <w:top w:val="nil"/>
            </w:tcBorders>
            <w:vAlign w:val="top"/>
          </w:tcPr>
          <w:p w14:paraId="7F011A33">
            <w:pPr>
              <w:rPr>
                <w:rFonts w:ascii="Arial"/>
                <w:sz w:val="21"/>
              </w:rPr>
            </w:pPr>
          </w:p>
        </w:tc>
        <w:tc>
          <w:tcPr>
            <w:tcW w:w="3675" w:type="dxa"/>
            <w:vMerge w:val="continue"/>
            <w:tcBorders>
              <w:top w:val="nil"/>
            </w:tcBorders>
            <w:vAlign w:val="top"/>
          </w:tcPr>
          <w:p w14:paraId="4F0653B2">
            <w:pPr>
              <w:rPr>
                <w:rFonts w:ascii="Arial"/>
                <w:sz w:val="21"/>
              </w:rPr>
            </w:pPr>
          </w:p>
        </w:tc>
      </w:tr>
      <w:tr w14:paraId="52AE2A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atLeast"/>
        </w:trPr>
        <w:tc>
          <w:tcPr>
            <w:tcW w:w="271" w:type="dxa"/>
            <w:vMerge w:val="continue"/>
            <w:tcBorders>
              <w:top w:val="nil"/>
            </w:tcBorders>
            <w:vAlign w:val="top"/>
          </w:tcPr>
          <w:p w14:paraId="3ADD040D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21B29314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23E8E436">
            <w:pPr>
              <w:rPr>
                <w:rFonts w:ascii="Arial"/>
                <w:sz w:val="21"/>
              </w:rPr>
            </w:pPr>
          </w:p>
        </w:tc>
        <w:tc>
          <w:tcPr>
            <w:tcW w:w="7117" w:type="dxa"/>
            <w:gridSpan w:val="3"/>
            <w:vAlign w:val="top"/>
          </w:tcPr>
          <w:p w14:paraId="5018DF7D">
            <w:pPr>
              <w:pStyle w:val="6"/>
              <w:spacing w:before="119" w:line="233" w:lineRule="auto"/>
              <w:ind w:left="9" w:firstLine="14"/>
            </w:pPr>
            <w:r>
              <w:rPr>
                <w:rFonts w:ascii="Times New Roman" w:hAnsi="Times New Roman" w:eastAsia="Times New Roman" w:cs="Times New Roman"/>
                <w:spacing w:val="-2"/>
              </w:rPr>
              <w:t xml:space="preserve">4a </w:t>
            </w:r>
            <w:r>
              <w:rPr>
                <w:spacing w:val="-2"/>
              </w:rPr>
              <w:t>类：杭新景高速、黄衢南高速、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32"/>
              </w:rPr>
              <w:t xml:space="preserve"> </w:t>
            </w:r>
            <w:r>
              <w:rPr>
                <w:spacing w:val="-2"/>
              </w:rPr>
              <w:t>国道、</w:t>
            </w:r>
            <w:r>
              <w:rPr>
                <w:rFonts w:ascii="Times New Roman" w:hAnsi="Times New Roman" w:eastAsia="Times New Roman" w:cs="Times New Roman"/>
                <w:spacing w:val="-2"/>
              </w:rPr>
              <w:t xml:space="preserve">205 </w:t>
            </w:r>
            <w:r>
              <w:rPr>
                <w:spacing w:val="-3"/>
              </w:rPr>
              <w:t>接线、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317 </w:t>
            </w:r>
            <w:r>
              <w:rPr>
                <w:spacing w:val="-3"/>
              </w:rPr>
              <w:t>省道、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605 </w:t>
            </w:r>
            <w:r>
              <w:rPr>
                <w:spacing w:val="-9"/>
              </w:rPr>
              <w:t>县道、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609 </w:t>
            </w:r>
            <w:r>
              <w:rPr>
                <w:spacing w:val="-9"/>
              </w:rPr>
              <w:t>县道、城白线、芹南路、芹北路、湘溪路、江滨路（江</w:t>
            </w:r>
            <w:r>
              <w:rPr>
                <w:spacing w:val="17"/>
              </w:rPr>
              <w:t xml:space="preserve"> </w:t>
            </w:r>
            <w:r>
              <w:rPr>
                <w:spacing w:val="-11"/>
              </w:rPr>
              <w:t>滨南路、江滨北路、江滨中路）、彩虹路、江东路、解放路、桃溪路、</w:t>
            </w:r>
          </w:p>
        </w:tc>
      </w:tr>
    </w:tbl>
    <w:p w14:paraId="58E0077C">
      <w:pPr>
        <w:pStyle w:val="2"/>
      </w:pPr>
    </w:p>
    <w:p w14:paraId="62647905">
      <w:pPr>
        <w:sectPr>
          <w:footerReference r:id="rId79" w:type="default"/>
          <w:pgSz w:w="11906" w:h="16839"/>
          <w:pgMar w:top="1431" w:right="1463" w:bottom="1149" w:left="1582" w:header="0" w:footer="989" w:gutter="0"/>
          <w:cols w:space="720" w:num="1"/>
        </w:sectPr>
      </w:pPr>
    </w:p>
    <w:p w14:paraId="5BC803C4">
      <w:pPr>
        <w:spacing w:before="92"/>
      </w:pPr>
    </w:p>
    <w:p w14:paraId="2D317AD7">
      <w:pPr>
        <w:spacing w:before="91"/>
      </w:pPr>
    </w:p>
    <w:tbl>
      <w:tblPr>
        <w:tblStyle w:val="5"/>
        <w:tblW w:w="88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"/>
        <w:gridCol w:w="959"/>
        <w:gridCol w:w="508"/>
        <w:gridCol w:w="7117"/>
      </w:tblGrid>
      <w:tr w14:paraId="24AEE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71" w:type="dxa"/>
            <w:vMerge w:val="restart"/>
            <w:tcBorders>
              <w:bottom w:val="nil"/>
            </w:tcBorders>
            <w:vAlign w:val="top"/>
          </w:tcPr>
          <w:p w14:paraId="254BBDED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restart"/>
            <w:tcBorders>
              <w:bottom w:val="nil"/>
            </w:tcBorders>
            <w:vAlign w:val="top"/>
          </w:tcPr>
          <w:p w14:paraId="5F58C04D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7919F5D9">
            <w:pPr>
              <w:rPr>
                <w:rFonts w:ascii="Arial"/>
                <w:sz w:val="21"/>
              </w:rPr>
            </w:pPr>
          </w:p>
        </w:tc>
        <w:tc>
          <w:tcPr>
            <w:tcW w:w="7117" w:type="dxa"/>
            <w:vAlign w:val="top"/>
          </w:tcPr>
          <w:p w14:paraId="2A18BAA8">
            <w:pPr>
              <w:pStyle w:val="6"/>
              <w:spacing w:before="41" w:line="230" w:lineRule="auto"/>
              <w:ind w:left="2247" w:right="4" w:hanging="2236"/>
            </w:pPr>
            <w:r>
              <w:rPr>
                <w:spacing w:val="-4"/>
              </w:rPr>
              <w:t>凤凰路、华殿线、解放街、古溪路、开元路、双桥路、华康路、城底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线、钟山路、永吉二路。</w:t>
            </w:r>
          </w:p>
        </w:tc>
      </w:tr>
      <w:tr w14:paraId="7A7FA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71" w:type="dxa"/>
            <w:vMerge w:val="continue"/>
            <w:tcBorders>
              <w:top w:val="nil"/>
            </w:tcBorders>
            <w:vAlign w:val="top"/>
          </w:tcPr>
          <w:p w14:paraId="49EAA66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Merge w:val="continue"/>
            <w:tcBorders>
              <w:top w:val="nil"/>
            </w:tcBorders>
            <w:vAlign w:val="top"/>
          </w:tcPr>
          <w:p w14:paraId="6E86B7F0">
            <w:pPr>
              <w:rPr>
                <w:rFonts w:ascii="Arial"/>
                <w:sz w:val="21"/>
              </w:rPr>
            </w:pPr>
          </w:p>
        </w:tc>
        <w:tc>
          <w:tcPr>
            <w:tcW w:w="508" w:type="dxa"/>
            <w:vAlign w:val="top"/>
          </w:tcPr>
          <w:p w14:paraId="32ABA374">
            <w:pPr>
              <w:rPr>
                <w:rFonts w:ascii="Arial"/>
                <w:sz w:val="21"/>
              </w:rPr>
            </w:pPr>
          </w:p>
        </w:tc>
        <w:tc>
          <w:tcPr>
            <w:tcW w:w="7117" w:type="dxa"/>
            <w:vAlign w:val="top"/>
          </w:tcPr>
          <w:p w14:paraId="3331143E">
            <w:pPr>
              <w:pStyle w:val="6"/>
              <w:spacing w:before="87" w:line="361" w:lineRule="exact"/>
              <w:ind w:left="2568"/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</w:rPr>
              <w:t xml:space="preserve">4b </w:t>
            </w:r>
            <w:r>
              <w:rPr>
                <w:spacing w:val="-1"/>
                <w:position w:val="2"/>
              </w:rPr>
              <w:t>类：衢九铁路。</w:t>
            </w:r>
          </w:p>
        </w:tc>
      </w:tr>
    </w:tbl>
    <w:p w14:paraId="2EEE1AFE">
      <w:pPr>
        <w:pStyle w:val="2"/>
      </w:pPr>
    </w:p>
    <w:p w14:paraId="7E69378B">
      <w:pPr>
        <w:sectPr>
          <w:footerReference r:id="rId80" w:type="default"/>
          <w:pgSz w:w="11906" w:h="16839"/>
          <w:pgMar w:top="1431" w:right="1463" w:bottom="1151" w:left="1582" w:header="0" w:footer="989" w:gutter="0"/>
          <w:cols w:space="720" w:num="1"/>
        </w:sectPr>
      </w:pPr>
    </w:p>
    <w:p w14:paraId="5D1A76F8">
      <w:pPr>
        <w:pStyle w:val="2"/>
        <w:spacing w:line="281" w:lineRule="auto"/>
      </w:pPr>
    </w:p>
    <w:p w14:paraId="1A54C1AC">
      <w:pPr>
        <w:pStyle w:val="2"/>
        <w:spacing w:line="281" w:lineRule="auto"/>
      </w:pPr>
    </w:p>
    <w:p w14:paraId="04E0ACFD">
      <w:pPr>
        <w:pStyle w:val="2"/>
        <w:spacing w:line="281" w:lineRule="auto"/>
      </w:pPr>
    </w:p>
    <w:p w14:paraId="153BA2E9">
      <w:pPr>
        <w:pStyle w:val="2"/>
        <w:spacing w:line="282" w:lineRule="auto"/>
      </w:pPr>
    </w:p>
    <w:p w14:paraId="09794476">
      <w:pPr>
        <w:spacing w:before="101" w:line="226" w:lineRule="auto"/>
        <w:ind w:left="640"/>
        <w:outlineLvl w:val="0"/>
        <w:rPr>
          <w:rFonts w:ascii="宋体" w:hAnsi="宋体" w:eastAsia="宋体" w:cs="宋体"/>
          <w:sz w:val="31"/>
          <w:szCs w:val="31"/>
        </w:rPr>
      </w:pPr>
      <w:bookmarkStart w:id="104" w:name="bookmark60"/>
      <w:bookmarkEnd w:id="104"/>
      <w:bookmarkStart w:id="105" w:name="bookmark62"/>
      <w:bookmarkEnd w:id="105"/>
      <w:bookmarkStart w:id="106" w:name="bookmark59"/>
      <w:bookmarkEnd w:id="106"/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 xml:space="preserve">7 </w:t>
      </w:r>
      <w:r>
        <w:rPr>
          <w:rFonts w:ascii="宋体" w:hAnsi="宋体" w:eastAsia="宋体" w:cs="宋体"/>
          <w:b/>
          <w:bCs/>
          <w:spacing w:val="6"/>
          <w:sz w:val="31"/>
          <w:szCs w:val="31"/>
        </w:rPr>
        <w:t>开化县声环境功能区划调整方案可行性分析</w:t>
      </w:r>
    </w:p>
    <w:p w14:paraId="6E6F9D64">
      <w:pPr>
        <w:spacing w:before="280" w:line="225" w:lineRule="auto"/>
        <w:ind w:left="640"/>
        <w:outlineLvl w:val="1"/>
        <w:rPr>
          <w:rFonts w:ascii="宋体" w:hAnsi="宋体" w:eastAsia="宋体" w:cs="宋体"/>
          <w:sz w:val="31"/>
          <w:szCs w:val="31"/>
        </w:rPr>
      </w:pPr>
      <w:bookmarkStart w:id="107" w:name="bookmark61"/>
      <w:bookmarkEnd w:id="107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7.1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与城市总体规划的协调性分析</w:t>
      </w:r>
    </w:p>
    <w:p w14:paraId="4DFAD698">
      <w:pPr>
        <w:spacing w:before="206" w:line="325" w:lineRule="auto"/>
        <w:ind w:firstLine="6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本次开化县中心城区声环境功能区划分方案，是根据《</w:t>
      </w:r>
      <w:r>
        <w:rPr>
          <w:rFonts w:ascii="宋体" w:hAnsi="宋体" w:eastAsia="宋体" w:cs="宋体"/>
          <w:spacing w:val="4"/>
          <w:sz w:val="31"/>
          <w:szCs w:val="31"/>
        </w:rPr>
        <w:t>开化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1"/>
          <w:sz w:val="31"/>
          <w:szCs w:val="31"/>
        </w:rPr>
        <w:t>县国土空间总体规划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(2021-2035 </w:t>
      </w:r>
      <w:r>
        <w:rPr>
          <w:rFonts w:ascii="宋体" w:hAnsi="宋体" w:eastAsia="宋体" w:cs="宋体"/>
          <w:spacing w:val="11"/>
          <w:sz w:val="31"/>
          <w:szCs w:val="31"/>
        </w:rPr>
        <w:t>年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)</w:t>
      </w:r>
      <w:r>
        <w:rPr>
          <w:rFonts w:ascii="宋体" w:hAnsi="宋体" w:eastAsia="宋体" w:cs="宋体"/>
          <w:spacing w:val="11"/>
          <w:sz w:val="31"/>
          <w:szCs w:val="31"/>
        </w:rPr>
        <w:t>》文本和图集等规划文件，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并结合实际土地利用情况，依据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/T15190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-2014</w:t>
      </w:r>
      <w:r>
        <w:rPr>
          <w:rFonts w:ascii="Times New Roman" w:hAnsi="Times New Roman" w:eastAsia="Times New Roman" w:cs="Times New Roman"/>
          <w:spacing w:val="4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中的划分方法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及划分要求，对声环境功能区进行划分。随着开化县中心城区建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设稳步推进，原有的一些区域的使用功能发生了变化，在区划调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整的过程中，充分考虑了城市总体规划建设布局，因此本区划将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更科学、更合理、更符合城市总体规划要求。</w:t>
      </w:r>
    </w:p>
    <w:p w14:paraId="70809FAA">
      <w:pPr>
        <w:spacing w:before="174" w:line="225" w:lineRule="auto"/>
        <w:ind w:left="640"/>
        <w:outlineLvl w:val="1"/>
        <w:rPr>
          <w:rFonts w:ascii="宋体" w:hAnsi="宋体" w:eastAsia="宋体" w:cs="宋体"/>
          <w:sz w:val="31"/>
          <w:szCs w:val="31"/>
        </w:rPr>
      </w:pPr>
      <w:bookmarkStart w:id="108" w:name="bookmark64"/>
      <w:bookmarkEnd w:id="108"/>
      <w:bookmarkStart w:id="109" w:name="bookmark63"/>
      <w:bookmarkEnd w:id="109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7.2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环境管理的可操作性分析</w:t>
      </w:r>
    </w:p>
    <w:p w14:paraId="70D98AA1">
      <w:pPr>
        <w:spacing w:before="182" w:line="368" w:lineRule="auto"/>
        <w:ind w:firstLine="482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1"/>
          <w:sz w:val="31"/>
          <w:szCs w:val="31"/>
        </w:rPr>
        <w:t>本次声环境功能区划是对现行区划的调整，本次声环境功能</w:t>
      </w:r>
      <w:r>
        <w:rPr>
          <w:rFonts w:ascii="宋体" w:hAnsi="宋体" w:eastAsia="宋体" w:cs="宋体"/>
          <w:spacing w:val="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区划总面积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24.032 </w:t>
      </w:r>
      <w:r>
        <w:rPr>
          <w:rFonts w:ascii="宋体" w:hAnsi="宋体" w:eastAsia="宋体" w:cs="宋体"/>
          <w:spacing w:val="9"/>
          <w:sz w:val="31"/>
          <w:szCs w:val="31"/>
        </w:rPr>
        <w:t>平方公里。其中划分</w:t>
      </w:r>
      <w:r>
        <w:rPr>
          <w:rFonts w:ascii="宋体" w:hAnsi="宋体" w:eastAsia="宋体" w:cs="宋体"/>
          <w:spacing w:val="-5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9"/>
          <w:sz w:val="31"/>
          <w:szCs w:val="31"/>
        </w:rPr>
        <w:t>个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 </w:t>
      </w:r>
      <w:r>
        <w:rPr>
          <w:rFonts w:ascii="宋体" w:hAnsi="宋体" w:eastAsia="宋体" w:cs="宋体"/>
          <w:spacing w:val="9"/>
          <w:sz w:val="31"/>
          <w:szCs w:val="31"/>
        </w:rPr>
        <w:t>类声环境功能区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划单元，面积共计为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9.736 </w:t>
      </w:r>
      <w:r>
        <w:rPr>
          <w:rFonts w:ascii="宋体" w:hAnsi="宋体" w:eastAsia="宋体" w:cs="宋体"/>
          <w:spacing w:val="6"/>
          <w:sz w:val="31"/>
          <w:szCs w:val="31"/>
        </w:rPr>
        <w:t>平方公里，划</w:t>
      </w:r>
      <w:r>
        <w:rPr>
          <w:rFonts w:ascii="宋体" w:hAnsi="宋体" w:eastAsia="宋体" w:cs="宋体"/>
          <w:spacing w:val="5"/>
          <w:sz w:val="31"/>
          <w:szCs w:val="31"/>
        </w:rPr>
        <w:t>分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9 </w:t>
      </w:r>
      <w:r>
        <w:rPr>
          <w:rFonts w:ascii="宋体" w:hAnsi="宋体" w:eastAsia="宋体" w:cs="宋体"/>
          <w:spacing w:val="5"/>
          <w:sz w:val="31"/>
          <w:szCs w:val="31"/>
        </w:rPr>
        <w:t>个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 </w:t>
      </w:r>
      <w:r>
        <w:rPr>
          <w:rFonts w:ascii="宋体" w:hAnsi="宋体" w:eastAsia="宋体" w:cs="宋体"/>
          <w:spacing w:val="5"/>
          <w:sz w:val="31"/>
          <w:szCs w:val="31"/>
        </w:rPr>
        <w:t>类声环境功能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区划单元，面积共计为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6.367 </w:t>
      </w:r>
      <w:r>
        <w:rPr>
          <w:rFonts w:ascii="宋体" w:hAnsi="宋体" w:eastAsia="宋体" w:cs="宋体"/>
          <w:spacing w:val="6"/>
          <w:sz w:val="31"/>
          <w:szCs w:val="31"/>
        </w:rPr>
        <w:t>平方公</w:t>
      </w:r>
      <w:r>
        <w:rPr>
          <w:rFonts w:ascii="宋体" w:hAnsi="宋体" w:eastAsia="宋体" w:cs="宋体"/>
          <w:spacing w:val="5"/>
          <w:sz w:val="31"/>
          <w:szCs w:val="31"/>
        </w:rPr>
        <w:t>里，划分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 </w:t>
      </w:r>
      <w:r>
        <w:rPr>
          <w:rFonts w:ascii="宋体" w:hAnsi="宋体" w:eastAsia="宋体" w:cs="宋体"/>
          <w:spacing w:val="5"/>
          <w:sz w:val="31"/>
          <w:szCs w:val="31"/>
        </w:rPr>
        <w:t>个</w:t>
      </w:r>
      <w:r>
        <w:rPr>
          <w:rFonts w:ascii="宋体" w:hAnsi="宋体" w:eastAsia="宋体" w:cs="宋体"/>
          <w:spacing w:val="-6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 </w:t>
      </w:r>
      <w:r>
        <w:rPr>
          <w:rFonts w:ascii="宋体" w:hAnsi="宋体" w:eastAsia="宋体" w:cs="宋体"/>
          <w:spacing w:val="5"/>
          <w:sz w:val="31"/>
          <w:szCs w:val="31"/>
        </w:rPr>
        <w:t>类声环境功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能区划单元，面积共计为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7.929 </w:t>
      </w:r>
      <w:r>
        <w:rPr>
          <w:rFonts w:ascii="宋体" w:hAnsi="宋体" w:eastAsia="宋体" w:cs="宋体"/>
          <w:spacing w:val="7"/>
          <w:sz w:val="31"/>
          <w:szCs w:val="31"/>
        </w:rPr>
        <w:t>平方公里。本次区划的声功</w:t>
      </w:r>
      <w:r>
        <w:rPr>
          <w:rFonts w:ascii="宋体" w:hAnsi="宋体" w:eastAsia="宋体" w:cs="宋体"/>
          <w:spacing w:val="6"/>
          <w:sz w:val="31"/>
          <w:szCs w:val="31"/>
        </w:rPr>
        <w:t>能区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边界均为道路、河流、山体及各区的边界，界限明确，且配合声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环境功能区划图，能够应用于日常声环境管理，易于操作，满足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噪声监管部门日常管理工作的要求。</w:t>
      </w:r>
    </w:p>
    <w:p w14:paraId="0D944956">
      <w:pPr>
        <w:spacing w:before="149" w:line="226" w:lineRule="auto"/>
        <w:ind w:left="640"/>
        <w:outlineLvl w:val="1"/>
        <w:rPr>
          <w:rFonts w:ascii="宋体" w:hAnsi="宋体" w:eastAsia="宋体" w:cs="宋体"/>
          <w:sz w:val="31"/>
          <w:szCs w:val="31"/>
        </w:rPr>
      </w:pPr>
      <w:bookmarkStart w:id="110" w:name="bookmark66"/>
      <w:bookmarkEnd w:id="110"/>
      <w:bookmarkStart w:id="111" w:name="bookmark65"/>
      <w:bookmarkEnd w:id="111"/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7.3 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可行性分析的结论</w:t>
      </w:r>
    </w:p>
    <w:p w14:paraId="2065964A">
      <w:pPr>
        <w:spacing w:before="179" w:line="225" w:lineRule="auto"/>
        <w:ind w:right="2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7"/>
          <w:sz w:val="31"/>
          <w:szCs w:val="31"/>
        </w:rPr>
        <w:t>依据最新的开化县国土空间总体规划进行声环境功能区划</w:t>
      </w:r>
    </w:p>
    <w:p w14:paraId="7E3DA99E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81" w:type="default"/>
          <w:pgSz w:w="11906" w:h="16839"/>
          <w:pgMar w:top="1431" w:right="1473" w:bottom="1149" w:left="1597" w:header="0" w:footer="989" w:gutter="0"/>
          <w:cols w:space="720" w:num="1"/>
        </w:sectPr>
      </w:pPr>
    </w:p>
    <w:p w14:paraId="390CD929">
      <w:pPr>
        <w:pStyle w:val="2"/>
        <w:spacing w:line="357" w:lineRule="auto"/>
      </w:pPr>
    </w:p>
    <w:p w14:paraId="26C8EA76">
      <w:pPr>
        <w:pStyle w:val="2"/>
        <w:spacing w:line="357" w:lineRule="auto"/>
      </w:pPr>
    </w:p>
    <w:p w14:paraId="795FC946">
      <w:pPr>
        <w:spacing w:before="101" w:line="366" w:lineRule="auto"/>
        <w:ind w:firstLine="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调整，具有权威性和可行性，可极大地改善和提高人们的生活、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工作环境。声环境功能区划的最后结果是将城市城乡人民</w:t>
      </w:r>
      <w:r>
        <w:rPr>
          <w:rFonts w:ascii="宋体" w:hAnsi="宋体" w:eastAsia="宋体" w:cs="宋体"/>
          <w:spacing w:val="3"/>
          <w:sz w:val="31"/>
          <w:szCs w:val="31"/>
        </w:rPr>
        <w:t>的生活、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学习、工作环境按人们的主观要求和声环境质量完成功能划分，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划分原则、办法遵循《声环境功能区划分技术》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5190-2014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  </w:t>
      </w:r>
      <w:r>
        <w:rPr>
          <w:rFonts w:ascii="宋体" w:hAnsi="宋体" w:eastAsia="宋体" w:cs="宋体"/>
          <w:spacing w:val="5"/>
          <w:sz w:val="31"/>
          <w:szCs w:val="31"/>
        </w:rPr>
        <w:t>和《关于加强与规范声环境功能区划分管理工作的通知》（环办</w:t>
      </w:r>
    </w:p>
    <w:p w14:paraId="341AF886">
      <w:pPr>
        <w:spacing w:before="47" w:line="357" w:lineRule="auto"/>
        <w:ind w:left="7" w:right="343" w:firstLine="3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〔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2017</w:t>
      </w:r>
      <w:r>
        <w:rPr>
          <w:rFonts w:ascii="宋体" w:hAnsi="宋体" w:eastAsia="宋体" w:cs="宋体"/>
          <w:spacing w:val="6"/>
          <w:sz w:val="31"/>
          <w:szCs w:val="31"/>
        </w:rPr>
        <w:t>〕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1709</w:t>
      </w:r>
      <w:r>
        <w:rPr>
          <w:rFonts w:ascii="Times New Roman" w:hAnsi="Times New Roman" w:eastAsia="Times New Roman" w:cs="Times New Roman"/>
          <w:spacing w:val="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号</w:t>
      </w:r>
      <w:r>
        <w:rPr>
          <w:rFonts w:ascii="宋体" w:hAnsi="宋体" w:eastAsia="宋体" w:cs="宋体"/>
          <w:spacing w:val="33"/>
          <w:sz w:val="31"/>
          <w:szCs w:val="31"/>
        </w:rPr>
        <w:t>）；</w:t>
      </w:r>
      <w:r>
        <w:rPr>
          <w:rFonts w:ascii="宋体" w:hAnsi="宋体" w:eastAsia="宋体" w:cs="宋体"/>
          <w:spacing w:val="6"/>
          <w:sz w:val="31"/>
          <w:szCs w:val="31"/>
        </w:rPr>
        <w:t>划分调整结果与城市总体规划基本吻合，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具有一定的科学、合理性和较高的可操作、实用性。</w:t>
      </w:r>
    </w:p>
    <w:p w14:paraId="3AC159CC">
      <w:pPr>
        <w:spacing w:line="357" w:lineRule="auto"/>
        <w:rPr>
          <w:rFonts w:ascii="宋体" w:hAnsi="宋体" w:eastAsia="宋体" w:cs="宋体"/>
          <w:sz w:val="31"/>
          <w:szCs w:val="31"/>
        </w:rPr>
        <w:sectPr>
          <w:footerReference r:id="rId82" w:type="default"/>
          <w:pgSz w:w="11906" w:h="16839"/>
          <w:pgMar w:top="1431" w:right="1205" w:bottom="1151" w:left="1597" w:header="0" w:footer="989" w:gutter="0"/>
          <w:cols w:space="720" w:num="1"/>
        </w:sectPr>
      </w:pPr>
    </w:p>
    <w:p w14:paraId="51259024">
      <w:pPr>
        <w:pStyle w:val="2"/>
        <w:spacing w:line="272" w:lineRule="auto"/>
      </w:pPr>
    </w:p>
    <w:p w14:paraId="470A80A9">
      <w:pPr>
        <w:pStyle w:val="2"/>
        <w:spacing w:line="272" w:lineRule="auto"/>
      </w:pPr>
    </w:p>
    <w:p w14:paraId="229E9C45">
      <w:pPr>
        <w:pStyle w:val="2"/>
        <w:spacing w:line="272" w:lineRule="auto"/>
      </w:pPr>
    </w:p>
    <w:p w14:paraId="1F9F9B8B">
      <w:pPr>
        <w:spacing w:before="101" w:line="225" w:lineRule="auto"/>
        <w:ind w:left="642"/>
        <w:outlineLvl w:val="0"/>
        <w:rPr>
          <w:rFonts w:ascii="宋体" w:hAnsi="宋体" w:eastAsia="宋体" w:cs="宋体"/>
          <w:sz w:val="31"/>
          <w:szCs w:val="31"/>
        </w:rPr>
      </w:pPr>
      <w:bookmarkStart w:id="112" w:name="bookmark70"/>
      <w:bookmarkEnd w:id="112"/>
      <w:bookmarkStart w:id="113" w:name="bookmark68"/>
      <w:bookmarkEnd w:id="113"/>
      <w:bookmarkStart w:id="114" w:name="bookmark67"/>
      <w:bookmarkEnd w:id="114"/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 xml:space="preserve">8 </w:t>
      </w:r>
      <w:r>
        <w:rPr>
          <w:rFonts w:ascii="宋体" w:hAnsi="宋体" w:eastAsia="宋体" w:cs="宋体"/>
          <w:b/>
          <w:bCs/>
          <w:spacing w:val="6"/>
          <w:sz w:val="31"/>
          <w:szCs w:val="31"/>
        </w:rPr>
        <w:t>城市噪声控制措施及对策</w:t>
      </w:r>
    </w:p>
    <w:p w14:paraId="5A403142">
      <w:pPr>
        <w:spacing w:before="281" w:line="226" w:lineRule="auto"/>
        <w:ind w:left="642"/>
        <w:outlineLvl w:val="1"/>
        <w:rPr>
          <w:rFonts w:ascii="宋体" w:hAnsi="宋体" w:eastAsia="宋体" w:cs="宋体"/>
          <w:sz w:val="31"/>
          <w:szCs w:val="31"/>
        </w:rPr>
      </w:pPr>
      <w:bookmarkStart w:id="115" w:name="bookmark69"/>
      <w:bookmarkEnd w:id="115"/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8.1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控制对策及措施</w:t>
      </w:r>
    </w:p>
    <w:p w14:paraId="43953433">
      <w:pPr>
        <w:spacing w:before="280" w:line="225" w:lineRule="auto"/>
        <w:ind w:left="65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8.1.1  </w:t>
      </w:r>
      <w:r>
        <w:rPr>
          <w:rFonts w:ascii="宋体" w:hAnsi="宋体" w:eastAsia="宋体" w:cs="宋体"/>
          <w:spacing w:val="6"/>
          <w:sz w:val="31"/>
          <w:szCs w:val="31"/>
        </w:rPr>
        <w:t>制定严格的噪声管理制度</w:t>
      </w:r>
    </w:p>
    <w:p w14:paraId="244BD0CA">
      <w:pPr>
        <w:spacing w:before="196" w:line="330" w:lineRule="auto"/>
        <w:ind w:firstLine="64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3"/>
          <w:sz w:val="31"/>
          <w:szCs w:val="31"/>
        </w:rPr>
        <w:t>加大开化县中心城区环境噪声综合整治力度，杜绝噪声扰民。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夜间禁止在居民区、文教区进行产生噪声污染的活动及影响居民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休息的建筑施工作业。严格限定文化娱乐场所的营业时间，其排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放噪声必须达到区域环境噪声标准。强化环境管理，合理布局噪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声源。合理规划文化娱乐区、餐饮区和商贸市场，清理无牌流动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5"/>
          <w:sz w:val="31"/>
          <w:szCs w:val="31"/>
        </w:rPr>
        <w:t>商贩，严格限定文化娱乐场所的营业时间，其排放噪声必须达到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 区域环境噪声标准。</w:t>
      </w:r>
    </w:p>
    <w:p w14:paraId="08FACCD8">
      <w:pPr>
        <w:spacing w:before="126" w:line="225" w:lineRule="auto"/>
        <w:ind w:left="65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8.1.2  </w:t>
      </w:r>
      <w:r>
        <w:rPr>
          <w:rFonts w:ascii="宋体" w:hAnsi="宋体" w:eastAsia="宋体" w:cs="宋体"/>
          <w:spacing w:val="7"/>
          <w:sz w:val="31"/>
          <w:szCs w:val="31"/>
        </w:rPr>
        <w:t>加强道路交通建设，降低道路交通噪声</w:t>
      </w:r>
    </w:p>
    <w:p w14:paraId="2D733E2A">
      <w:pPr>
        <w:spacing w:before="203" w:line="318" w:lineRule="auto"/>
        <w:ind w:left="1" w:right="269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）合理控制道路交通参数：在噪声敏感目标邻近区域和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敏感时段，可通过设置限速标志牌、视频监控抓拍等设施进行限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速管理，同时限速措施应结合道路和交通量特征采用，避免因车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速变化造成道路拥堵和交通事故；适当分流降低车流量，限流措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施路段交通需求采用，避免造成道路拥堵和交通事故；合理设置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绿化带，利用道路两侧的树木以及天然的山体等隔声，可以达到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降低噪声的效果。</w:t>
      </w:r>
    </w:p>
    <w:p w14:paraId="35222812">
      <w:pPr>
        <w:spacing w:before="184" w:line="306" w:lineRule="auto"/>
        <w:ind w:right="272" w:firstLine="65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）加强交通噪声管理：噪声敏感目标邻近区域和敏感时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段，禁止重载车辆通行（车型控制）以及通过改变行车路线、设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置单行道等，控制车流量（车流控制</w:t>
      </w:r>
      <w:r>
        <w:rPr>
          <w:rFonts w:ascii="宋体" w:hAnsi="宋体" w:eastAsia="宋体" w:cs="宋体"/>
          <w:spacing w:val="-12"/>
          <w:sz w:val="31"/>
          <w:szCs w:val="31"/>
        </w:rPr>
        <w:t>）；</w:t>
      </w:r>
      <w:r>
        <w:rPr>
          <w:rFonts w:ascii="宋体" w:hAnsi="宋体" w:eastAsia="宋体" w:cs="宋体"/>
          <w:spacing w:val="7"/>
          <w:sz w:val="31"/>
          <w:szCs w:val="31"/>
        </w:rPr>
        <w:t>禁止过境</w:t>
      </w:r>
      <w:r>
        <w:rPr>
          <w:rFonts w:ascii="宋体" w:hAnsi="宋体" w:eastAsia="宋体" w:cs="宋体"/>
          <w:spacing w:val="6"/>
          <w:sz w:val="31"/>
          <w:szCs w:val="31"/>
        </w:rPr>
        <w:t>货运车辆穿越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城区。</w:t>
      </w:r>
    </w:p>
    <w:p w14:paraId="58401AFC">
      <w:pPr>
        <w:spacing w:line="306" w:lineRule="auto"/>
        <w:rPr>
          <w:rFonts w:ascii="宋体" w:hAnsi="宋体" w:eastAsia="宋体" w:cs="宋体"/>
          <w:sz w:val="31"/>
          <w:szCs w:val="31"/>
        </w:rPr>
        <w:sectPr>
          <w:footerReference r:id="rId83" w:type="default"/>
          <w:pgSz w:w="11906" w:h="16839"/>
          <w:pgMar w:top="1431" w:right="1203" w:bottom="1151" w:left="1596" w:header="0" w:footer="989" w:gutter="0"/>
          <w:cols w:space="720" w:num="1"/>
        </w:sectPr>
      </w:pPr>
    </w:p>
    <w:p w14:paraId="70788263">
      <w:pPr>
        <w:pStyle w:val="2"/>
        <w:spacing w:line="244" w:lineRule="auto"/>
      </w:pPr>
    </w:p>
    <w:p w14:paraId="733474E9">
      <w:pPr>
        <w:pStyle w:val="2"/>
        <w:spacing w:line="244" w:lineRule="auto"/>
      </w:pPr>
    </w:p>
    <w:p w14:paraId="2EF81734">
      <w:pPr>
        <w:pStyle w:val="2"/>
        <w:spacing w:line="245" w:lineRule="auto"/>
      </w:pPr>
    </w:p>
    <w:p w14:paraId="33E24815">
      <w:pPr>
        <w:spacing w:before="101" w:line="328" w:lineRule="auto"/>
        <w:ind w:left="1" w:firstLine="65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）合理化交通组织：合理设置交通信号与标志、标线，</w:t>
      </w:r>
      <w:r>
        <w:rPr>
          <w:rFonts w:ascii="宋体" w:hAnsi="宋体" w:eastAsia="宋体" w:cs="宋体"/>
          <w:spacing w:val="1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改进管理方式（如信号灯优化配时、交通信息提前告知等</w:t>
      </w:r>
      <w:r>
        <w:rPr>
          <w:rFonts w:ascii="宋体" w:hAnsi="宋体" w:eastAsia="宋体" w:cs="宋体"/>
          <w:spacing w:val="-3"/>
          <w:sz w:val="31"/>
          <w:szCs w:val="31"/>
        </w:rPr>
        <w:t>）；</w:t>
      </w:r>
      <w:r>
        <w:rPr>
          <w:rFonts w:ascii="宋体" w:hAnsi="宋体" w:eastAsia="宋体" w:cs="宋体"/>
          <w:spacing w:val="6"/>
          <w:sz w:val="31"/>
          <w:szCs w:val="31"/>
        </w:rPr>
        <w:t>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学划分车道和设置专用车道，规定适当行车速度，提高道路通行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能力；优化交通，减少停车，增加匀速行车时间，提升公共交通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运输能力，降低道路车流量。</w:t>
      </w:r>
    </w:p>
    <w:p w14:paraId="6FF23331">
      <w:pPr>
        <w:spacing w:before="129" w:line="226" w:lineRule="auto"/>
        <w:ind w:left="649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8.1.3  </w:t>
      </w:r>
      <w:r>
        <w:rPr>
          <w:rFonts w:ascii="宋体" w:hAnsi="宋体" w:eastAsia="宋体" w:cs="宋体"/>
          <w:spacing w:val="5"/>
          <w:sz w:val="31"/>
          <w:szCs w:val="31"/>
        </w:rPr>
        <w:t>加强整治工业噪声</w:t>
      </w:r>
    </w:p>
    <w:p w14:paraId="3763FCBF">
      <w:pPr>
        <w:spacing w:before="198" w:line="280" w:lineRule="auto"/>
        <w:ind w:left="2" w:right="2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）控制和消除噪声声源是一项根本性措施。通过工艺改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革以无声或产生低声的设备和工艺代替高声设备。</w:t>
      </w:r>
    </w:p>
    <w:p w14:paraId="0C775DE1">
      <w:pPr>
        <w:spacing w:before="182" w:line="297" w:lineRule="auto"/>
        <w:ind w:left="7" w:right="2" w:firstLine="6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）合理进行厂区规划和厂房设计。即在产生强噪声车间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与非噪声车间及居民区间应有一定的距离或设防护带，噪声车间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内应尽可能将噪声源集中并采取隔声措施。</w:t>
      </w:r>
    </w:p>
    <w:p w14:paraId="40A772D5">
      <w:pPr>
        <w:spacing w:before="180" w:line="280" w:lineRule="auto"/>
        <w:ind w:left="2" w:right="2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）对局部噪声源采取防噪声措施，采用消声装置以隔离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和封闭噪声源。</w:t>
      </w:r>
    </w:p>
    <w:p w14:paraId="4D624A63">
      <w:pPr>
        <w:spacing w:before="182" w:line="225" w:lineRule="auto"/>
        <w:ind w:left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宋体" w:hAnsi="宋体" w:eastAsia="宋体" w:cs="宋体"/>
          <w:spacing w:val="6"/>
          <w:sz w:val="31"/>
          <w:szCs w:val="31"/>
        </w:rPr>
        <w:t>）控制噪声的传播和反射：</w:t>
      </w:r>
    </w:p>
    <w:p w14:paraId="5EB63F32">
      <w:pPr>
        <w:spacing w:before="180" w:line="319" w:lineRule="auto"/>
        <w:ind w:left="2" w:right="2" w:firstLine="63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a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、吸声：采用多孔材料如玻璃棉、矿渣棉、泡沫塑料、毛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毡棉絮等，装饰在室内墙壁上或悬挂在空间，或制成吸声屏；</w:t>
      </w:r>
    </w:p>
    <w:p w14:paraId="63F42586">
      <w:pPr>
        <w:spacing w:before="2" w:line="308" w:lineRule="auto"/>
        <w:ind w:right="2" w:firstLine="62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b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、消声：适用于降低空气动力性噪声，如各种风机、空压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机、内燃机等进、排气噪声；</w:t>
      </w:r>
    </w:p>
    <w:p w14:paraId="4BEAFDEF">
      <w:pPr>
        <w:spacing w:before="132" w:line="320" w:lineRule="auto"/>
        <w:ind w:left="7" w:right="2" w:firstLine="63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c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</w:rPr>
        <w:t>、隔声：用一定材料、结构和装置将声源封闭起来，如隔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声墙、隔声室、隔声罩、隔声门窗地板等。</w:t>
      </w:r>
    </w:p>
    <w:p w14:paraId="737FAA1B">
      <w:pPr>
        <w:spacing w:before="126" w:line="225" w:lineRule="auto"/>
        <w:ind w:left="649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8.1.4  </w:t>
      </w:r>
      <w:r>
        <w:rPr>
          <w:rFonts w:ascii="宋体" w:hAnsi="宋体" w:eastAsia="宋体" w:cs="宋体"/>
          <w:spacing w:val="4"/>
          <w:sz w:val="31"/>
          <w:szCs w:val="31"/>
        </w:rPr>
        <w:t>社会噪声治理</w:t>
      </w:r>
    </w:p>
    <w:p w14:paraId="41734E64">
      <w:pPr>
        <w:spacing w:before="204" w:line="225" w:lineRule="auto"/>
        <w:ind w:right="2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）工商部门加强市场规范化建设和管理，控制自由市场</w:t>
      </w:r>
    </w:p>
    <w:p w14:paraId="5429C1D5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84" w:type="default"/>
          <w:pgSz w:w="11906" w:h="16839"/>
          <w:pgMar w:top="1431" w:right="1473" w:bottom="1151" w:left="1597" w:header="0" w:footer="989" w:gutter="0"/>
          <w:cols w:space="720" w:num="1"/>
        </w:sectPr>
      </w:pPr>
    </w:p>
    <w:p w14:paraId="1FF2D5C6">
      <w:pPr>
        <w:pStyle w:val="2"/>
        <w:spacing w:line="245" w:lineRule="auto"/>
      </w:pPr>
    </w:p>
    <w:p w14:paraId="390F2FEB">
      <w:pPr>
        <w:pStyle w:val="2"/>
        <w:spacing w:line="246" w:lineRule="auto"/>
      </w:pPr>
    </w:p>
    <w:p w14:paraId="5D338DA3">
      <w:pPr>
        <w:pStyle w:val="2"/>
        <w:spacing w:line="246" w:lineRule="auto"/>
      </w:pPr>
    </w:p>
    <w:p w14:paraId="4445B3BA">
      <w:pPr>
        <w:spacing w:before="100" w:line="226" w:lineRule="auto"/>
        <w:ind w:left="1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4"/>
          <w:sz w:val="31"/>
          <w:szCs w:val="31"/>
        </w:rPr>
        <w:t>噪声；</w:t>
      </w:r>
    </w:p>
    <w:p w14:paraId="299538C8">
      <w:pPr>
        <w:spacing w:before="179" w:line="279" w:lineRule="auto"/>
        <w:ind w:right="110" w:firstLine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）公安、文化、环境等部门应联合行动，整顿饮食服务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业尤其是歌厅、舞厅等文化娱乐场所，控制噪声扰民；</w:t>
      </w:r>
    </w:p>
    <w:p w14:paraId="782954E7">
      <w:pPr>
        <w:spacing w:before="183" w:line="297" w:lineRule="auto"/>
        <w:ind w:left="2" w:right="107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）引导群众力量，管住管好商业噪声。建筑施工噪声的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治理。一是按建筑施工场界噪声标准要求，对施工时间作出严格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规定，对违反规定的依法严肃处理；</w:t>
      </w:r>
    </w:p>
    <w:p w14:paraId="2CFE8980">
      <w:pPr>
        <w:spacing w:before="184" w:line="225" w:lineRule="auto"/>
        <w:ind w:left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4</w:t>
      </w:r>
      <w:r>
        <w:rPr>
          <w:rFonts w:ascii="宋体" w:hAnsi="宋体" w:eastAsia="宋体" w:cs="宋体"/>
          <w:spacing w:val="7"/>
          <w:sz w:val="31"/>
          <w:szCs w:val="31"/>
        </w:rPr>
        <w:t>）开展创文明工地树文明形象活动。</w:t>
      </w:r>
    </w:p>
    <w:p w14:paraId="1FFAE794">
      <w:pPr>
        <w:spacing w:before="179" w:line="312" w:lineRule="auto"/>
        <w:ind w:left="3" w:right="107" w:firstLine="6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</w:t>
      </w:r>
      <w:r>
        <w:rPr>
          <w:rFonts w:ascii="宋体" w:hAnsi="宋体" w:eastAsia="宋体" w:cs="宋体"/>
          <w:spacing w:val="10"/>
          <w:sz w:val="31"/>
          <w:szCs w:val="31"/>
        </w:rPr>
        <w:t>）充分利用广播、电视等新闻媒介的舆论监督和导向作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用，报导噪声污染防治的先进典型，揭露和批评破坏环境的违法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行为，以此产生轰动效应，提高企事业单位和个体业户遵守法律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的自觉性，采取悬挂过街彩、立公益广告牌等群众乐于接受的方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式，突出重点，贴进生活，提高公众的环境意识和参与意</w:t>
      </w:r>
      <w:r>
        <w:rPr>
          <w:rFonts w:ascii="宋体" w:hAnsi="宋体" w:eastAsia="宋体" w:cs="宋体"/>
          <w:spacing w:val="8"/>
          <w:sz w:val="31"/>
          <w:szCs w:val="31"/>
        </w:rPr>
        <w:t>识。</w:t>
      </w:r>
    </w:p>
    <w:p w14:paraId="45AC1F1D">
      <w:pPr>
        <w:spacing w:before="263" w:line="226" w:lineRule="auto"/>
        <w:ind w:left="649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8.1.5  </w:t>
      </w:r>
      <w:r>
        <w:rPr>
          <w:rFonts w:ascii="宋体" w:hAnsi="宋体" w:eastAsia="宋体" w:cs="宋体"/>
          <w:spacing w:val="6"/>
          <w:sz w:val="31"/>
          <w:szCs w:val="31"/>
        </w:rPr>
        <w:t>施工噪声的预防及消减</w:t>
      </w:r>
    </w:p>
    <w:p w14:paraId="199F059C">
      <w:pPr>
        <w:spacing w:before="204" w:line="306" w:lineRule="auto"/>
        <w:ind w:left="1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）加强施工管理，提高施工人员环保意识。施工单位应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2"/>
          <w:sz w:val="31"/>
          <w:szCs w:val="31"/>
        </w:rPr>
        <w:t>当根据建筑施工噪声污染防治方案，按照建设项目的性质、规模、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特点和施工现场条件、施工所用机械、作业时间安排等情况，采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取相应的建筑施工污染防治措施，并保持防治设施的正常使用。</w:t>
      </w:r>
    </w:p>
    <w:p w14:paraId="55C4323D">
      <w:pPr>
        <w:spacing w:before="183" w:line="306" w:lineRule="auto"/>
        <w:ind w:left="2" w:right="110" w:firstLine="6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）合理使用施工机械，改进施工方法。施工单位在施工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过程中应当合理布局和使用施工机械，妥善安排作业时间。施工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中应当使用低噪声的施工机械和其他辅助施工设备，对高噪声施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工机械采取必要的降噪措施。</w:t>
      </w:r>
    </w:p>
    <w:p w14:paraId="0B737EC1">
      <w:pPr>
        <w:spacing w:before="181" w:line="225" w:lineRule="auto"/>
        <w:ind w:left="6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）采取合理措施，在传播途径上控制噪声。利用吸声材</w:t>
      </w:r>
    </w:p>
    <w:p w14:paraId="7F10B808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85" w:type="default"/>
          <w:pgSz w:w="11906" w:h="16839"/>
          <w:pgMar w:top="1431" w:right="1365" w:bottom="1151" w:left="1597" w:header="0" w:footer="989" w:gutter="0"/>
          <w:cols w:space="720" w:num="1"/>
        </w:sectPr>
      </w:pPr>
    </w:p>
    <w:p w14:paraId="1849CB65">
      <w:pPr>
        <w:pStyle w:val="2"/>
        <w:spacing w:line="246" w:lineRule="auto"/>
      </w:pPr>
    </w:p>
    <w:p w14:paraId="2B2431C4">
      <w:pPr>
        <w:pStyle w:val="2"/>
        <w:spacing w:line="246" w:lineRule="auto"/>
      </w:pPr>
    </w:p>
    <w:p w14:paraId="4B790B0E">
      <w:pPr>
        <w:pStyle w:val="2"/>
        <w:spacing w:line="247" w:lineRule="auto"/>
      </w:pPr>
    </w:p>
    <w:p w14:paraId="1DA9704D">
      <w:pPr>
        <w:spacing w:before="101" w:line="327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料和吸声结构吸收通过的声音，减少室内噪声的反射来降</w:t>
      </w:r>
      <w:r>
        <w:rPr>
          <w:rFonts w:ascii="宋体" w:hAnsi="宋体" w:eastAsia="宋体" w:cs="宋体"/>
          <w:spacing w:val="3"/>
          <w:sz w:val="31"/>
          <w:szCs w:val="31"/>
        </w:rPr>
        <w:t>低噪声。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把发声的物体、场所用隔声材料封闭起来与周围隔绝。防止振动  能量从振源传递出去。用内摩擦损耗大的一些材料来消耗金属板</w:t>
      </w:r>
      <w:r>
        <w:rPr>
          <w:rFonts w:ascii="宋体" w:hAnsi="宋体" w:eastAsia="宋体" w:cs="宋体"/>
          <w:spacing w:val="6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0"/>
          <w:sz w:val="31"/>
          <w:szCs w:val="31"/>
        </w:rPr>
        <w:t>的振动能量并变成热能散失掉，从而抑制金属伴随的弯曲振动，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使辐射噪声大幅度消减。</w:t>
      </w:r>
    </w:p>
    <w:p w14:paraId="6ECFCD53">
      <w:pPr>
        <w:spacing w:before="131" w:line="226" w:lineRule="auto"/>
        <w:ind w:left="639"/>
        <w:outlineLvl w:val="1"/>
        <w:rPr>
          <w:rFonts w:ascii="宋体" w:hAnsi="宋体" w:eastAsia="宋体" w:cs="宋体"/>
          <w:sz w:val="31"/>
          <w:szCs w:val="31"/>
        </w:rPr>
      </w:pPr>
      <w:bookmarkStart w:id="116" w:name="bookmark72"/>
      <w:bookmarkEnd w:id="116"/>
      <w:bookmarkStart w:id="117" w:name="bookmark71"/>
      <w:bookmarkEnd w:id="117"/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8.2</w:t>
      </w:r>
      <w:r>
        <w:rPr>
          <w:rFonts w:ascii="Times New Roman" w:hAnsi="Times New Roman" w:eastAsia="Times New Roman" w:cs="Times New Roman"/>
          <w:b/>
          <w:bCs/>
          <w:spacing w:val="11"/>
          <w:sz w:val="31"/>
          <w:szCs w:val="31"/>
        </w:rPr>
        <w:t xml:space="preserve">  </w:t>
      </w:r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建议</w:t>
      </w:r>
    </w:p>
    <w:p w14:paraId="70DA5552">
      <w:pPr>
        <w:spacing w:before="200" w:line="306" w:lineRule="auto"/>
        <w:ind w:left="2" w:right="272" w:firstLine="6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宋体" w:hAnsi="宋体" w:eastAsia="宋体" w:cs="宋体"/>
          <w:spacing w:val="10"/>
          <w:sz w:val="31"/>
          <w:szCs w:val="31"/>
        </w:rPr>
        <w:t>）通过规划的实施，要求各功能区达到国家规定标准，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工业噪声、建筑施工噪声、交通噪声、社会生活噪声污染得到有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效控制，城市声环境质量有所改善，噪声扰民问题明显缓解，为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人民群众营造舒适、安静的生活环境和工作环境。</w:t>
      </w:r>
    </w:p>
    <w:p w14:paraId="158829A7">
      <w:pPr>
        <w:spacing w:before="185" w:line="297" w:lineRule="auto"/>
        <w:ind w:right="269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宋体" w:hAnsi="宋体" w:eastAsia="宋体" w:cs="宋体"/>
          <w:spacing w:val="10"/>
          <w:sz w:val="31"/>
          <w:szCs w:val="31"/>
        </w:rPr>
        <w:t>）根据开化县中心城区的建设和发展规模，结合城市总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体功能布局，根据噪声环境功能区划结果，开展噪声达标区建设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工作，提高噪声达标区覆盖率。</w:t>
      </w:r>
    </w:p>
    <w:p w14:paraId="7A237185">
      <w:pPr>
        <w:spacing w:before="184" w:line="279" w:lineRule="auto"/>
        <w:ind w:left="6" w:right="272" w:firstLine="6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</w:t>
      </w:r>
      <w:r>
        <w:rPr>
          <w:rFonts w:ascii="宋体" w:hAnsi="宋体" w:eastAsia="宋体" w:cs="宋体"/>
          <w:spacing w:val="10"/>
          <w:sz w:val="31"/>
          <w:szCs w:val="31"/>
        </w:rPr>
        <w:t>）在今后的城市规划及旧城改造中，加宽道路，在道路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旁选择适当的树种进行绿化。</w:t>
      </w:r>
    </w:p>
    <w:p w14:paraId="3C9639C7">
      <w:pPr>
        <w:spacing w:before="183" w:line="306" w:lineRule="auto"/>
        <w:ind w:right="207" w:firstLine="65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</w:t>
      </w:r>
      <w:r>
        <w:rPr>
          <w:rFonts w:ascii="宋体" w:hAnsi="宋体" w:eastAsia="宋体" w:cs="宋体"/>
          <w:spacing w:val="10"/>
          <w:sz w:val="31"/>
          <w:szCs w:val="31"/>
        </w:rPr>
        <w:t>）在今后开化县国土空间规划和总体设计时，对各种交</w:t>
      </w:r>
      <w:r>
        <w:rPr>
          <w:rFonts w:ascii="宋体" w:hAnsi="宋体" w:eastAsia="宋体" w:cs="宋体"/>
          <w:spacing w:val="1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通干线和噪声源进行合理布局，一些要求安静的区域，如医院、</w:t>
      </w:r>
      <w:r>
        <w:rPr>
          <w:rFonts w:ascii="宋体" w:hAnsi="宋体" w:eastAsia="宋体" w:cs="宋体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学校、办公楼等，应与交通干线和工业区保持一定的距离，以利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</w:rPr>
        <w:t>用环境的自然衰减来降低噪声。</w:t>
      </w:r>
    </w:p>
    <w:p w14:paraId="209B5C0A">
      <w:pPr>
        <w:spacing w:line="306" w:lineRule="auto"/>
        <w:rPr>
          <w:rFonts w:ascii="宋体" w:hAnsi="宋体" w:eastAsia="宋体" w:cs="宋体"/>
          <w:sz w:val="31"/>
          <w:szCs w:val="31"/>
        </w:rPr>
        <w:sectPr>
          <w:footerReference r:id="rId86" w:type="default"/>
          <w:pgSz w:w="11906" w:h="16839"/>
          <w:pgMar w:top="1431" w:right="1203" w:bottom="1151" w:left="1598" w:header="0" w:footer="989" w:gutter="0"/>
          <w:cols w:space="720" w:num="1"/>
        </w:sectPr>
      </w:pPr>
    </w:p>
    <w:p w14:paraId="4127D55D">
      <w:pPr>
        <w:pStyle w:val="2"/>
        <w:spacing w:line="271" w:lineRule="auto"/>
      </w:pPr>
    </w:p>
    <w:p w14:paraId="12F12B7F">
      <w:pPr>
        <w:pStyle w:val="2"/>
        <w:spacing w:line="272" w:lineRule="auto"/>
      </w:pPr>
    </w:p>
    <w:p w14:paraId="55741A2A">
      <w:pPr>
        <w:pStyle w:val="2"/>
        <w:spacing w:line="272" w:lineRule="auto"/>
      </w:pPr>
    </w:p>
    <w:p w14:paraId="2BF85FB5">
      <w:pPr>
        <w:spacing w:before="100" w:line="225" w:lineRule="auto"/>
        <w:ind w:left="678"/>
        <w:outlineLvl w:val="0"/>
        <w:rPr>
          <w:rFonts w:ascii="宋体" w:hAnsi="宋体" w:eastAsia="宋体" w:cs="宋体"/>
          <w:sz w:val="31"/>
          <w:szCs w:val="31"/>
        </w:rPr>
      </w:pPr>
      <w:bookmarkStart w:id="118" w:name="bookmark74"/>
      <w:bookmarkEnd w:id="118"/>
      <w:bookmarkStart w:id="119" w:name="bookmark76"/>
      <w:bookmarkEnd w:id="119"/>
      <w:bookmarkStart w:id="120" w:name="bookmark73"/>
      <w:bookmarkEnd w:id="120"/>
      <w:r>
        <w:rPr>
          <w:rFonts w:ascii="宋体" w:hAnsi="宋体" w:eastAsia="宋体" w:cs="宋体"/>
          <w:b/>
          <w:bCs/>
          <w:spacing w:val="-12"/>
          <w:sz w:val="31"/>
          <w:szCs w:val="31"/>
        </w:rPr>
        <w:t>附录</w:t>
      </w:r>
    </w:p>
    <w:p w14:paraId="27C54359">
      <w:pPr>
        <w:spacing w:before="281" w:line="310" w:lineRule="auto"/>
        <w:ind w:left="43" w:right="69" w:firstLine="634"/>
        <w:outlineLvl w:val="1"/>
        <w:rPr>
          <w:rFonts w:ascii="宋体" w:hAnsi="宋体" w:eastAsia="宋体" w:cs="宋体"/>
          <w:sz w:val="31"/>
          <w:szCs w:val="31"/>
        </w:rPr>
      </w:pPr>
      <w:bookmarkStart w:id="121" w:name="bookmark75"/>
      <w:bookmarkEnd w:id="121"/>
      <w:r>
        <w:rPr>
          <w:rFonts w:ascii="宋体" w:hAnsi="宋体" w:eastAsia="宋体" w:cs="宋体"/>
          <w:b/>
          <w:bCs/>
          <w:spacing w:val="5"/>
          <w:sz w:val="31"/>
          <w:szCs w:val="31"/>
        </w:rPr>
        <w:t>附图</w:t>
      </w:r>
      <w:r>
        <w:rPr>
          <w:rFonts w:ascii="宋体" w:hAnsi="宋体" w:eastAsia="宋体" w:cs="宋体"/>
          <w:spacing w:val="-3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b/>
          <w:bCs/>
          <w:spacing w:val="-34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：《开化县国土空间总体规划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 xml:space="preserve">(2021-2035 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年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)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》</w:t>
      </w:r>
      <w:r>
        <w:rPr>
          <w:rFonts w:ascii="Times New Roman" w:hAnsi="Times New Roman" w:eastAsia="Times New Roman" w:cs="Times New Roman"/>
          <w:b/>
          <w:bCs/>
          <w:spacing w:val="5"/>
          <w:sz w:val="31"/>
          <w:szCs w:val="31"/>
        </w:rPr>
        <w:t>-</w:t>
      </w: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县域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bookmarkStart w:id="122" w:name="bookmark75"/>
      <w:bookmarkEnd w:id="122"/>
      <w:r>
        <w:rPr>
          <w:rFonts w:ascii="宋体" w:hAnsi="宋体" w:eastAsia="宋体" w:cs="宋体"/>
          <w:b/>
          <w:bCs/>
          <w:spacing w:val="3"/>
          <w:sz w:val="31"/>
          <w:szCs w:val="31"/>
        </w:rPr>
        <w:t>国土空间控制性规划图</w:t>
      </w:r>
    </w:p>
    <w:p w14:paraId="320EA1C5">
      <w:pPr>
        <w:spacing w:before="171" w:line="10411" w:lineRule="exact"/>
      </w:pPr>
      <w:r>
        <w:rPr>
          <w:position w:val="-208"/>
        </w:rPr>
        <w:drawing>
          <wp:inline distT="0" distB="0" distL="0" distR="0">
            <wp:extent cx="5658485" cy="66109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5861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975A">
      <w:pPr>
        <w:spacing w:line="10411" w:lineRule="exact"/>
        <w:sectPr>
          <w:footerReference r:id="rId87" w:type="default"/>
          <w:pgSz w:w="11906" w:h="16839"/>
          <w:pgMar w:top="1431" w:right="1408" w:bottom="1151" w:left="1586" w:header="0" w:footer="989" w:gutter="0"/>
          <w:cols w:space="720" w:num="1"/>
        </w:sectPr>
      </w:pPr>
    </w:p>
    <w:p w14:paraId="58DA4350">
      <w:pPr>
        <w:pStyle w:val="2"/>
        <w:spacing w:line="245" w:lineRule="auto"/>
      </w:pPr>
    </w:p>
    <w:p w14:paraId="154D41D1">
      <w:pPr>
        <w:pStyle w:val="2"/>
        <w:spacing w:line="245" w:lineRule="auto"/>
      </w:pPr>
    </w:p>
    <w:p w14:paraId="2445F8CB">
      <w:pPr>
        <w:pStyle w:val="2"/>
        <w:spacing w:line="246" w:lineRule="auto"/>
      </w:pPr>
    </w:p>
    <w:p w14:paraId="211CB39D">
      <w:pPr>
        <w:spacing w:before="101" w:line="279" w:lineRule="auto"/>
        <w:ind w:right="12" w:firstLine="660"/>
        <w:outlineLvl w:val="1"/>
        <w:rPr>
          <w:rFonts w:ascii="宋体" w:hAnsi="宋体" w:eastAsia="宋体" w:cs="宋体"/>
          <w:sz w:val="31"/>
          <w:szCs w:val="31"/>
        </w:rPr>
      </w:pPr>
      <w:bookmarkStart w:id="123" w:name="bookmark77"/>
      <w:bookmarkEnd w:id="123"/>
      <w:bookmarkStart w:id="124" w:name="bookmark78"/>
      <w:bookmarkEnd w:id="124"/>
      <w:r>
        <w:rPr>
          <w:rFonts w:ascii="宋体" w:hAnsi="宋体" w:eastAsia="宋体" w:cs="宋体"/>
          <w:b/>
          <w:bCs/>
          <w:spacing w:val="4"/>
          <w:sz w:val="31"/>
          <w:szCs w:val="31"/>
        </w:rPr>
        <w:t>附图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b/>
          <w:bCs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：《开化县国土空间总体规划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(2021-2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035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年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)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》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-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乡级</w:t>
      </w:r>
      <w:r>
        <w:rPr>
          <w:rFonts w:ascii="宋体" w:hAnsi="宋体" w:eastAsia="宋体" w:cs="宋体"/>
          <w:sz w:val="31"/>
          <w:szCs w:val="31"/>
        </w:rPr>
        <w:t xml:space="preserve"> </w:t>
      </w:r>
      <w:bookmarkStart w:id="125" w:name="bookmark77"/>
      <w:bookmarkEnd w:id="125"/>
      <w:r>
        <w:rPr>
          <w:rFonts w:ascii="宋体" w:hAnsi="宋体" w:eastAsia="宋体" w:cs="宋体"/>
          <w:b/>
          <w:bCs/>
          <w:spacing w:val="6"/>
          <w:sz w:val="31"/>
          <w:szCs w:val="31"/>
        </w:rPr>
        <w:t>行政主体功能定位分布图</w:t>
      </w:r>
    </w:p>
    <w:p w14:paraId="74834125">
      <w:pPr>
        <w:spacing w:before="121" w:line="10797" w:lineRule="exact"/>
        <w:ind w:firstLine="47"/>
      </w:pPr>
      <w:r>
        <w:rPr>
          <w:position w:val="-215"/>
        </w:rPr>
        <w:drawing>
          <wp:inline distT="0" distB="0" distL="0" distR="0">
            <wp:extent cx="5533390" cy="685609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685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5306">
      <w:pPr>
        <w:spacing w:line="10797" w:lineRule="exact"/>
        <w:sectPr>
          <w:footerReference r:id="rId88" w:type="default"/>
          <w:pgSz w:w="11906" w:h="16839"/>
          <w:pgMar w:top="1431" w:right="1540" w:bottom="1151" w:left="1603" w:header="0" w:footer="989" w:gutter="0"/>
          <w:cols w:space="720" w:num="1"/>
        </w:sectPr>
      </w:pPr>
    </w:p>
    <w:p w14:paraId="006E0AF7">
      <w:pPr>
        <w:pStyle w:val="2"/>
        <w:spacing w:line="245" w:lineRule="auto"/>
      </w:pPr>
    </w:p>
    <w:p w14:paraId="01092078">
      <w:pPr>
        <w:pStyle w:val="2"/>
        <w:spacing w:line="246" w:lineRule="auto"/>
      </w:pPr>
    </w:p>
    <w:p w14:paraId="66388CDA">
      <w:pPr>
        <w:pStyle w:val="2"/>
        <w:spacing w:line="246" w:lineRule="auto"/>
      </w:pPr>
    </w:p>
    <w:p w14:paraId="0B69137C">
      <w:pPr>
        <w:spacing w:before="101" w:line="279" w:lineRule="auto"/>
        <w:ind w:left="5" w:right="62" w:firstLine="665"/>
        <w:outlineLvl w:val="1"/>
        <w:rPr>
          <w:rFonts w:ascii="宋体" w:hAnsi="宋体" w:eastAsia="宋体" w:cs="宋体"/>
          <w:sz w:val="31"/>
          <w:szCs w:val="31"/>
        </w:rPr>
      </w:pPr>
      <w:bookmarkStart w:id="126" w:name="bookmark79"/>
      <w:bookmarkEnd w:id="126"/>
      <w:bookmarkStart w:id="127" w:name="bookmark80"/>
      <w:bookmarkEnd w:id="127"/>
      <w:r>
        <w:rPr>
          <w:rFonts w:ascii="宋体" w:hAnsi="宋体" w:eastAsia="宋体" w:cs="宋体"/>
          <w:b/>
          <w:bCs/>
          <w:spacing w:val="4"/>
          <w:sz w:val="31"/>
          <w:szCs w:val="31"/>
        </w:rPr>
        <w:t>附图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：《开化县国土空间总体规划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>(2021-203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5 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年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)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》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-</w:t>
      </w: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中心</w:t>
      </w:r>
      <w:r>
        <w:rPr>
          <w:rFonts w:ascii="宋体" w:hAnsi="宋体" w:eastAsia="宋体" w:cs="宋体"/>
          <w:sz w:val="31"/>
          <w:szCs w:val="31"/>
        </w:rPr>
        <w:t xml:space="preserve"> </w:t>
      </w:r>
      <w:bookmarkStart w:id="128" w:name="bookmark79"/>
      <w:bookmarkEnd w:id="128"/>
      <w:r>
        <w:rPr>
          <w:rFonts w:ascii="宋体" w:hAnsi="宋体" w:eastAsia="宋体" w:cs="宋体"/>
          <w:b/>
          <w:bCs/>
          <w:spacing w:val="6"/>
          <w:sz w:val="31"/>
          <w:szCs w:val="31"/>
        </w:rPr>
        <w:t>城区土地使用规划图</w:t>
      </w:r>
    </w:p>
    <w:p w14:paraId="15C2F0A4">
      <w:pPr>
        <w:spacing w:before="144" w:line="11052" w:lineRule="exact"/>
      </w:pPr>
      <w:r>
        <w:rPr>
          <w:position w:val="-221"/>
        </w:rPr>
        <w:drawing>
          <wp:inline distT="0" distB="0" distL="0" distR="0">
            <wp:extent cx="5601970" cy="70173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02223" cy="70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5581">
      <w:pPr>
        <w:spacing w:line="11052" w:lineRule="exact"/>
        <w:sectPr>
          <w:footerReference r:id="rId89" w:type="default"/>
          <w:pgSz w:w="11906" w:h="16839"/>
          <w:pgMar w:top="1431" w:right="1490" w:bottom="1151" w:left="1593" w:header="0" w:footer="989" w:gutter="0"/>
          <w:cols w:space="720" w:num="1"/>
        </w:sectPr>
      </w:pPr>
    </w:p>
    <w:p w14:paraId="6541DD8A">
      <w:pPr>
        <w:pStyle w:val="2"/>
        <w:spacing w:line="245" w:lineRule="auto"/>
      </w:pPr>
    </w:p>
    <w:p w14:paraId="285D9028">
      <w:pPr>
        <w:pStyle w:val="2"/>
        <w:spacing w:line="245" w:lineRule="auto"/>
      </w:pPr>
    </w:p>
    <w:p w14:paraId="59287BB8">
      <w:pPr>
        <w:pStyle w:val="2"/>
        <w:spacing w:line="246" w:lineRule="auto"/>
      </w:pPr>
    </w:p>
    <w:p w14:paraId="3AD786AC">
      <w:pPr>
        <w:spacing w:before="101" w:line="225" w:lineRule="auto"/>
        <w:ind w:left="678"/>
        <w:outlineLvl w:val="1"/>
        <w:rPr>
          <w:rFonts w:ascii="宋体" w:hAnsi="宋体" w:eastAsia="宋体" w:cs="宋体"/>
          <w:sz w:val="31"/>
          <w:szCs w:val="31"/>
        </w:rPr>
      </w:pPr>
      <w:bookmarkStart w:id="129" w:name="bookmark82"/>
      <w:bookmarkEnd w:id="129"/>
      <w:bookmarkStart w:id="130" w:name="bookmark81"/>
      <w:bookmarkEnd w:id="130"/>
      <w:r>
        <w:rPr>
          <w:rFonts w:ascii="宋体" w:hAnsi="宋体" w:eastAsia="宋体" w:cs="宋体"/>
          <w:b/>
          <w:bCs/>
          <w:spacing w:val="1"/>
          <w:sz w:val="31"/>
          <w:szCs w:val="31"/>
        </w:rPr>
        <w:t>附图</w:t>
      </w:r>
      <w:r>
        <w:rPr>
          <w:rFonts w:ascii="宋体" w:hAnsi="宋体" w:eastAsia="宋体" w:cs="宋体"/>
          <w:spacing w:val="-5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b/>
          <w:bCs/>
          <w:spacing w:val="-39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31"/>
          <w:szCs w:val="31"/>
        </w:rPr>
        <w:t>：开化县声环境功能区划图</w:t>
      </w:r>
    </w:p>
    <w:p w14:paraId="0CDC7B1A">
      <w:pPr>
        <w:spacing w:before="15" w:line="11947" w:lineRule="exact"/>
      </w:pPr>
      <w:r>
        <w:rPr>
          <w:position w:val="-238"/>
        </w:rPr>
        <w:drawing>
          <wp:inline distT="0" distB="0" distL="0" distR="0">
            <wp:extent cx="5579110" cy="75863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79363" cy="75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F1C5">
      <w:pPr>
        <w:spacing w:line="11947" w:lineRule="exact"/>
        <w:sectPr>
          <w:footerReference r:id="rId90" w:type="default"/>
          <w:pgSz w:w="11906" w:h="16839"/>
          <w:pgMar w:top="1431" w:right="1533" w:bottom="1151" w:left="1586" w:header="0" w:footer="989" w:gutter="0"/>
          <w:cols w:space="720" w:num="1"/>
        </w:sectPr>
      </w:pPr>
    </w:p>
    <w:p w14:paraId="5C33CE35">
      <w:pPr>
        <w:pStyle w:val="2"/>
        <w:spacing w:line="272" w:lineRule="auto"/>
      </w:pPr>
    </w:p>
    <w:p w14:paraId="7180FB1F">
      <w:pPr>
        <w:pStyle w:val="2"/>
        <w:spacing w:line="272" w:lineRule="auto"/>
      </w:pPr>
    </w:p>
    <w:p w14:paraId="69E37E8F">
      <w:pPr>
        <w:pStyle w:val="2"/>
        <w:spacing w:line="272" w:lineRule="auto"/>
      </w:pPr>
    </w:p>
    <w:p w14:paraId="0D41A1A6">
      <w:pPr>
        <w:pStyle w:val="2"/>
        <w:spacing w:line="272" w:lineRule="auto"/>
      </w:pPr>
    </w:p>
    <w:p w14:paraId="7264FC6A">
      <w:pPr>
        <w:pStyle w:val="2"/>
        <w:spacing w:line="273" w:lineRule="auto"/>
      </w:pPr>
    </w:p>
    <w:p w14:paraId="23A35883">
      <w:pPr>
        <w:spacing w:before="101" w:line="225" w:lineRule="auto"/>
        <w:ind w:left="785"/>
        <w:outlineLvl w:val="1"/>
        <w:rPr>
          <w:rFonts w:ascii="宋体" w:hAnsi="宋体" w:eastAsia="宋体" w:cs="宋体"/>
          <w:sz w:val="31"/>
          <w:szCs w:val="31"/>
        </w:rPr>
      </w:pPr>
      <w:bookmarkStart w:id="131" w:name="bookmark84"/>
      <w:bookmarkEnd w:id="131"/>
      <w:bookmarkStart w:id="132" w:name="bookmark83"/>
      <w:bookmarkEnd w:id="132"/>
      <w:r>
        <w:rPr>
          <w:rFonts w:ascii="宋体" w:hAnsi="宋体" w:eastAsia="宋体" w:cs="宋体"/>
          <w:b/>
          <w:bCs/>
          <w:spacing w:val="4"/>
          <w:sz w:val="31"/>
          <w:szCs w:val="31"/>
        </w:rPr>
        <w:t>附表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1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功能区声环境监测点位基础信息表</w:t>
      </w:r>
    </w:p>
    <w:p w14:paraId="4B3339ED">
      <w:pPr>
        <w:spacing w:line="88" w:lineRule="auto"/>
        <w:rPr>
          <w:rFonts w:ascii="Arial"/>
          <w:sz w:val="2"/>
        </w:rPr>
      </w:pPr>
    </w:p>
    <w:tbl>
      <w:tblPr>
        <w:tblStyle w:val="5"/>
        <w:tblW w:w="906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4"/>
        <w:gridCol w:w="1297"/>
        <w:gridCol w:w="1652"/>
        <w:gridCol w:w="936"/>
        <w:gridCol w:w="936"/>
        <w:gridCol w:w="2551"/>
        <w:gridCol w:w="754"/>
      </w:tblGrid>
      <w:tr w14:paraId="1D11B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60508AF2">
            <w:pPr>
              <w:spacing w:before="74" w:line="308" w:lineRule="auto"/>
              <w:ind w:left="389" w:right="195" w:hanging="180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5"/>
                <w:sz w:val="18"/>
                <w:szCs w:val="18"/>
              </w:rPr>
              <w:t>行政区</w:t>
            </w:r>
            <w:r>
              <w:rPr>
                <w:rFonts w:ascii="仿宋" w:hAnsi="仿宋" w:eastAsia="仿宋" w:cs="仿宋"/>
                <w:sz w:val="18"/>
                <w:szCs w:val="18"/>
              </w:rPr>
              <w:t xml:space="preserve"> 划</w:t>
            </w:r>
          </w:p>
          <w:p w14:paraId="405D3917">
            <w:pPr>
              <w:spacing w:before="27" w:line="223" w:lineRule="auto"/>
              <w:ind w:left="302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8"/>
                <w:sz w:val="18"/>
                <w:szCs w:val="18"/>
              </w:rPr>
              <w:t>代码</w:t>
            </w:r>
          </w:p>
        </w:tc>
        <w:tc>
          <w:tcPr>
            <w:tcW w:w="1297" w:type="dxa"/>
            <w:vAlign w:val="top"/>
          </w:tcPr>
          <w:p w14:paraId="3EC1D6CC">
            <w:pPr>
              <w:spacing w:line="328" w:lineRule="auto"/>
              <w:rPr>
                <w:rFonts w:ascii="Arial"/>
                <w:sz w:val="21"/>
              </w:rPr>
            </w:pPr>
          </w:p>
          <w:p w14:paraId="2EC12BD1">
            <w:pPr>
              <w:spacing w:before="58" w:line="223" w:lineRule="auto"/>
              <w:ind w:left="296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3"/>
                <w:sz w:val="18"/>
                <w:szCs w:val="18"/>
              </w:rPr>
              <w:t>测点代码</w:t>
            </w:r>
          </w:p>
        </w:tc>
        <w:tc>
          <w:tcPr>
            <w:tcW w:w="1652" w:type="dxa"/>
            <w:vAlign w:val="top"/>
          </w:tcPr>
          <w:p w14:paraId="301CAA99">
            <w:pPr>
              <w:spacing w:line="327" w:lineRule="auto"/>
              <w:rPr>
                <w:rFonts w:ascii="Arial"/>
                <w:sz w:val="21"/>
              </w:rPr>
            </w:pPr>
          </w:p>
          <w:p w14:paraId="3A4DB78A">
            <w:pPr>
              <w:spacing w:before="59" w:line="221" w:lineRule="auto"/>
              <w:ind w:left="475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3"/>
                <w:sz w:val="18"/>
                <w:szCs w:val="18"/>
              </w:rPr>
              <w:t>测点名称</w:t>
            </w:r>
          </w:p>
        </w:tc>
        <w:tc>
          <w:tcPr>
            <w:tcW w:w="936" w:type="dxa"/>
            <w:vAlign w:val="top"/>
          </w:tcPr>
          <w:p w14:paraId="1430FE7F">
            <w:pPr>
              <w:spacing w:line="328" w:lineRule="auto"/>
              <w:rPr>
                <w:rFonts w:ascii="Arial"/>
                <w:sz w:val="21"/>
              </w:rPr>
            </w:pPr>
          </w:p>
          <w:p w14:paraId="63F9FA0F">
            <w:pPr>
              <w:spacing w:before="58" w:line="223" w:lineRule="auto"/>
              <w:ind w:left="116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3"/>
                <w:sz w:val="18"/>
                <w:szCs w:val="18"/>
              </w:rPr>
              <w:t>测点经度</w:t>
            </w:r>
          </w:p>
        </w:tc>
        <w:tc>
          <w:tcPr>
            <w:tcW w:w="936" w:type="dxa"/>
            <w:vAlign w:val="top"/>
          </w:tcPr>
          <w:p w14:paraId="4FD0C99B">
            <w:pPr>
              <w:spacing w:line="327" w:lineRule="auto"/>
              <w:rPr>
                <w:rFonts w:ascii="Arial"/>
                <w:sz w:val="21"/>
              </w:rPr>
            </w:pPr>
          </w:p>
          <w:p w14:paraId="06866EAB">
            <w:pPr>
              <w:spacing w:before="59" w:line="221" w:lineRule="auto"/>
              <w:ind w:left="116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3"/>
                <w:sz w:val="18"/>
                <w:szCs w:val="18"/>
              </w:rPr>
              <w:t>测点纬度</w:t>
            </w:r>
          </w:p>
        </w:tc>
        <w:tc>
          <w:tcPr>
            <w:tcW w:w="2551" w:type="dxa"/>
            <w:vAlign w:val="top"/>
          </w:tcPr>
          <w:p w14:paraId="701225C0">
            <w:pPr>
              <w:spacing w:line="327" w:lineRule="auto"/>
              <w:rPr>
                <w:rFonts w:ascii="Arial"/>
                <w:sz w:val="21"/>
              </w:rPr>
            </w:pPr>
          </w:p>
          <w:p w14:paraId="08EF57FD">
            <w:pPr>
              <w:spacing w:before="59" w:line="221" w:lineRule="auto"/>
              <w:ind w:left="834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3"/>
                <w:sz w:val="18"/>
                <w:szCs w:val="18"/>
              </w:rPr>
              <w:t>测点参照物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2699DBF8">
            <w:pPr>
              <w:spacing w:before="74" w:line="297" w:lineRule="auto"/>
              <w:ind w:left="211" w:right="195"/>
              <w:jc w:val="right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spacing w:val="-8"/>
                <w:sz w:val="18"/>
                <w:szCs w:val="18"/>
              </w:rPr>
              <w:t>功能</w:t>
            </w:r>
            <w:r>
              <w:rPr>
                <w:rFonts w:ascii="仿宋" w:hAnsi="仿宋" w:eastAsia="仿宋" w:cs="仿宋"/>
                <w:sz w:val="18"/>
                <w:szCs w:val="18"/>
              </w:rPr>
              <w:t xml:space="preserve"> </w:t>
            </w:r>
            <w:r>
              <w:rPr>
                <w:rFonts w:ascii="仿宋" w:hAnsi="仿宋" w:eastAsia="仿宋" w:cs="仿宋"/>
                <w:spacing w:val="35"/>
                <w:w w:val="121"/>
                <w:sz w:val="18"/>
                <w:szCs w:val="18"/>
              </w:rPr>
              <w:t>区</w:t>
            </w:r>
            <w:r>
              <w:rPr>
                <w:rFonts w:ascii="仿宋" w:hAnsi="仿宋" w:eastAsia="仿宋" w:cs="仿宋"/>
                <w:sz w:val="18"/>
                <w:szCs w:val="18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18"/>
                <w:szCs w:val="18"/>
              </w:rPr>
              <w:t>代码</w:t>
            </w:r>
          </w:p>
        </w:tc>
      </w:tr>
      <w:tr w14:paraId="12B0F4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610B71B4">
            <w:pPr>
              <w:spacing w:before="100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123AE8B5">
            <w:pPr>
              <w:spacing w:before="100" w:line="188" w:lineRule="auto"/>
              <w:ind w:left="11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330824310008</w:t>
            </w:r>
          </w:p>
        </w:tc>
        <w:tc>
          <w:tcPr>
            <w:tcW w:w="1652" w:type="dxa"/>
            <w:vAlign w:val="top"/>
          </w:tcPr>
          <w:p w14:paraId="04EC3F6A">
            <w:pPr>
              <w:pStyle w:val="6"/>
              <w:spacing w:before="70" w:line="222" w:lineRule="auto"/>
              <w:ind w:left="4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兴岙小区</w:t>
            </w:r>
          </w:p>
        </w:tc>
        <w:tc>
          <w:tcPr>
            <w:tcW w:w="936" w:type="dxa"/>
            <w:vAlign w:val="top"/>
          </w:tcPr>
          <w:p w14:paraId="584013CC">
            <w:pPr>
              <w:pStyle w:val="6"/>
              <w:spacing w:before="98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118.4126</w:t>
            </w:r>
          </w:p>
        </w:tc>
        <w:tc>
          <w:tcPr>
            <w:tcW w:w="936" w:type="dxa"/>
            <w:vAlign w:val="top"/>
          </w:tcPr>
          <w:p w14:paraId="387567E0">
            <w:pPr>
              <w:pStyle w:val="6"/>
              <w:spacing w:before="98" w:line="184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29.1184</w:t>
            </w:r>
          </w:p>
        </w:tc>
        <w:tc>
          <w:tcPr>
            <w:tcW w:w="2551" w:type="dxa"/>
            <w:vAlign w:val="top"/>
          </w:tcPr>
          <w:p w14:paraId="29481299">
            <w:pPr>
              <w:pStyle w:val="6"/>
              <w:spacing w:before="71" w:line="220" w:lineRule="auto"/>
              <w:ind w:left="518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兴岙小区46</w:t>
            </w:r>
            <w:r>
              <w:rPr>
                <w:spacing w:val="-29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号楼顶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55D13BE1">
            <w:pPr>
              <w:pStyle w:val="6"/>
              <w:spacing w:before="98" w:line="184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31</w:t>
            </w:r>
          </w:p>
        </w:tc>
      </w:tr>
      <w:tr w14:paraId="0D405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5C743C68">
            <w:pPr>
              <w:spacing w:before="102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61158693">
            <w:pPr>
              <w:spacing w:before="102" w:line="188" w:lineRule="auto"/>
              <w:ind w:left="11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330824320009</w:t>
            </w:r>
          </w:p>
        </w:tc>
        <w:tc>
          <w:tcPr>
            <w:tcW w:w="1652" w:type="dxa"/>
            <w:vAlign w:val="top"/>
          </w:tcPr>
          <w:p w14:paraId="62338A54">
            <w:pPr>
              <w:pStyle w:val="6"/>
              <w:spacing w:before="71" w:line="221" w:lineRule="auto"/>
              <w:ind w:left="20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金佰汇商业广场</w:t>
            </w:r>
          </w:p>
        </w:tc>
        <w:tc>
          <w:tcPr>
            <w:tcW w:w="936" w:type="dxa"/>
            <w:vAlign w:val="top"/>
          </w:tcPr>
          <w:p w14:paraId="706D77EB">
            <w:pPr>
              <w:pStyle w:val="6"/>
              <w:spacing w:before="98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118.4106</w:t>
            </w:r>
          </w:p>
        </w:tc>
        <w:tc>
          <w:tcPr>
            <w:tcW w:w="936" w:type="dxa"/>
            <w:vAlign w:val="top"/>
          </w:tcPr>
          <w:p w14:paraId="0050BF80">
            <w:pPr>
              <w:pStyle w:val="6"/>
              <w:spacing w:before="98" w:line="184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29.1245</w:t>
            </w:r>
          </w:p>
        </w:tc>
        <w:tc>
          <w:tcPr>
            <w:tcW w:w="2551" w:type="dxa"/>
            <w:vAlign w:val="top"/>
          </w:tcPr>
          <w:p w14:paraId="0E349C73">
            <w:pPr>
              <w:pStyle w:val="6"/>
              <w:spacing w:before="71" w:line="220" w:lineRule="auto"/>
              <w:ind w:left="3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金佰汇文创幼儿园楼顶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18B5C45B">
            <w:pPr>
              <w:pStyle w:val="6"/>
              <w:spacing w:before="99" w:line="183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32</w:t>
            </w:r>
          </w:p>
        </w:tc>
      </w:tr>
      <w:tr w14:paraId="2D153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07DDB3AF">
            <w:pPr>
              <w:spacing w:before="102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1AB9867D">
            <w:pPr>
              <w:spacing w:before="102" w:line="188" w:lineRule="auto"/>
              <w:ind w:left="11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330824330010</w:t>
            </w:r>
          </w:p>
        </w:tc>
        <w:tc>
          <w:tcPr>
            <w:tcW w:w="1652" w:type="dxa"/>
            <w:vAlign w:val="top"/>
          </w:tcPr>
          <w:p w14:paraId="3D4A2B35">
            <w:pPr>
              <w:pStyle w:val="6"/>
              <w:spacing w:before="71" w:line="220" w:lineRule="auto"/>
              <w:ind w:left="487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明峰电子</w:t>
            </w:r>
          </w:p>
        </w:tc>
        <w:tc>
          <w:tcPr>
            <w:tcW w:w="936" w:type="dxa"/>
            <w:vAlign w:val="top"/>
          </w:tcPr>
          <w:p w14:paraId="72C25FD4">
            <w:pPr>
              <w:pStyle w:val="6"/>
              <w:spacing w:before="98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118.3962</w:t>
            </w:r>
          </w:p>
        </w:tc>
        <w:tc>
          <w:tcPr>
            <w:tcW w:w="936" w:type="dxa"/>
            <w:vAlign w:val="top"/>
          </w:tcPr>
          <w:p w14:paraId="1474CCD4">
            <w:pPr>
              <w:pStyle w:val="6"/>
              <w:spacing w:before="99" w:line="183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29.0825</w:t>
            </w:r>
          </w:p>
        </w:tc>
        <w:tc>
          <w:tcPr>
            <w:tcW w:w="2551" w:type="dxa"/>
            <w:vAlign w:val="top"/>
          </w:tcPr>
          <w:p w14:paraId="55ED3836">
            <w:pPr>
              <w:pStyle w:val="6"/>
              <w:spacing w:before="71" w:line="220" w:lineRule="auto"/>
              <w:ind w:left="48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明峰电子办公楼楼顶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0ABB46FA">
            <w:pPr>
              <w:pStyle w:val="6"/>
              <w:spacing w:before="99" w:line="183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33</w:t>
            </w:r>
          </w:p>
        </w:tc>
      </w:tr>
      <w:tr w14:paraId="0B54D0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47AC2DD5">
            <w:pPr>
              <w:spacing w:before="102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446CC39B">
            <w:pPr>
              <w:spacing w:before="102" w:line="188" w:lineRule="auto"/>
              <w:ind w:left="11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330824340011</w:t>
            </w:r>
          </w:p>
        </w:tc>
        <w:tc>
          <w:tcPr>
            <w:tcW w:w="1652" w:type="dxa"/>
            <w:vAlign w:val="top"/>
          </w:tcPr>
          <w:p w14:paraId="3AED3A09">
            <w:pPr>
              <w:pStyle w:val="6"/>
              <w:spacing w:before="73" w:line="222" w:lineRule="auto"/>
              <w:ind w:left="39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园区加油站</w:t>
            </w:r>
          </w:p>
        </w:tc>
        <w:tc>
          <w:tcPr>
            <w:tcW w:w="936" w:type="dxa"/>
            <w:vAlign w:val="top"/>
          </w:tcPr>
          <w:p w14:paraId="7FA32F43">
            <w:pPr>
              <w:pStyle w:val="6"/>
              <w:spacing w:before="101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118.4075</w:t>
            </w:r>
          </w:p>
        </w:tc>
        <w:tc>
          <w:tcPr>
            <w:tcW w:w="936" w:type="dxa"/>
            <w:vAlign w:val="top"/>
          </w:tcPr>
          <w:p w14:paraId="567F5526">
            <w:pPr>
              <w:pStyle w:val="6"/>
              <w:spacing w:before="101" w:line="184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29.0919</w:t>
            </w:r>
          </w:p>
        </w:tc>
        <w:tc>
          <w:tcPr>
            <w:tcW w:w="2551" w:type="dxa"/>
            <w:vAlign w:val="top"/>
          </w:tcPr>
          <w:p w14:paraId="1CE08D1C">
            <w:pPr>
              <w:pStyle w:val="6"/>
              <w:spacing w:before="73" w:line="222" w:lineRule="auto"/>
              <w:ind w:left="84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园区加油站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0553B16B">
            <w:pPr>
              <w:pStyle w:val="6"/>
              <w:spacing w:before="102" w:line="183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34</w:t>
            </w:r>
          </w:p>
        </w:tc>
      </w:tr>
      <w:tr w14:paraId="7A658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444086FC">
            <w:pPr>
              <w:spacing w:before="104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1B065E70">
            <w:pPr>
              <w:spacing w:before="104" w:line="188" w:lineRule="auto"/>
              <w:ind w:left="11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330824310012</w:t>
            </w:r>
          </w:p>
        </w:tc>
        <w:tc>
          <w:tcPr>
            <w:tcW w:w="1652" w:type="dxa"/>
            <w:vAlign w:val="top"/>
          </w:tcPr>
          <w:p w14:paraId="44EE1B32">
            <w:pPr>
              <w:pStyle w:val="6"/>
              <w:spacing w:before="72" w:line="220" w:lineRule="auto"/>
              <w:ind w:left="20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大棚坞贝林小区</w:t>
            </w:r>
          </w:p>
        </w:tc>
        <w:tc>
          <w:tcPr>
            <w:tcW w:w="936" w:type="dxa"/>
            <w:vAlign w:val="top"/>
          </w:tcPr>
          <w:p w14:paraId="1F56E319">
            <w:pPr>
              <w:pStyle w:val="6"/>
              <w:spacing w:before="100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118.4144</w:t>
            </w:r>
          </w:p>
        </w:tc>
        <w:tc>
          <w:tcPr>
            <w:tcW w:w="936" w:type="dxa"/>
            <w:vAlign w:val="top"/>
          </w:tcPr>
          <w:p w14:paraId="6A77B6B8">
            <w:pPr>
              <w:pStyle w:val="6"/>
              <w:spacing w:before="101" w:line="183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29.0927</w:t>
            </w:r>
          </w:p>
        </w:tc>
        <w:tc>
          <w:tcPr>
            <w:tcW w:w="2551" w:type="dxa"/>
            <w:vAlign w:val="top"/>
          </w:tcPr>
          <w:p w14:paraId="3CA32C87">
            <w:pPr>
              <w:pStyle w:val="6"/>
              <w:spacing w:before="72" w:line="220" w:lineRule="auto"/>
              <w:ind w:left="43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贝林小区</w:t>
            </w:r>
            <w:r>
              <w:rPr>
                <w:spacing w:val="-3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51-102</w:t>
            </w:r>
            <w:r>
              <w:rPr>
                <w:spacing w:val="-3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楼顶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153471BD">
            <w:pPr>
              <w:pStyle w:val="6"/>
              <w:spacing w:before="100" w:line="184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31</w:t>
            </w:r>
          </w:p>
        </w:tc>
      </w:tr>
      <w:tr w14:paraId="51246B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16FCCE80">
            <w:pPr>
              <w:spacing w:before="103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0A6BF761">
            <w:pPr>
              <w:spacing w:before="103" w:line="188" w:lineRule="auto"/>
              <w:ind w:left="11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330824310013</w:t>
            </w:r>
          </w:p>
        </w:tc>
        <w:tc>
          <w:tcPr>
            <w:tcW w:w="1652" w:type="dxa"/>
            <w:vAlign w:val="top"/>
          </w:tcPr>
          <w:p w14:paraId="5369DAE0">
            <w:pPr>
              <w:pStyle w:val="6"/>
              <w:spacing w:before="74" w:line="219" w:lineRule="auto"/>
              <w:ind w:left="3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华埠镇政府</w:t>
            </w:r>
          </w:p>
        </w:tc>
        <w:tc>
          <w:tcPr>
            <w:tcW w:w="936" w:type="dxa"/>
            <w:vAlign w:val="top"/>
          </w:tcPr>
          <w:p w14:paraId="5502C68A">
            <w:pPr>
              <w:pStyle w:val="6"/>
              <w:spacing w:before="101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118.3657</w:t>
            </w:r>
          </w:p>
        </w:tc>
        <w:tc>
          <w:tcPr>
            <w:tcW w:w="936" w:type="dxa"/>
            <w:vAlign w:val="top"/>
          </w:tcPr>
          <w:p w14:paraId="5D200204">
            <w:pPr>
              <w:pStyle w:val="6"/>
              <w:spacing w:before="101" w:line="184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29.0133</w:t>
            </w:r>
          </w:p>
        </w:tc>
        <w:tc>
          <w:tcPr>
            <w:tcW w:w="2551" w:type="dxa"/>
            <w:vAlign w:val="top"/>
          </w:tcPr>
          <w:p w14:paraId="7CDEDFF8">
            <w:pPr>
              <w:pStyle w:val="6"/>
              <w:spacing w:before="74" w:line="219" w:lineRule="auto"/>
              <w:ind w:left="65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华埠镇政府楼顶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7A235329">
            <w:pPr>
              <w:pStyle w:val="6"/>
              <w:spacing w:before="101" w:line="184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31</w:t>
            </w:r>
          </w:p>
        </w:tc>
      </w:tr>
      <w:tr w14:paraId="661BB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934" w:type="dxa"/>
            <w:tcBorders>
              <w:left w:val="nil"/>
            </w:tcBorders>
            <w:vAlign w:val="top"/>
          </w:tcPr>
          <w:p w14:paraId="74F0A5B7">
            <w:pPr>
              <w:spacing w:before="260" w:line="188" w:lineRule="auto"/>
              <w:ind w:left="20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>330824</w:t>
            </w:r>
          </w:p>
        </w:tc>
        <w:tc>
          <w:tcPr>
            <w:tcW w:w="1297" w:type="dxa"/>
            <w:vAlign w:val="top"/>
          </w:tcPr>
          <w:p w14:paraId="7EEC9334">
            <w:pPr>
              <w:spacing w:before="260" w:line="188" w:lineRule="auto"/>
              <w:ind w:left="11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330824330014</w:t>
            </w:r>
          </w:p>
        </w:tc>
        <w:tc>
          <w:tcPr>
            <w:tcW w:w="1652" w:type="dxa"/>
            <w:vAlign w:val="top"/>
          </w:tcPr>
          <w:p w14:paraId="6AA128F4">
            <w:pPr>
              <w:pStyle w:val="6"/>
              <w:spacing w:before="73" w:line="285" w:lineRule="auto"/>
              <w:ind w:left="655" w:right="194" w:hanging="45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永六新材料有限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公司</w:t>
            </w:r>
          </w:p>
        </w:tc>
        <w:tc>
          <w:tcPr>
            <w:tcW w:w="936" w:type="dxa"/>
            <w:vAlign w:val="top"/>
          </w:tcPr>
          <w:p w14:paraId="4E6B008D">
            <w:pPr>
              <w:pStyle w:val="6"/>
              <w:spacing w:before="256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118.3963</w:t>
            </w:r>
          </w:p>
        </w:tc>
        <w:tc>
          <w:tcPr>
            <w:tcW w:w="936" w:type="dxa"/>
            <w:vAlign w:val="top"/>
          </w:tcPr>
          <w:p w14:paraId="45E2857D">
            <w:pPr>
              <w:pStyle w:val="6"/>
              <w:spacing w:before="256" w:line="184" w:lineRule="auto"/>
              <w:ind w:left="15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29.0116</w:t>
            </w:r>
          </w:p>
        </w:tc>
        <w:tc>
          <w:tcPr>
            <w:tcW w:w="2551" w:type="dxa"/>
            <w:vAlign w:val="top"/>
          </w:tcPr>
          <w:p w14:paraId="0A051915">
            <w:pPr>
              <w:pStyle w:val="6"/>
              <w:spacing w:before="73" w:line="285" w:lineRule="auto"/>
              <w:ind w:left="1099" w:right="192" w:hanging="89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永六新材料有限公司办公楼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楼顶</w:t>
            </w:r>
          </w:p>
        </w:tc>
        <w:tc>
          <w:tcPr>
            <w:tcW w:w="754" w:type="dxa"/>
            <w:tcBorders>
              <w:right w:val="nil"/>
            </w:tcBorders>
            <w:vAlign w:val="top"/>
          </w:tcPr>
          <w:p w14:paraId="0D0D1462">
            <w:pPr>
              <w:pStyle w:val="6"/>
              <w:spacing w:before="257" w:line="183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33</w:t>
            </w:r>
          </w:p>
        </w:tc>
      </w:tr>
    </w:tbl>
    <w:p w14:paraId="18B10147">
      <w:pPr>
        <w:pStyle w:val="2"/>
      </w:pPr>
    </w:p>
    <w:p w14:paraId="0CF32175">
      <w:pPr>
        <w:sectPr>
          <w:footerReference r:id="rId91" w:type="default"/>
          <w:pgSz w:w="11906" w:h="16839"/>
          <w:pgMar w:top="1431" w:right="1365" w:bottom="1151" w:left="1479" w:header="0" w:footer="989" w:gutter="0"/>
          <w:cols w:space="720" w:num="1"/>
        </w:sectPr>
      </w:pPr>
    </w:p>
    <w:p w14:paraId="2BBFE253">
      <w:pPr>
        <w:pStyle w:val="2"/>
        <w:spacing w:line="258" w:lineRule="auto"/>
      </w:pPr>
    </w:p>
    <w:p w14:paraId="389721FB">
      <w:pPr>
        <w:pStyle w:val="2"/>
        <w:spacing w:line="258" w:lineRule="auto"/>
      </w:pPr>
    </w:p>
    <w:p w14:paraId="79409525">
      <w:pPr>
        <w:pStyle w:val="2"/>
        <w:spacing w:line="258" w:lineRule="auto"/>
      </w:pPr>
    </w:p>
    <w:p w14:paraId="38683EE1">
      <w:pPr>
        <w:pStyle w:val="2"/>
        <w:spacing w:line="259" w:lineRule="auto"/>
      </w:pPr>
    </w:p>
    <w:p w14:paraId="67EBAE72">
      <w:pPr>
        <w:pStyle w:val="2"/>
        <w:spacing w:line="259" w:lineRule="auto"/>
      </w:pPr>
    </w:p>
    <w:p w14:paraId="6AD049E7">
      <w:pPr>
        <w:spacing w:before="100" w:line="225" w:lineRule="auto"/>
        <w:ind w:left="478"/>
        <w:outlineLvl w:val="1"/>
        <w:rPr>
          <w:rFonts w:ascii="宋体" w:hAnsi="宋体" w:eastAsia="宋体" w:cs="宋体"/>
          <w:sz w:val="31"/>
          <w:szCs w:val="31"/>
        </w:rPr>
      </w:pPr>
      <w:bookmarkStart w:id="133" w:name="bookmark86"/>
      <w:bookmarkEnd w:id="133"/>
      <w:bookmarkStart w:id="134" w:name="bookmark85"/>
      <w:bookmarkEnd w:id="134"/>
      <w:r>
        <w:rPr>
          <w:rFonts w:ascii="宋体" w:hAnsi="宋体" w:eastAsia="宋体" w:cs="宋体"/>
          <w:b/>
          <w:bCs/>
          <w:spacing w:val="4"/>
          <w:sz w:val="31"/>
          <w:szCs w:val="31"/>
        </w:rPr>
        <w:t>附表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4"/>
          <w:sz w:val="31"/>
          <w:szCs w:val="31"/>
        </w:rPr>
        <w:t xml:space="preserve">2  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功能区声环境监测点位基础信息表</w:t>
      </w:r>
    </w:p>
    <w:p w14:paraId="1DAD29FE">
      <w:pPr>
        <w:spacing w:line="84" w:lineRule="auto"/>
        <w:rPr>
          <w:rFonts w:ascii="Arial"/>
          <w:sz w:val="2"/>
        </w:rPr>
      </w:pPr>
    </w:p>
    <w:tbl>
      <w:tblPr>
        <w:tblStyle w:val="5"/>
        <w:tblW w:w="8178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89"/>
      </w:tblGrid>
      <w:tr w14:paraId="4DFEE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658D851F">
            <w:pPr>
              <w:spacing w:before="224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测点名称：兴岙小区</w:t>
            </w:r>
          </w:p>
        </w:tc>
        <w:tc>
          <w:tcPr>
            <w:tcW w:w="4089" w:type="dxa"/>
            <w:vAlign w:val="top"/>
          </w:tcPr>
          <w:p w14:paraId="1341A578">
            <w:pPr>
              <w:spacing w:before="224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330824310008</w:t>
            </w:r>
          </w:p>
        </w:tc>
      </w:tr>
      <w:tr w14:paraId="6D4830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4089" w:type="dxa"/>
            <w:vAlign w:val="top"/>
          </w:tcPr>
          <w:p w14:paraId="62032042">
            <w:pPr>
              <w:spacing w:before="222" w:line="231" w:lineRule="auto"/>
              <w:ind w:left="1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地点：兴岙小区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46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号</w:t>
            </w:r>
          </w:p>
        </w:tc>
        <w:tc>
          <w:tcPr>
            <w:tcW w:w="4089" w:type="dxa"/>
            <w:vAlign w:val="top"/>
          </w:tcPr>
          <w:p w14:paraId="7E276AE0">
            <w:pPr>
              <w:spacing w:before="221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31</w:t>
            </w:r>
          </w:p>
        </w:tc>
      </w:tr>
      <w:tr w14:paraId="075A6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37E38478">
            <w:pPr>
              <w:spacing w:before="221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118°24′21.9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″</w:t>
            </w:r>
          </w:p>
        </w:tc>
        <w:tc>
          <w:tcPr>
            <w:tcW w:w="4089" w:type="dxa"/>
            <w:vAlign w:val="top"/>
          </w:tcPr>
          <w:p w14:paraId="0D35477E">
            <w:pPr>
              <w:spacing w:before="221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29°6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′46.52″</w:t>
            </w:r>
          </w:p>
        </w:tc>
      </w:tr>
      <w:tr w14:paraId="2F17D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092FBC8E">
            <w:pPr>
              <w:spacing w:before="223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测点参照物：兴岙小区</w:t>
            </w:r>
            <w:r>
              <w:rPr>
                <w:rFonts w:ascii="黑体" w:hAnsi="黑体" w:eastAsia="黑体" w:cs="黑体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46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号楼顶</w:t>
            </w:r>
          </w:p>
        </w:tc>
        <w:tc>
          <w:tcPr>
            <w:tcW w:w="4089" w:type="dxa"/>
            <w:vAlign w:val="top"/>
          </w:tcPr>
          <w:p w14:paraId="776FE211">
            <w:pPr>
              <w:spacing w:before="223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 xml:space="preserve">8 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米</w:t>
            </w:r>
          </w:p>
        </w:tc>
      </w:tr>
      <w:tr w14:paraId="69CBFE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8" w:type="dxa"/>
            <w:gridSpan w:val="2"/>
            <w:vAlign w:val="top"/>
          </w:tcPr>
          <w:p w14:paraId="0AB6AEAD">
            <w:pPr>
              <w:spacing w:before="221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667DD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8178" w:type="dxa"/>
            <w:gridSpan w:val="2"/>
            <w:tcBorders>
              <w:bottom w:val="nil"/>
            </w:tcBorders>
            <w:vAlign w:val="top"/>
          </w:tcPr>
          <w:p w14:paraId="01F81814">
            <w:pPr>
              <w:spacing w:before="134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50611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9" w:hRule="atLeast"/>
        </w:trPr>
        <w:tc>
          <w:tcPr>
            <w:tcW w:w="8178" w:type="dxa"/>
            <w:gridSpan w:val="2"/>
            <w:tcBorders>
              <w:top w:val="nil"/>
            </w:tcBorders>
            <w:vAlign w:val="top"/>
          </w:tcPr>
          <w:p w14:paraId="39EFD5FF">
            <w:pPr>
              <w:spacing w:before="1" w:line="5122" w:lineRule="exact"/>
              <w:ind w:firstLine="108"/>
            </w:pPr>
            <w:r>
              <w:rPr>
                <w:position w:val="-102"/>
              </w:rPr>
              <w:drawing>
                <wp:inline distT="0" distB="0" distL="0" distR="0">
                  <wp:extent cx="4876800" cy="325183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2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279B2">
      <w:pPr>
        <w:pStyle w:val="2"/>
      </w:pPr>
    </w:p>
    <w:p w14:paraId="0096DA52">
      <w:pPr>
        <w:sectPr>
          <w:footerReference r:id="rId92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10ADB842">
      <w:pPr>
        <w:spacing w:before="92"/>
      </w:pPr>
    </w:p>
    <w:p w14:paraId="0D21DF19">
      <w:pPr>
        <w:spacing w:before="91"/>
      </w:pPr>
    </w:p>
    <w:tbl>
      <w:tblPr>
        <w:tblStyle w:val="5"/>
        <w:tblW w:w="8179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90"/>
      </w:tblGrid>
      <w:tr w14:paraId="724CD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71F653BB">
            <w:pPr>
              <w:spacing w:before="226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测点名称：金佰汇商业广场</w:t>
            </w:r>
          </w:p>
        </w:tc>
        <w:tc>
          <w:tcPr>
            <w:tcW w:w="4090" w:type="dxa"/>
            <w:vAlign w:val="top"/>
          </w:tcPr>
          <w:p w14:paraId="19A5735E">
            <w:pPr>
              <w:spacing w:before="226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330824320009</w:t>
            </w:r>
          </w:p>
        </w:tc>
      </w:tr>
      <w:tr w14:paraId="114CC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2F4E7CC6">
            <w:pPr>
              <w:spacing w:before="221" w:line="230" w:lineRule="auto"/>
              <w:ind w:left="1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地点：金佰汇商业广场</w:t>
            </w:r>
          </w:p>
        </w:tc>
        <w:tc>
          <w:tcPr>
            <w:tcW w:w="4090" w:type="dxa"/>
            <w:vAlign w:val="top"/>
          </w:tcPr>
          <w:p w14:paraId="67EB3809">
            <w:pPr>
              <w:spacing w:before="220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32</w:t>
            </w:r>
          </w:p>
        </w:tc>
      </w:tr>
      <w:tr w14:paraId="5189A0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1C4888F2">
            <w:pPr>
              <w:spacing w:before="222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118°24′</w:t>
            </w:r>
            <w:r>
              <w:rPr>
                <w:rFonts w:ascii="Times New Roman" w:hAnsi="Times New Roman" w:eastAsia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13.34″</w:t>
            </w:r>
          </w:p>
        </w:tc>
        <w:tc>
          <w:tcPr>
            <w:tcW w:w="4090" w:type="dxa"/>
            <w:vAlign w:val="top"/>
          </w:tcPr>
          <w:p w14:paraId="2C104C61">
            <w:pPr>
              <w:spacing w:before="222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29°7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′5.82″</w:t>
            </w:r>
          </w:p>
        </w:tc>
      </w:tr>
      <w:tr w14:paraId="4A459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4A9376A6">
            <w:pPr>
              <w:spacing w:before="221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测点参照物：金佰汇文创幼儿园楼顶</w:t>
            </w:r>
          </w:p>
        </w:tc>
        <w:tc>
          <w:tcPr>
            <w:tcW w:w="4090" w:type="dxa"/>
            <w:vAlign w:val="top"/>
          </w:tcPr>
          <w:p w14:paraId="3E7E36AE">
            <w:pPr>
              <w:spacing w:before="221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10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米</w:t>
            </w:r>
          </w:p>
        </w:tc>
      </w:tr>
      <w:tr w14:paraId="188E45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9" w:type="dxa"/>
            <w:gridSpan w:val="2"/>
            <w:vAlign w:val="top"/>
          </w:tcPr>
          <w:p w14:paraId="1E95A81E">
            <w:pPr>
              <w:spacing w:before="222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5051B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8179" w:type="dxa"/>
            <w:gridSpan w:val="2"/>
            <w:tcBorders>
              <w:bottom w:val="nil"/>
            </w:tcBorders>
            <w:vAlign w:val="top"/>
          </w:tcPr>
          <w:p w14:paraId="2194B674">
            <w:pPr>
              <w:spacing w:before="132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3C461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9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2E9FEC0D">
            <w:pPr>
              <w:spacing w:before="1" w:line="4108" w:lineRule="exact"/>
              <w:ind w:firstLine="108"/>
            </w:pPr>
            <w:r>
              <w:rPr>
                <w:position w:val="-82"/>
              </w:rPr>
              <w:drawing>
                <wp:inline distT="0" distB="0" distL="0" distR="0">
                  <wp:extent cx="4403725" cy="2607945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59" cy="260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2E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0E92E868">
            <w:pPr>
              <w:spacing w:line="187" w:lineRule="exact"/>
              <w:rPr>
                <w:rFonts w:ascii="Arial"/>
                <w:sz w:val="16"/>
              </w:rPr>
            </w:pPr>
          </w:p>
        </w:tc>
      </w:tr>
      <w:tr w14:paraId="3581C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8" w:hRule="atLeast"/>
        </w:trPr>
        <w:tc>
          <w:tcPr>
            <w:tcW w:w="8179" w:type="dxa"/>
            <w:gridSpan w:val="2"/>
            <w:tcBorders>
              <w:top w:val="nil"/>
            </w:tcBorders>
            <w:vAlign w:val="top"/>
          </w:tcPr>
          <w:p w14:paraId="3CD7BA70">
            <w:pPr>
              <w:spacing w:before="2" w:line="4930" w:lineRule="exact"/>
              <w:ind w:firstLine="108"/>
            </w:pPr>
            <w:r>
              <w:rPr>
                <w:position w:val="-98"/>
              </w:rPr>
              <w:drawing>
                <wp:inline distT="0" distB="0" distL="0" distR="0">
                  <wp:extent cx="4403725" cy="312991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59" cy="31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1397B">
      <w:pPr>
        <w:pStyle w:val="2"/>
      </w:pPr>
    </w:p>
    <w:p w14:paraId="1A7D115F">
      <w:pPr>
        <w:sectPr>
          <w:footerReference r:id="rId93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0F498A74">
      <w:pPr>
        <w:spacing w:before="92"/>
      </w:pPr>
    </w:p>
    <w:p w14:paraId="4CD9BD63">
      <w:pPr>
        <w:spacing w:before="91"/>
      </w:pPr>
    </w:p>
    <w:tbl>
      <w:tblPr>
        <w:tblStyle w:val="5"/>
        <w:tblW w:w="8179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90"/>
      </w:tblGrid>
      <w:tr w14:paraId="05C0B9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3A718F37">
            <w:pPr>
              <w:spacing w:before="226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测点名称：明峰电子</w:t>
            </w:r>
          </w:p>
        </w:tc>
        <w:tc>
          <w:tcPr>
            <w:tcW w:w="4090" w:type="dxa"/>
            <w:vAlign w:val="top"/>
          </w:tcPr>
          <w:p w14:paraId="5E9EE884">
            <w:pPr>
              <w:spacing w:before="226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330824330010</w:t>
            </w:r>
          </w:p>
        </w:tc>
      </w:tr>
      <w:tr w14:paraId="413DC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574E30CC">
            <w:pPr>
              <w:spacing w:before="221" w:line="230" w:lineRule="auto"/>
              <w:ind w:left="1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地点：开化工业园区银辉路</w:t>
            </w:r>
            <w:r>
              <w:rPr>
                <w:rFonts w:ascii="黑体" w:hAnsi="黑体" w:eastAsia="黑体" w:cs="黑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号</w:t>
            </w:r>
          </w:p>
        </w:tc>
        <w:tc>
          <w:tcPr>
            <w:tcW w:w="4090" w:type="dxa"/>
            <w:vAlign w:val="top"/>
          </w:tcPr>
          <w:p w14:paraId="77327070">
            <w:pPr>
              <w:spacing w:before="220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33</w:t>
            </w:r>
          </w:p>
        </w:tc>
      </w:tr>
      <w:tr w14:paraId="446A6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354A5F32">
            <w:pPr>
              <w:spacing w:before="222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118°23′22.78″</w:t>
            </w:r>
          </w:p>
        </w:tc>
        <w:tc>
          <w:tcPr>
            <w:tcW w:w="4090" w:type="dxa"/>
            <w:vAlign w:val="top"/>
          </w:tcPr>
          <w:p w14:paraId="3761BFA9">
            <w:pPr>
              <w:spacing w:before="222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29°4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′36.78″</w:t>
            </w:r>
          </w:p>
        </w:tc>
      </w:tr>
      <w:tr w14:paraId="51CB1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250DD991">
            <w:pPr>
              <w:spacing w:before="221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测点参照物：明峰电子办公楼楼顶</w:t>
            </w:r>
          </w:p>
        </w:tc>
        <w:tc>
          <w:tcPr>
            <w:tcW w:w="4090" w:type="dxa"/>
            <w:vAlign w:val="top"/>
          </w:tcPr>
          <w:p w14:paraId="77067E7C">
            <w:pPr>
              <w:spacing w:before="221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13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米</w:t>
            </w:r>
          </w:p>
        </w:tc>
      </w:tr>
      <w:tr w14:paraId="2E9BF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9" w:type="dxa"/>
            <w:gridSpan w:val="2"/>
            <w:vAlign w:val="top"/>
          </w:tcPr>
          <w:p w14:paraId="148DB3D6">
            <w:pPr>
              <w:spacing w:before="222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52CB2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179" w:type="dxa"/>
            <w:gridSpan w:val="2"/>
            <w:tcBorders>
              <w:bottom w:val="nil"/>
            </w:tcBorders>
            <w:vAlign w:val="top"/>
          </w:tcPr>
          <w:p w14:paraId="1273F5B6">
            <w:pPr>
              <w:spacing w:before="132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21D483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4" w:hRule="atLeast"/>
        </w:trPr>
        <w:tc>
          <w:tcPr>
            <w:tcW w:w="8179" w:type="dxa"/>
            <w:gridSpan w:val="2"/>
            <w:tcBorders>
              <w:top w:val="nil"/>
            </w:tcBorders>
            <w:vAlign w:val="top"/>
          </w:tcPr>
          <w:p w14:paraId="55AC1AEB">
            <w:pPr>
              <w:spacing w:before="1" w:line="9345" w:lineRule="exact"/>
              <w:ind w:firstLine="108"/>
            </w:pPr>
            <w:r>
              <w:rPr>
                <w:position w:val="-186"/>
              </w:rPr>
              <w:drawing>
                <wp:inline distT="0" distB="0" distL="0" distR="0">
                  <wp:extent cx="4250055" cy="5934075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435" cy="593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D51F9">
      <w:pPr>
        <w:pStyle w:val="2"/>
      </w:pPr>
    </w:p>
    <w:p w14:paraId="629A2450">
      <w:pPr>
        <w:sectPr>
          <w:footerReference r:id="rId94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041957E9">
      <w:pPr>
        <w:spacing w:before="92"/>
      </w:pPr>
    </w:p>
    <w:p w14:paraId="37AC113F">
      <w:pPr>
        <w:spacing w:before="91"/>
      </w:pPr>
    </w:p>
    <w:tbl>
      <w:tblPr>
        <w:tblStyle w:val="5"/>
        <w:tblW w:w="8179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90"/>
      </w:tblGrid>
      <w:tr w14:paraId="13C35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58828FCD">
            <w:pPr>
              <w:spacing w:before="226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测点名称：园区加油站</w:t>
            </w:r>
          </w:p>
        </w:tc>
        <w:tc>
          <w:tcPr>
            <w:tcW w:w="4090" w:type="dxa"/>
            <w:vAlign w:val="top"/>
          </w:tcPr>
          <w:p w14:paraId="4E7E075C">
            <w:pPr>
              <w:spacing w:before="226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330824340011</w:t>
            </w:r>
          </w:p>
        </w:tc>
      </w:tr>
      <w:tr w14:paraId="1B5AD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64B191D7">
            <w:pPr>
              <w:spacing w:before="221" w:line="229" w:lineRule="auto"/>
              <w:ind w:left="1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地点：开化县金溪路</w:t>
            </w:r>
            <w:r>
              <w:rPr>
                <w:rFonts w:ascii="黑体" w:hAnsi="黑体" w:eastAsia="黑体" w:cs="黑体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号</w:t>
            </w:r>
          </w:p>
        </w:tc>
        <w:tc>
          <w:tcPr>
            <w:tcW w:w="4090" w:type="dxa"/>
            <w:vAlign w:val="top"/>
          </w:tcPr>
          <w:p w14:paraId="34CC5D9E">
            <w:pPr>
              <w:spacing w:before="220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34</w:t>
            </w:r>
          </w:p>
        </w:tc>
      </w:tr>
      <w:tr w14:paraId="0036E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2D1530EB">
            <w:pPr>
              <w:spacing w:before="222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118°24′30.0756″</w:t>
            </w:r>
          </w:p>
        </w:tc>
        <w:tc>
          <w:tcPr>
            <w:tcW w:w="4090" w:type="dxa"/>
            <w:vAlign w:val="top"/>
          </w:tcPr>
          <w:p w14:paraId="0F66CF5D">
            <w:pPr>
              <w:spacing w:before="222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29°5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′30.9624″</w:t>
            </w:r>
          </w:p>
        </w:tc>
      </w:tr>
      <w:tr w14:paraId="4B3ABE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1CCDFE80">
            <w:pPr>
              <w:spacing w:before="220" w:line="231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测点参照物：</w:t>
            </w:r>
          </w:p>
        </w:tc>
        <w:tc>
          <w:tcPr>
            <w:tcW w:w="4090" w:type="dxa"/>
            <w:vAlign w:val="top"/>
          </w:tcPr>
          <w:p w14:paraId="774A9EA2">
            <w:pPr>
              <w:spacing w:before="221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 xml:space="preserve">6 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米</w:t>
            </w:r>
          </w:p>
        </w:tc>
      </w:tr>
      <w:tr w14:paraId="59CAB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9" w:type="dxa"/>
            <w:gridSpan w:val="2"/>
            <w:vAlign w:val="top"/>
          </w:tcPr>
          <w:p w14:paraId="4C439D2A">
            <w:pPr>
              <w:spacing w:before="222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0F7E1C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179" w:type="dxa"/>
            <w:gridSpan w:val="2"/>
            <w:tcBorders>
              <w:bottom w:val="nil"/>
            </w:tcBorders>
            <w:vAlign w:val="top"/>
          </w:tcPr>
          <w:p w14:paraId="6E24E3F0">
            <w:pPr>
              <w:spacing w:before="132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5F805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2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22C56A5D">
            <w:pPr>
              <w:spacing w:before="1" w:line="4245" w:lineRule="exact"/>
              <w:ind w:firstLine="108"/>
            </w:pPr>
            <w:r>
              <w:rPr>
                <w:position w:val="-84"/>
              </w:rPr>
              <w:drawing>
                <wp:inline distT="0" distB="0" distL="0" distR="0">
                  <wp:extent cx="5006340" cy="2695575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0" cy="26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52E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2" w:hRule="atLeast"/>
        </w:trPr>
        <w:tc>
          <w:tcPr>
            <w:tcW w:w="8179" w:type="dxa"/>
            <w:gridSpan w:val="2"/>
            <w:tcBorders>
              <w:top w:val="nil"/>
            </w:tcBorders>
            <w:vAlign w:val="top"/>
          </w:tcPr>
          <w:p w14:paraId="225E2A30">
            <w:pPr>
              <w:spacing w:before="2" w:line="4980" w:lineRule="exact"/>
              <w:ind w:firstLine="108"/>
            </w:pPr>
            <w:r>
              <w:rPr>
                <w:position w:val="-99"/>
              </w:rPr>
              <w:drawing>
                <wp:inline distT="0" distB="0" distL="0" distR="0">
                  <wp:extent cx="4892040" cy="316230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57462">
      <w:pPr>
        <w:pStyle w:val="2"/>
      </w:pPr>
    </w:p>
    <w:p w14:paraId="189E42DD">
      <w:pPr>
        <w:sectPr>
          <w:footerReference r:id="rId95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4E573D09">
      <w:pPr>
        <w:spacing w:before="92"/>
      </w:pPr>
    </w:p>
    <w:p w14:paraId="032886B4">
      <w:pPr>
        <w:spacing w:before="91"/>
      </w:pPr>
    </w:p>
    <w:tbl>
      <w:tblPr>
        <w:tblStyle w:val="5"/>
        <w:tblW w:w="8179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90"/>
      </w:tblGrid>
      <w:tr w14:paraId="588DAF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79B7CD8A">
            <w:pPr>
              <w:spacing w:before="226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测点名称：大棚坞贝林小区</w:t>
            </w:r>
          </w:p>
        </w:tc>
        <w:tc>
          <w:tcPr>
            <w:tcW w:w="4090" w:type="dxa"/>
            <w:vAlign w:val="top"/>
          </w:tcPr>
          <w:p w14:paraId="29EF4670">
            <w:pPr>
              <w:spacing w:before="226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330824310012</w:t>
            </w:r>
          </w:p>
        </w:tc>
      </w:tr>
      <w:tr w14:paraId="72E86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23665C31">
            <w:pPr>
              <w:spacing w:before="220" w:line="231" w:lineRule="auto"/>
              <w:ind w:left="1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地点：开化县大棚坞</w:t>
            </w:r>
          </w:p>
        </w:tc>
        <w:tc>
          <w:tcPr>
            <w:tcW w:w="4090" w:type="dxa"/>
            <w:vAlign w:val="top"/>
          </w:tcPr>
          <w:p w14:paraId="2F3BE23E">
            <w:pPr>
              <w:spacing w:before="220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31</w:t>
            </w:r>
          </w:p>
        </w:tc>
      </w:tr>
      <w:tr w14:paraId="57225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5CD9E335">
            <w:pPr>
              <w:spacing w:before="222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118°24′28.09″</w:t>
            </w:r>
          </w:p>
        </w:tc>
        <w:tc>
          <w:tcPr>
            <w:tcW w:w="4090" w:type="dxa"/>
            <w:vAlign w:val="top"/>
          </w:tcPr>
          <w:p w14:paraId="61A10D13">
            <w:pPr>
              <w:spacing w:before="222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29°6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′28.36″</w:t>
            </w:r>
          </w:p>
        </w:tc>
      </w:tr>
      <w:tr w14:paraId="04C6E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76814A37">
            <w:pPr>
              <w:spacing w:before="221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测点参照物：贝林小区</w:t>
            </w:r>
            <w:r>
              <w:rPr>
                <w:rFonts w:ascii="黑体" w:hAnsi="黑体" w:eastAsia="黑体" w:cs="黑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51-102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楼顶</w:t>
            </w:r>
          </w:p>
        </w:tc>
        <w:tc>
          <w:tcPr>
            <w:tcW w:w="4090" w:type="dxa"/>
            <w:vAlign w:val="top"/>
          </w:tcPr>
          <w:p w14:paraId="5BF0A741">
            <w:pPr>
              <w:spacing w:before="221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 xml:space="preserve">6 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米</w:t>
            </w:r>
          </w:p>
        </w:tc>
      </w:tr>
      <w:tr w14:paraId="751AB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9" w:type="dxa"/>
            <w:gridSpan w:val="2"/>
            <w:vAlign w:val="top"/>
          </w:tcPr>
          <w:p w14:paraId="495FFC41">
            <w:pPr>
              <w:spacing w:before="222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26C72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8179" w:type="dxa"/>
            <w:gridSpan w:val="2"/>
            <w:tcBorders>
              <w:bottom w:val="nil"/>
            </w:tcBorders>
            <w:vAlign w:val="top"/>
          </w:tcPr>
          <w:p w14:paraId="5AB9572A">
            <w:pPr>
              <w:spacing w:before="132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5A7EE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9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74EF9BE7">
            <w:pPr>
              <w:spacing w:line="4689" w:lineRule="exact"/>
              <w:ind w:firstLine="108"/>
            </w:pPr>
            <w:r>
              <w:rPr>
                <w:position w:val="-93"/>
              </w:rPr>
              <w:drawing>
                <wp:inline distT="0" distB="0" distL="0" distR="0">
                  <wp:extent cx="3994150" cy="297688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403" cy="297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C3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4" w:hRule="atLeast"/>
        </w:trPr>
        <w:tc>
          <w:tcPr>
            <w:tcW w:w="8179" w:type="dxa"/>
            <w:gridSpan w:val="2"/>
            <w:tcBorders>
              <w:top w:val="nil"/>
            </w:tcBorders>
            <w:vAlign w:val="top"/>
          </w:tcPr>
          <w:p w14:paraId="29BCC97C">
            <w:pPr>
              <w:spacing w:before="60" w:line="4616" w:lineRule="exact"/>
              <w:ind w:firstLine="108"/>
            </w:pPr>
            <w:r>
              <w:rPr>
                <w:position w:val="-92"/>
              </w:rPr>
              <w:drawing>
                <wp:inline distT="0" distB="0" distL="0" distR="0">
                  <wp:extent cx="4046220" cy="2930525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29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EA475">
      <w:pPr>
        <w:pStyle w:val="2"/>
      </w:pPr>
    </w:p>
    <w:p w14:paraId="3C35EA4A">
      <w:pPr>
        <w:sectPr>
          <w:footerReference r:id="rId96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3EAAEDAA">
      <w:pPr>
        <w:spacing w:before="92"/>
      </w:pPr>
    </w:p>
    <w:p w14:paraId="4C6C6F2D">
      <w:pPr>
        <w:spacing w:before="91"/>
      </w:pPr>
    </w:p>
    <w:tbl>
      <w:tblPr>
        <w:tblStyle w:val="5"/>
        <w:tblW w:w="8179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90"/>
      </w:tblGrid>
      <w:tr w14:paraId="5600F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427A6BE4">
            <w:pPr>
              <w:spacing w:before="226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测点名称：华埠镇政府</w:t>
            </w:r>
          </w:p>
        </w:tc>
        <w:tc>
          <w:tcPr>
            <w:tcW w:w="4090" w:type="dxa"/>
            <w:vAlign w:val="top"/>
          </w:tcPr>
          <w:p w14:paraId="2F8599C3">
            <w:pPr>
              <w:spacing w:before="226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330824310013</w:t>
            </w:r>
          </w:p>
        </w:tc>
      </w:tr>
      <w:tr w14:paraId="5AD72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3655E11D">
            <w:pPr>
              <w:spacing w:before="220" w:line="231" w:lineRule="auto"/>
              <w:ind w:left="11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地点：开化县华埠镇华康路</w:t>
            </w:r>
            <w:r>
              <w:rPr>
                <w:rFonts w:ascii="黑体" w:hAnsi="黑体" w:eastAsia="黑体" w:cs="黑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86</w:t>
            </w:r>
          </w:p>
        </w:tc>
        <w:tc>
          <w:tcPr>
            <w:tcW w:w="4090" w:type="dxa"/>
            <w:vAlign w:val="top"/>
          </w:tcPr>
          <w:p w14:paraId="3E38CC17">
            <w:pPr>
              <w:spacing w:before="220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31</w:t>
            </w:r>
          </w:p>
        </w:tc>
      </w:tr>
      <w:tr w14:paraId="7CC02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6C3644C7">
            <w:pPr>
              <w:spacing w:before="222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118°21′32.74″</w:t>
            </w:r>
          </w:p>
        </w:tc>
        <w:tc>
          <w:tcPr>
            <w:tcW w:w="4090" w:type="dxa"/>
            <w:vAlign w:val="top"/>
          </w:tcPr>
          <w:p w14:paraId="38D963EB">
            <w:pPr>
              <w:spacing w:before="222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29°0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′26.32″</w:t>
            </w:r>
          </w:p>
        </w:tc>
      </w:tr>
      <w:tr w14:paraId="49536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33D6EA47">
            <w:pPr>
              <w:spacing w:before="221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测点参照物：华埠镇政府楼顶</w:t>
            </w:r>
          </w:p>
        </w:tc>
        <w:tc>
          <w:tcPr>
            <w:tcW w:w="4090" w:type="dxa"/>
            <w:vAlign w:val="top"/>
          </w:tcPr>
          <w:p w14:paraId="6EEC4BEF">
            <w:pPr>
              <w:spacing w:before="221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18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米</w:t>
            </w:r>
          </w:p>
        </w:tc>
      </w:tr>
      <w:tr w14:paraId="1F623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9" w:type="dxa"/>
            <w:gridSpan w:val="2"/>
            <w:vAlign w:val="top"/>
          </w:tcPr>
          <w:p w14:paraId="4A5B6396">
            <w:pPr>
              <w:spacing w:before="222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53094D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8179" w:type="dxa"/>
            <w:gridSpan w:val="2"/>
            <w:tcBorders>
              <w:bottom w:val="nil"/>
            </w:tcBorders>
            <w:vAlign w:val="top"/>
          </w:tcPr>
          <w:p w14:paraId="70B8AF0F">
            <w:pPr>
              <w:spacing w:before="132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2C748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2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21497D35">
            <w:pPr>
              <w:spacing w:line="3852" w:lineRule="exact"/>
              <w:ind w:firstLine="108"/>
            </w:pPr>
            <w:r>
              <w:rPr>
                <w:position w:val="-77"/>
              </w:rPr>
              <w:drawing>
                <wp:inline distT="0" distB="0" distL="0" distR="0">
                  <wp:extent cx="4096385" cy="244538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11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575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681E23D0">
            <w:pPr>
              <w:spacing w:line="200" w:lineRule="exact"/>
              <w:rPr>
                <w:rFonts w:ascii="Arial"/>
                <w:sz w:val="17"/>
              </w:rPr>
            </w:pPr>
          </w:p>
        </w:tc>
      </w:tr>
      <w:tr w14:paraId="58441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7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5D34F26F">
            <w:pPr>
              <w:spacing w:before="3" w:line="4504" w:lineRule="exact"/>
              <w:ind w:firstLine="108"/>
            </w:pPr>
            <w:r>
              <w:rPr>
                <w:position w:val="-90"/>
              </w:rPr>
              <w:drawing>
                <wp:inline distT="0" distB="0" distL="0" distR="0">
                  <wp:extent cx="4169410" cy="2859405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3" cy="285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03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8179" w:type="dxa"/>
            <w:gridSpan w:val="2"/>
            <w:tcBorders>
              <w:top w:val="nil"/>
            </w:tcBorders>
            <w:vAlign w:val="top"/>
          </w:tcPr>
          <w:p w14:paraId="48B0BD17">
            <w:pPr>
              <w:rPr>
                <w:rFonts w:ascii="Arial"/>
                <w:sz w:val="21"/>
              </w:rPr>
            </w:pPr>
          </w:p>
        </w:tc>
      </w:tr>
    </w:tbl>
    <w:p w14:paraId="3EF96294">
      <w:pPr>
        <w:pStyle w:val="2"/>
      </w:pPr>
    </w:p>
    <w:p w14:paraId="435CFD0C">
      <w:pPr>
        <w:sectPr>
          <w:footerReference r:id="rId97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55A84E24">
      <w:pPr>
        <w:spacing w:before="92"/>
      </w:pPr>
    </w:p>
    <w:p w14:paraId="3A691B43">
      <w:pPr>
        <w:spacing w:before="91"/>
      </w:pPr>
    </w:p>
    <w:tbl>
      <w:tblPr>
        <w:tblStyle w:val="5"/>
        <w:tblW w:w="8179" w:type="dxa"/>
        <w:tblInd w:w="1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9"/>
        <w:gridCol w:w="4090"/>
      </w:tblGrid>
      <w:tr w14:paraId="199938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89" w:type="dxa"/>
            <w:vAlign w:val="top"/>
          </w:tcPr>
          <w:p w14:paraId="5C95B0B5">
            <w:pPr>
              <w:spacing w:before="226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测点名称：永六新材料有限公司</w:t>
            </w:r>
          </w:p>
        </w:tc>
        <w:tc>
          <w:tcPr>
            <w:tcW w:w="4090" w:type="dxa"/>
            <w:vAlign w:val="top"/>
          </w:tcPr>
          <w:p w14:paraId="10AEE599">
            <w:pPr>
              <w:spacing w:before="226" w:line="231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测点代码：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330824330014</w:t>
            </w:r>
          </w:p>
        </w:tc>
      </w:tr>
      <w:tr w14:paraId="5D8496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2164FD2C">
            <w:pPr>
              <w:spacing w:before="221" w:line="231" w:lineRule="auto"/>
              <w:ind w:left="11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地点：开化工业园区杨村片区</w:t>
            </w:r>
          </w:p>
        </w:tc>
        <w:tc>
          <w:tcPr>
            <w:tcW w:w="4090" w:type="dxa"/>
            <w:vAlign w:val="top"/>
          </w:tcPr>
          <w:p w14:paraId="513670E5">
            <w:pPr>
              <w:spacing w:before="220" w:line="231" w:lineRule="auto"/>
              <w:ind w:left="1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功能区代码：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33</w:t>
            </w:r>
          </w:p>
        </w:tc>
      </w:tr>
      <w:tr w14:paraId="312BE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34CEFFD9">
            <w:pPr>
              <w:spacing w:before="222" w:line="230" w:lineRule="auto"/>
              <w:ind w:left="1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经度：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118°23′24.06″</w:t>
            </w:r>
          </w:p>
        </w:tc>
        <w:tc>
          <w:tcPr>
            <w:tcW w:w="4090" w:type="dxa"/>
            <w:vAlign w:val="top"/>
          </w:tcPr>
          <w:p w14:paraId="160DE53D">
            <w:pPr>
              <w:spacing w:before="222" w:line="230" w:lineRule="auto"/>
              <w:ind w:left="1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纬度</w:t>
            </w:r>
            <w:r>
              <w:rPr>
                <w:rFonts w:ascii="黑体" w:hAnsi="黑体" w:eastAsia="黑体" w:cs="黑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：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29°0</w:t>
            </w:r>
            <w:r>
              <w:rPr>
                <w:rFonts w:ascii="Times New Roman" w:hAnsi="Times New Roman" w:eastAsia="Times New Roman" w:cs="Times New Roman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′22.39″</w:t>
            </w:r>
          </w:p>
        </w:tc>
      </w:tr>
      <w:tr w14:paraId="18901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089" w:type="dxa"/>
            <w:vAlign w:val="top"/>
          </w:tcPr>
          <w:p w14:paraId="10255453">
            <w:pPr>
              <w:spacing w:before="221" w:line="229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测点参照物：德源装饰材料办公楼顶</w:t>
            </w:r>
          </w:p>
        </w:tc>
        <w:tc>
          <w:tcPr>
            <w:tcW w:w="4090" w:type="dxa"/>
            <w:vAlign w:val="top"/>
          </w:tcPr>
          <w:p w14:paraId="47A64A0C">
            <w:pPr>
              <w:spacing w:before="221" w:line="230" w:lineRule="auto"/>
              <w:ind w:left="1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测点距地面高度：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13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米</w:t>
            </w:r>
          </w:p>
        </w:tc>
      </w:tr>
      <w:tr w14:paraId="08CE1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179" w:type="dxa"/>
            <w:gridSpan w:val="2"/>
            <w:vAlign w:val="top"/>
          </w:tcPr>
          <w:p w14:paraId="237FCB4B">
            <w:pPr>
              <w:spacing w:before="222" w:line="230" w:lineRule="auto"/>
              <w:ind w:left="1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备注：</w:t>
            </w:r>
          </w:p>
        </w:tc>
      </w:tr>
      <w:tr w14:paraId="60A2D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8179" w:type="dxa"/>
            <w:gridSpan w:val="2"/>
            <w:tcBorders>
              <w:bottom w:val="nil"/>
            </w:tcBorders>
            <w:vAlign w:val="top"/>
          </w:tcPr>
          <w:p w14:paraId="44FA2868">
            <w:pPr>
              <w:spacing w:line="243" w:lineRule="auto"/>
              <w:rPr>
                <w:rFonts w:ascii="Arial"/>
                <w:sz w:val="21"/>
              </w:rPr>
            </w:pPr>
          </w:p>
          <w:p w14:paraId="6E2281FE">
            <w:pPr>
              <w:spacing w:before="65" w:line="230" w:lineRule="auto"/>
              <w:ind w:left="11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测点及周围环境照片</w:t>
            </w:r>
            <w:r>
              <w:rPr>
                <w:rFonts w:ascii="黑体" w:hAnsi="黑体" w:eastAsia="黑体" w:cs="黑体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张</w:t>
            </w:r>
          </w:p>
        </w:tc>
      </w:tr>
      <w:tr w14:paraId="5E3E5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9" w:hRule="atLeast"/>
        </w:trPr>
        <w:tc>
          <w:tcPr>
            <w:tcW w:w="8179" w:type="dxa"/>
            <w:gridSpan w:val="2"/>
            <w:tcBorders>
              <w:top w:val="nil"/>
              <w:bottom w:val="nil"/>
            </w:tcBorders>
            <w:vAlign w:val="top"/>
          </w:tcPr>
          <w:p w14:paraId="3F6BB158">
            <w:pPr>
              <w:spacing w:before="1" w:line="3678" w:lineRule="exact"/>
              <w:ind w:firstLine="108"/>
            </w:pPr>
            <w:r>
              <w:rPr>
                <w:position w:val="-73"/>
              </w:rPr>
              <w:drawing>
                <wp:inline distT="0" distB="0" distL="0" distR="0">
                  <wp:extent cx="3949700" cy="233489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208" cy="233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B13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7" w:hRule="atLeast"/>
        </w:trPr>
        <w:tc>
          <w:tcPr>
            <w:tcW w:w="8179" w:type="dxa"/>
            <w:gridSpan w:val="2"/>
            <w:tcBorders>
              <w:top w:val="nil"/>
            </w:tcBorders>
            <w:vAlign w:val="top"/>
          </w:tcPr>
          <w:p w14:paraId="1C4E95C5">
            <w:pPr>
              <w:spacing w:before="70" w:line="4666" w:lineRule="exact"/>
              <w:ind w:firstLine="108"/>
            </w:pPr>
            <w:r>
              <w:rPr>
                <w:position w:val="-93"/>
              </w:rPr>
              <w:drawing>
                <wp:inline distT="0" distB="0" distL="0" distR="0">
                  <wp:extent cx="3949700" cy="296227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208" cy="29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1A550">
      <w:pPr>
        <w:pStyle w:val="2"/>
      </w:pPr>
    </w:p>
    <w:p w14:paraId="19B7F3ED">
      <w:pPr>
        <w:sectPr>
          <w:footerReference r:id="rId98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290984F9">
      <w:pPr>
        <w:pStyle w:val="2"/>
        <w:spacing w:line="358" w:lineRule="auto"/>
      </w:pPr>
    </w:p>
    <w:p w14:paraId="4D8C71C0">
      <w:pPr>
        <w:pStyle w:val="2"/>
        <w:spacing w:line="359" w:lineRule="auto"/>
      </w:pPr>
    </w:p>
    <w:p w14:paraId="727F79CA">
      <w:pPr>
        <w:spacing w:before="101" w:line="225" w:lineRule="auto"/>
        <w:ind w:left="678"/>
        <w:outlineLvl w:val="1"/>
        <w:rPr>
          <w:rFonts w:ascii="宋体" w:hAnsi="宋体" w:eastAsia="宋体" w:cs="宋体"/>
          <w:sz w:val="31"/>
          <w:szCs w:val="31"/>
        </w:rPr>
      </w:pPr>
      <w:bookmarkStart w:id="135" w:name="bookmark88"/>
      <w:bookmarkEnd w:id="135"/>
      <w:bookmarkStart w:id="136" w:name="bookmark87"/>
      <w:bookmarkEnd w:id="136"/>
      <w:r>
        <w:rPr>
          <w:rFonts w:ascii="宋体" w:hAnsi="宋体" w:eastAsia="宋体" w:cs="宋体"/>
          <w:b/>
          <w:bCs/>
          <w:spacing w:val="-4"/>
          <w:sz w:val="31"/>
          <w:szCs w:val="31"/>
        </w:rPr>
        <w:t>附件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b/>
          <w:bCs/>
          <w:spacing w:val="-39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1"/>
          <w:szCs w:val="31"/>
        </w:rPr>
        <w:t>：专家意见</w:t>
      </w:r>
    </w:p>
    <w:p w14:paraId="0CD00549">
      <w:pPr>
        <w:spacing w:before="102" w:line="11316" w:lineRule="exact"/>
      </w:pPr>
      <w:r>
        <w:rPr>
          <w:position w:val="-226"/>
        </w:rPr>
        <w:drawing>
          <wp:inline distT="0" distB="0" distL="0" distR="0">
            <wp:extent cx="5609590" cy="718502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09843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A95C">
      <w:pPr>
        <w:spacing w:line="11316" w:lineRule="exact"/>
        <w:sectPr>
          <w:footerReference r:id="rId99" w:type="default"/>
          <w:pgSz w:w="11906" w:h="16839"/>
          <w:pgMar w:top="1431" w:right="1485" w:bottom="1151" w:left="1586" w:header="0" w:footer="989" w:gutter="0"/>
          <w:cols w:space="720" w:num="1"/>
        </w:sectPr>
      </w:pPr>
    </w:p>
    <w:p w14:paraId="3961FD9D">
      <w:pPr>
        <w:pStyle w:val="2"/>
        <w:spacing w:line="349" w:lineRule="auto"/>
      </w:pPr>
    </w:p>
    <w:p w14:paraId="11A903C7">
      <w:pPr>
        <w:pStyle w:val="2"/>
        <w:spacing w:line="349" w:lineRule="auto"/>
      </w:pPr>
    </w:p>
    <w:p w14:paraId="4AAB470C">
      <w:pPr>
        <w:spacing w:line="12511" w:lineRule="exact"/>
      </w:pPr>
      <w:r>
        <w:rPr>
          <w:position w:val="-250"/>
        </w:rPr>
        <w:drawing>
          <wp:inline distT="0" distB="0" distL="0" distR="0">
            <wp:extent cx="5612765" cy="79444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79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A35C">
      <w:pPr>
        <w:spacing w:line="12511" w:lineRule="exact"/>
        <w:sectPr>
          <w:footerReference r:id="rId100" w:type="default"/>
          <w:pgSz w:w="11906" w:h="16839"/>
          <w:pgMar w:top="1431" w:right="1480" w:bottom="1151" w:left="1586" w:header="0" w:footer="989" w:gutter="0"/>
          <w:cols w:space="720" w:num="1"/>
        </w:sectPr>
      </w:pPr>
    </w:p>
    <w:p w14:paraId="6C4FE113">
      <w:pPr>
        <w:pStyle w:val="2"/>
        <w:spacing w:line="243" w:lineRule="auto"/>
      </w:pPr>
    </w:p>
    <w:p w14:paraId="7F3AB151">
      <w:pPr>
        <w:pStyle w:val="2"/>
        <w:spacing w:line="244" w:lineRule="auto"/>
      </w:pPr>
    </w:p>
    <w:p w14:paraId="671D1550">
      <w:pPr>
        <w:pStyle w:val="2"/>
        <w:spacing w:line="244" w:lineRule="auto"/>
      </w:pPr>
    </w:p>
    <w:p w14:paraId="5F09A2EB">
      <w:pPr>
        <w:spacing w:line="12125" w:lineRule="exact"/>
      </w:pPr>
      <w:r>
        <w:rPr>
          <w:position w:val="-242"/>
        </w:rPr>
        <w:drawing>
          <wp:inline distT="0" distB="0" distL="0" distR="0">
            <wp:extent cx="5612765" cy="769874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7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E062">
      <w:pPr>
        <w:spacing w:line="12125" w:lineRule="exact"/>
        <w:sectPr>
          <w:footerReference r:id="rId101" w:type="default"/>
          <w:pgSz w:w="11906" w:h="16839"/>
          <w:pgMar w:top="1431" w:right="1480" w:bottom="1151" w:left="1586" w:header="0" w:footer="989" w:gutter="0"/>
          <w:cols w:space="720" w:num="1"/>
        </w:sectPr>
      </w:pPr>
    </w:p>
    <w:p w14:paraId="347C1902">
      <w:pPr>
        <w:pStyle w:val="2"/>
        <w:spacing w:line="245" w:lineRule="auto"/>
      </w:pPr>
    </w:p>
    <w:p w14:paraId="6CBF0E10">
      <w:pPr>
        <w:pStyle w:val="2"/>
        <w:spacing w:line="245" w:lineRule="auto"/>
      </w:pPr>
    </w:p>
    <w:p w14:paraId="7C8F93CA">
      <w:pPr>
        <w:pStyle w:val="2"/>
        <w:spacing w:line="246" w:lineRule="auto"/>
      </w:pPr>
    </w:p>
    <w:p w14:paraId="1AC09EE4">
      <w:pPr>
        <w:spacing w:before="101" w:line="225" w:lineRule="auto"/>
        <w:ind w:left="688"/>
        <w:outlineLvl w:val="1"/>
        <w:rPr>
          <w:rFonts w:ascii="宋体" w:hAnsi="宋体" w:eastAsia="宋体" w:cs="宋体"/>
          <w:sz w:val="31"/>
          <w:szCs w:val="31"/>
        </w:rPr>
      </w:pPr>
      <w:bookmarkStart w:id="137" w:name="bookmark89"/>
      <w:bookmarkEnd w:id="137"/>
      <w:bookmarkStart w:id="138" w:name="bookmark90"/>
      <w:bookmarkEnd w:id="138"/>
      <w:r>
        <w:rPr>
          <w:rFonts w:ascii="宋体" w:hAnsi="宋体" w:eastAsia="宋体" w:cs="宋体"/>
          <w:b/>
          <w:bCs/>
          <w:spacing w:val="-6"/>
          <w:sz w:val="31"/>
          <w:szCs w:val="31"/>
        </w:rPr>
        <w:t>附件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b/>
          <w:bCs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1"/>
          <w:szCs w:val="31"/>
        </w:rPr>
        <w:t>：修改单</w:t>
      </w:r>
    </w:p>
    <w:p w14:paraId="1535A505">
      <w:pPr>
        <w:spacing w:before="80"/>
      </w:pPr>
    </w:p>
    <w:tbl>
      <w:tblPr>
        <w:tblStyle w:val="5"/>
        <w:tblW w:w="886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5983"/>
        <w:gridCol w:w="2593"/>
      </w:tblGrid>
      <w:tr w14:paraId="72101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85" w:type="dxa"/>
            <w:textDirection w:val="tbRlV"/>
            <w:vAlign w:val="top"/>
          </w:tcPr>
          <w:p w14:paraId="46811A07">
            <w:pPr>
              <w:pStyle w:val="6"/>
              <w:spacing w:before="37" w:line="213" w:lineRule="auto"/>
              <w:ind w:left="5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专 家</w:t>
            </w:r>
          </w:p>
        </w:tc>
        <w:tc>
          <w:tcPr>
            <w:tcW w:w="5983" w:type="dxa"/>
            <w:vAlign w:val="top"/>
          </w:tcPr>
          <w:p w14:paraId="6BD5D593">
            <w:pPr>
              <w:pStyle w:val="6"/>
              <w:spacing w:before="215" w:line="229" w:lineRule="auto"/>
              <w:ind w:left="259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问题清单</w:t>
            </w:r>
          </w:p>
        </w:tc>
        <w:tc>
          <w:tcPr>
            <w:tcW w:w="2593" w:type="dxa"/>
            <w:vAlign w:val="top"/>
          </w:tcPr>
          <w:p w14:paraId="680DEFC2">
            <w:pPr>
              <w:pStyle w:val="6"/>
              <w:spacing w:before="215" w:line="228" w:lineRule="auto"/>
              <w:ind w:left="88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修改情况</w:t>
            </w:r>
          </w:p>
        </w:tc>
      </w:tr>
      <w:tr w14:paraId="60C19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5" w:type="dxa"/>
            <w:vMerge w:val="restart"/>
            <w:tcBorders>
              <w:bottom w:val="nil"/>
            </w:tcBorders>
            <w:textDirection w:val="tbRlV"/>
            <w:vAlign w:val="top"/>
          </w:tcPr>
          <w:p w14:paraId="4807591D">
            <w:pPr>
              <w:pStyle w:val="6"/>
              <w:spacing w:before="37" w:line="216" w:lineRule="auto"/>
              <w:ind w:left="428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江 正 伟</w:t>
            </w:r>
          </w:p>
        </w:tc>
        <w:tc>
          <w:tcPr>
            <w:tcW w:w="5983" w:type="dxa"/>
            <w:vAlign w:val="top"/>
          </w:tcPr>
          <w:p w14:paraId="21E4F53C">
            <w:pPr>
              <w:pStyle w:val="6"/>
              <w:spacing w:before="32" w:line="228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1.4.1”“</w:t>
            </w:r>
            <w:r>
              <w:rPr>
                <w:rFonts w:ascii="Times New Roman" w:hAnsi="Times New Roman" w:eastAsia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1.4.2”“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1.4.3”</w:t>
            </w:r>
            <w:r>
              <w:rPr>
                <w:spacing w:val="2"/>
                <w:sz w:val="20"/>
                <w:szCs w:val="20"/>
              </w:rPr>
              <w:t>应改为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“1.3.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1”“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1.3.2”“</w:t>
            </w:r>
            <w:r>
              <w:rPr>
                <w:rFonts w:ascii="Times New Roman" w:hAnsi="Times New Roman" w:eastAsia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1.3.3”</w:t>
            </w:r>
          </w:p>
        </w:tc>
        <w:tc>
          <w:tcPr>
            <w:tcW w:w="2593" w:type="dxa"/>
            <w:vAlign w:val="top"/>
          </w:tcPr>
          <w:p w14:paraId="49EB9C6B">
            <w:pPr>
              <w:spacing w:before="89" w:line="195" w:lineRule="auto"/>
              <w:ind w:left="101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P2~P4</w:t>
            </w:r>
          </w:p>
        </w:tc>
      </w:tr>
      <w:tr w14:paraId="7A48A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9992796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0F2B17D0">
            <w:pPr>
              <w:pStyle w:val="6"/>
              <w:spacing w:before="31"/>
              <w:ind w:left="9" w:right="3"/>
              <w:jc w:val="both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第四页的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“</w:t>
            </w:r>
            <w:r>
              <w:rPr>
                <w:spacing w:val="6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4</w:t>
            </w:r>
            <w:r>
              <w:rPr>
                <w:spacing w:val="6"/>
                <w:sz w:val="20"/>
                <w:szCs w:val="20"/>
              </w:rPr>
              <w:t>）重要区域优先原则：首先考虑城市环境</w:t>
            </w:r>
            <w:r>
              <w:rPr>
                <w:spacing w:val="5"/>
                <w:sz w:val="20"/>
                <w:szCs w:val="20"/>
              </w:rPr>
              <w:t>噪声管理要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求高的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9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3 </w:t>
            </w:r>
            <w:r>
              <w:rPr>
                <w:spacing w:val="3"/>
                <w:sz w:val="20"/>
                <w:szCs w:val="20"/>
              </w:rPr>
              <w:t>类区所在</w:t>
            </w:r>
            <w:r>
              <w:rPr>
                <w:spacing w:val="-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…”</w:t>
            </w:r>
            <w:r>
              <w:rPr>
                <w:spacing w:val="3"/>
                <w:sz w:val="20"/>
                <w:szCs w:val="20"/>
              </w:rPr>
              <w:t>引用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GB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/T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15190-2014”</w:t>
            </w:r>
            <w:r>
              <w:rPr>
                <w:spacing w:val="3"/>
                <w:sz w:val="20"/>
                <w:szCs w:val="20"/>
              </w:rPr>
              <w:t>中划分次序一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段，应完整引用。</w:t>
            </w:r>
          </w:p>
        </w:tc>
        <w:tc>
          <w:tcPr>
            <w:tcW w:w="2593" w:type="dxa"/>
            <w:vAlign w:val="top"/>
          </w:tcPr>
          <w:p w14:paraId="7FF954B5">
            <w:pPr>
              <w:spacing w:before="88" w:line="195" w:lineRule="auto"/>
              <w:ind w:left="1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P4</w:t>
            </w:r>
          </w:p>
        </w:tc>
      </w:tr>
      <w:tr w14:paraId="0042F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85" w:type="dxa"/>
            <w:vMerge w:val="continue"/>
            <w:tcBorders>
              <w:top w:val="nil"/>
            </w:tcBorders>
            <w:textDirection w:val="tbRlV"/>
            <w:vAlign w:val="top"/>
          </w:tcPr>
          <w:p w14:paraId="55B9936E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58260F67">
            <w:pPr>
              <w:pStyle w:val="6"/>
              <w:spacing w:before="31" w:line="228" w:lineRule="auto"/>
              <w:ind w:left="11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建议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63</w:t>
            </w:r>
            <w:r>
              <w:rPr>
                <w:rFonts w:ascii="Times New Roman" w:hAnsi="Times New Roman" w:eastAsia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页的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“</w:t>
            </w:r>
            <w:r>
              <w:rPr>
                <w:spacing w:val="5"/>
                <w:sz w:val="20"/>
                <w:szCs w:val="20"/>
              </w:rPr>
              <w:t>本次调整主要是将原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106 </w:t>
            </w:r>
            <w:r>
              <w:rPr>
                <w:spacing w:val="5"/>
                <w:sz w:val="20"/>
                <w:szCs w:val="20"/>
              </w:rPr>
              <w:t>地块南端、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303 </w:t>
            </w:r>
            <w:r>
              <w:rPr>
                <w:spacing w:val="5"/>
                <w:sz w:val="20"/>
                <w:szCs w:val="20"/>
              </w:rPr>
              <w:t>地块</w:t>
            </w:r>
            <w:r>
              <w:rPr>
                <w:spacing w:val="4"/>
                <w:sz w:val="20"/>
                <w:szCs w:val="20"/>
              </w:rPr>
              <w:t>东侧的</w:t>
            </w:r>
          </w:p>
          <w:p w14:paraId="7F584FE9">
            <w:pPr>
              <w:pStyle w:val="6"/>
              <w:spacing w:before="24" w:line="218" w:lineRule="auto"/>
              <w:ind w:left="25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1 </w:t>
            </w:r>
            <w:r>
              <w:rPr>
                <w:spacing w:val="6"/>
                <w:sz w:val="20"/>
                <w:szCs w:val="20"/>
              </w:rPr>
              <w:t>类地块调整成</w:t>
            </w:r>
            <w:r>
              <w:rPr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2 </w:t>
            </w:r>
            <w:r>
              <w:rPr>
                <w:spacing w:val="6"/>
                <w:sz w:val="20"/>
                <w:szCs w:val="20"/>
              </w:rPr>
              <w:t>类地块，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”</w:t>
            </w:r>
            <w:r>
              <w:rPr>
                <w:spacing w:val="6"/>
                <w:sz w:val="20"/>
                <w:szCs w:val="20"/>
              </w:rPr>
              <w:t>增加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“1 </w:t>
            </w:r>
            <w:r>
              <w:rPr>
                <w:spacing w:val="6"/>
                <w:sz w:val="20"/>
                <w:szCs w:val="20"/>
              </w:rPr>
              <w:t>类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”</w:t>
            </w:r>
            <w:r>
              <w:rPr>
                <w:spacing w:val="6"/>
                <w:sz w:val="20"/>
                <w:szCs w:val="20"/>
              </w:rPr>
              <w:t>两字。</w:t>
            </w:r>
          </w:p>
        </w:tc>
        <w:tc>
          <w:tcPr>
            <w:tcW w:w="2593" w:type="dxa"/>
            <w:vAlign w:val="top"/>
          </w:tcPr>
          <w:p w14:paraId="51C67C0B">
            <w:pPr>
              <w:pStyle w:val="6"/>
              <w:spacing w:before="54" w:line="228" w:lineRule="auto"/>
              <w:ind w:left="3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已经删除原文，增加了表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6-8</w:t>
            </w:r>
          </w:p>
        </w:tc>
      </w:tr>
      <w:tr w14:paraId="3A7F2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285" w:type="dxa"/>
            <w:vMerge w:val="restart"/>
            <w:tcBorders>
              <w:bottom w:val="nil"/>
            </w:tcBorders>
            <w:textDirection w:val="tbRlV"/>
            <w:vAlign w:val="top"/>
          </w:tcPr>
          <w:p w14:paraId="3DA573B7">
            <w:pPr>
              <w:pStyle w:val="6"/>
              <w:spacing w:before="36" w:line="218" w:lineRule="auto"/>
              <w:ind w:left="208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李 福 坚</w:t>
            </w:r>
          </w:p>
        </w:tc>
        <w:tc>
          <w:tcPr>
            <w:tcW w:w="5983" w:type="dxa"/>
            <w:vAlign w:val="top"/>
          </w:tcPr>
          <w:p w14:paraId="5D90E28A">
            <w:pPr>
              <w:pStyle w:val="6"/>
              <w:spacing w:before="31"/>
              <w:ind w:left="9" w:right="99" w:firstLine="4"/>
              <w:jc w:val="both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结合城市总规和区域详细控规，明确功能区划范围、区域的划分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原则及划分次序，细化划分方案的编制思路，更新、完善支撑性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规划材料，并校核区划范围、期限，并在报告中补充相关信息。</w:t>
            </w:r>
          </w:p>
        </w:tc>
        <w:tc>
          <w:tcPr>
            <w:tcW w:w="2593" w:type="dxa"/>
            <w:vAlign w:val="top"/>
          </w:tcPr>
          <w:p w14:paraId="4F7AC053">
            <w:pPr>
              <w:pStyle w:val="6"/>
              <w:spacing w:before="52" w:line="228" w:lineRule="auto"/>
              <w:ind w:left="76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1.4~</w:t>
            </w:r>
            <w:r>
              <w:rPr>
                <w:rFonts w:ascii="Times New Roman" w:hAnsi="Times New Roman" w:eastAsia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1.7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章节</w:t>
            </w:r>
          </w:p>
        </w:tc>
      </w:tr>
      <w:tr w14:paraId="1293F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16B207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2305390B">
            <w:pPr>
              <w:pStyle w:val="6"/>
              <w:spacing w:before="30" w:line="228" w:lineRule="auto"/>
              <w:ind w:left="10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按照《声环境功能区划分技术规范》、《声环境质量标准》、《关</w:t>
            </w:r>
          </w:p>
          <w:p w14:paraId="39AE2A0A">
            <w:pPr>
              <w:pStyle w:val="6"/>
              <w:spacing w:before="25" w:line="228" w:lineRule="auto"/>
              <w:ind w:left="12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于加强和规范声环境功能区划分管理工作的通知》（环办大气函</w:t>
            </w:r>
          </w:p>
          <w:p w14:paraId="3BE50D18">
            <w:pPr>
              <w:pStyle w:val="6"/>
              <w:spacing w:before="24" w:line="228" w:lineRule="auto"/>
              <w:jc w:val="right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2017</w:t>
            </w:r>
            <w:r>
              <w:rPr>
                <w:spacing w:val="2"/>
                <w:sz w:val="20"/>
                <w:szCs w:val="20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1709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号）等有关规定、文件，结合用地现状和规划功能，</w:t>
            </w:r>
          </w:p>
          <w:p w14:paraId="7FC24A74">
            <w:pPr>
              <w:pStyle w:val="6"/>
              <w:spacing w:before="26" w:line="228" w:lineRule="auto"/>
              <w:ind w:left="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细化区划单元内用地现状调查，进一步优化、校核各声环境功能</w:t>
            </w:r>
          </w:p>
          <w:p w14:paraId="7784B231">
            <w:pPr>
              <w:pStyle w:val="6"/>
              <w:spacing w:before="23" w:line="235" w:lineRule="auto"/>
              <w:ind w:left="17" w:right="5" w:firstLine="7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区划范围，合理控制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1 </w:t>
            </w:r>
            <w:r>
              <w:rPr>
                <w:spacing w:val="5"/>
                <w:sz w:val="20"/>
                <w:szCs w:val="20"/>
              </w:rPr>
              <w:t>类区、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3 </w:t>
            </w:r>
            <w:r>
              <w:rPr>
                <w:spacing w:val="5"/>
                <w:sz w:val="20"/>
                <w:szCs w:val="20"/>
              </w:rPr>
              <w:t>类区划分范围，完善不同声功能区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毗邻问题划分要求。</w:t>
            </w:r>
          </w:p>
        </w:tc>
        <w:tc>
          <w:tcPr>
            <w:tcW w:w="2593" w:type="dxa"/>
            <w:vAlign w:val="top"/>
          </w:tcPr>
          <w:p w14:paraId="342E13CD">
            <w:pPr>
              <w:pStyle w:val="6"/>
              <w:spacing w:before="51" w:line="230" w:lineRule="auto"/>
              <w:ind w:left="6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已经结合《开化县国土空间</w:t>
            </w:r>
          </w:p>
          <w:p w14:paraId="2A7242EF">
            <w:pPr>
              <w:pStyle w:val="6"/>
              <w:spacing w:before="65" w:line="228" w:lineRule="auto"/>
              <w:jc w:val="right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总体规划（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2021-2035 </w:t>
            </w:r>
            <w:r>
              <w:rPr>
                <w:spacing w:val="3"/>
                <w:sz w:val="20"/>
                <w:szCs w:val="20"/>
              </w:rPr>
              <w:t>年）》</w:t>
            </w:r>
          </w:p>
          <w:p w14:paraId="04499A4A">
            <w:pPr>
              <w:pStyle w:val="6"/>
              <w:spacing w:before="69" w:line="228" w:lineRule="auto"/>
              <w:ind w:left="66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以及现场踏勘情况，对区划</w:t>
            </w:r>
          </w:p>
          <w:p w14:paraId="339ADEA1">
            <w:pPr>
              <w:pStyle w:val="6"/>
              <w:spacing w:before="67" w:line="229" w:lineRule="auto"/>
              <w:ind w:left="464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单元进行了调整。</w:t>
            </w:r>
          </w:p>
        </w:tc>
      </w:tr>
      <w:tr w14:paraId="1F0184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8190E0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73AADED8">
            <w:pPr>
              <w:pStyle w:val="6"/>
              <w:spacing w:before="51" w:line="282" w:lineRule="auto"/>
              <w:ind w:left="10" w:right="99" w:hanging="3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进一步完善现状监测评价内容，完善数据来源及数据的合规性，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完善现存声环境问题的分析，并结合现状资料补充本次区划结果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的可达性分析。</w:t>
            </w:r>
          </w:p>
        </w:tc>
        <w:tc>
          <w:tcPr>
            <w:tcW w:w="2593" w:type="dxa"/>
            <w:vAlign w:val="top"/>
          </w:tcPr>
          <w:p w14:paraId="02487087">
            <w:pPr>
              <w:pStyle w:val="6"/>
              <w:spacing w:before="1" w:line="315" w:lineRule="exact"/>
              <w:ind w:left="47"/>
              <w:rPr>
                <w:sz w:val="20"/>
                <w:szCs w:val="20"/>
              </w:rPr>
            </w:pPr>
            <w:r>
              <w:rPr>
                <w:spacing w:val="8"/>
                <w:position w:val="2"/>
                <w:sz w:val="20"/>
                <w:szCs w:val="20"/>
              </w:rPr>
              <w:t>原有检测数据来源于《</w:t>
            </w:r>
            <w:r>
              <w:fldChar w:fldCharType="begin"/>
            </w:r>
            <w:r>
              <w:instrText xml:space="preserve"> HYPERLINK "http://www.baidu.com/link?url=FFfOlJepAGY_FVbVgDAci1v9GsuusI1_QrElow3wkpseIWQKNOOjhepB4qw9wZqYUT-0hr2ysdN3_oXFnuL8Iy9YC1KNV60_ULsNqwYPOEy" </w:instrText>
            </w:r>
            <w:r>
              <w:fldChar w:fldCharType="separate"/>
            </w:r>
            <w:r>
              <w:rPr>
                <w:spacing w:val="8"/>
                <w:position w:val="2"/>
                <w:sz w:val="20"/>
                <w:szCs w:val="20"/>
              </w:rPr>
              <w:t>浙江</w:t>
            </w:r>
            <w:r>
              <w:rPr>
                <w:spacing w:val="8"/>
                <w:position w:val="2"/>
                <w:sz w:val="20"/>
                <w:szCs w:val="20"/>
              </w:rPr>
              <w:fldChar w:fldCharType="end"/>
            </w:r>
          </w:p>
          <w:p w14:paraId="21E742B9">
            <w:pPr>
              <w:pStyle w:val="6"/>
              <w:spacing w:before="50" w:line="194" w:lineRule="auto"/>
              <w:ind w:left="15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"http://www.baidu.com/link?url=FFfOlJepAGY_FVbVgDAci1v9GsuusI1_QrElow3wkpseIWQKNOOjhepB4qw9wZqYUT-0hr2ysdN3_oXFnuL8Iy9YC1KNV60_ULsNqwYPOEy" </w:instrText>
            </w:r>
            <w:r>
              <w:fldChar w:fldCharType="separate"/>
            </w:r>
            <w:r>
              <w:rPr>
                <w:spacing w:val="9"/>
                <w:sz w:val="20"/>
                <w:szCs w:val="20"/>
              </w:rPr>
              <w:t>省开化县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2023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年环境质量概</w:t>
            </w:r>
            <w:r>
              <w:rPr>
                <w:spacing w:val="9"/>
                <w:sz w:val="20"/>
                <w:szCs w:val="20"/>
              </w:rPr>
              <w:fldChar w:fldCharType="end"/>
            </w:r>
          </w:p>
          <w:p w14:paraId="66A72BF5">
            <w:pPr>
              <w:pStyle w:val="6"/>
              <w:spacing w:before="107" w:line="229" w:lineRule="auto"/>
              <w:ind w:left="44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"http://www.baidu.com/link?url=FFfOlJepAGY_FVbVgDAci1v9GsuusI1_QrElow3wkpseIWQKNOOjhepB4qw9wZqYUT-0hr2ysdN3_oXFnuL8Iy9YC1KNV60_ULsNqwYPOEy" </w:instrText>
            </w:r>
            <w:r>
              <w:fldChar w:fldCharType="separate"/>
            </w:r>
            <w:r>
              <w:rPr>
                <w:spacing w:val="8"/>
                <w:sz w:val="20"/>
                <w:szCs w:val="20"/>
              </w:rPr>
              <w:t>况</w:t>
            </w:r>
            <w:r>
              <w:rPr>
                <w:spacing w:val="8"/>
                <w:sz w:val="20"/>
                <w:szCs w:val="20"/>
              </w:rPr>
              <w:fldChar w:fldCharType="end"/>
            </w:r>
            <w:r>
              <w:rPr>
                <w:spacing w:val="8"/>
                <w:sz w:val="20"/>
                <w:szCs w:val="20"/>
              </w:rPr>
              <w:t>》，已经补充了原有相关</w:t>
            </w:r>
          </w:p>
          <w:p w14:paraId="47DD9F42">
            <w:pPr>
              <w:pStyle w:val="6"/>
              <w:spacing w:before="65" w:line="228" w:lineRule="auto"/>
              <w:ind w:left="224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存在问题（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4.2.4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章节）</w:t>
            </w:r>
          </w:p>
        </w:tc>
      </w:tr>
      <w:tr w14:paraId="0EE71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3F8529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00B117A1">
            <w:pPr>
              <w:pStyle w:val="6"/>
              <w:spacing w:before="52" w:line="264" w:lineRule="auto"/>
              <w:ind w:left="8" w:right="99" w:firstLine="2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完善交通干线两侧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 xml:space="preserve">4 </w:t>
            </w:r>
            <w:r>
              <w:rPr>
                <w:spacing w:val="9"/>
                <w:sz w:val="20"/>
                <w:szCs w:val="20"/>
              </w:rPr>
              <w:t>类声环境功能区范围划分结果并提供</w:t>
            </w:r>
            <w:r>
              <w:rPr>
                <w:spacing w:val="8"/>
                <w:sz w:val="20"/>
                <w:szCs w:val="20"/>
              </w:rPr>
              <w:t>支撑依</w:t>
            </w:r>
            <w:r>
              <w:rPr>
                <w:sz w:val="20"/>
                <w:szCs w:val="20"/>
              </w:rPr>
              <w:t xml:space="preserve"> 据。</w:t>
            </w:r>
          </w:p>
        </w:tc>
        <w:tc>
          <w:tcPr>
            <w:tcW w:w="2593" w:type="dxa"/>
            <w:vAlign w:val="top"/>
          </w:tcPr>
          <w:p w14:paraId="2B9783B8">
            <w:pPr>
              <w:pStyle w:val="6"/>
              <w:spacing w:before="53" w:line="228" w:lineRule="auto"/>
              <w:ind w:left="93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6.4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章节</w:t>
            </w:r>
          </w:p>
        </w:tc>
      </w:tr>
      <w:tr w14:paraId="4CFEE8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85" w:type="dxa"/>
            <w:vMerge w:val="continue"/>
            <w:tcBorders>
              <w:top w:val="nil"/>
            </w:tcBorders>
            <w:textDirection w:val="tbRlV"/>
            <w:vAlign w:val="top"/>
          </w:tcPr>
          <w:p w14:paraId="26E80C8A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2115F5D7">
            <w:pPr>
              <w:pStyle w:val="6"/>
              <w:spacing w:before="55" w:line="263" w:lineRule="auto"/>
              <w:ind w:left="14" w:right="99" w:hanging="5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城市噪声控制措施及对策应明确相关责任主体，确保各项措施有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效实施。</w:t>
            </w:r>
          </w:p>
        </w:tc>
        <w:tc>
          <w:tcPr>
            <w:tcW w:w="2593" w:type="dxa"/>
            <w:vAlign w:val="top"/>
          </w:tcPr>
          <w:p w14:paraId="30E1FA7D">
            <w:pPr>
              <w:pStyle w:val="6"/>
              <w:spacing w:before="53" w:line="228" w:lineRule="auto"/>
              <w:ind w:left="93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>8.</w:t>
            </w:r>
            <w:r>
              <w:rPr>
                <w:rFonts w:ascii="Times New Roman" w:hAnsi="Times New Roman" w:eastAsia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章节</w:t>
            </w:r>
          </w:p>
        </w:tc>
      </w:tr>
      <w:tr w14:paraId="4E893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285" w:type="dxa"/>
            <w:vMerge w:val="restart"/>
            <w:tcBorders>
              <w:bottom w:val="nil"/>
            </w:tcBorders>
            <w:textDirection w:val="tbRlV"/>
            <w:vAlign w:val="top"/>
          </w:tcPr>
          <w:p w14:paraId="1F23338D">
            <w:pPr>
              <w:pStyle w:val="6"/>
              <w:spacing w:before="36" w:line="216" w:lineRule="auto"/>
              <w:ind w:left="179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牟 永 铭</w:t>
            </w:r>
          </w:p>
        </w:tc>
        <w:tc>
          <w:tcPr>
            <w:tcW w:w="5983" w:type="dxa"/>
            <w:vAlign w:val="top"/>
          </w:tcPr>
          <w:p w14:paraId="2D1942EC">
            <w:pPr>
              <w:pStyle w:val="6"/>
              <w:spacing w:before="57" w:line="279" w:lineRule="auto"/>
              <w:ind w:left="8" w:right="5" w:hanging="1"/>
              <w:jc w:val="both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 xml:space="preserve">进一步明确区划范围。报告中明确本轮区划中开化县中心城区面  </w:t>
            </w:r>
            <w:r>
              <w:rPr>
                <w:spacing w:val="6"/>
                <w:sz w:val="20"/>
                <w:szCs w:val="20"/>
              </w:rPr>
              <w:t>积为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32.4565 </w:t>
            </w:r>
            <w:r>
              <w:rPr>
                <w:spacing w:val="6"/>
                <w:sz w:val="20"/>
                <w:szCs w:val="20"/>
              </w:rPr>
              <w:t>平方公里，区划中各类功能区总面积与中心城区面积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一致，但城市建成区面积仅为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15.21 </w:t>
            </w:r>
            <w:r>
              <w:rPr>
                <w:spacing w:val="6"/>
                <w:sz w:val="20"/>
                <w:szCs w:val="20"/>
              </w:rPr>
              <w:t>平方公</w:t>
            </w:r>
            <w:r>
              <w:rPr>
                <w:spacing w:val="5"/>
                <w:sz w:val="20"/>
                <w:szCs w:val="20"/>
              </w:rPr>
              <w:t>里，远小于区划与中心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城区面积，而附图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中中心城区的范围界线围成的面积却远大于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8"/>
                <w:sz w:val="20"/>
                <w:szCs w:val="20"/>
              </w:rPr>
              <w:t>中心城区的面积，请明确说明具体情况。</w:t>
            </w:r>
          </w:p>
        </w:tc>
        <w:tc>
          <w:tcPr>
            <w:tcW w:w="2593" w:type="dxa"/>
            <w:vAlign w:val="top"/>
          </w:tcPr>
          <w:p w14:paraId="21383BDD">
            <w:pPr>
              <w:pStyle w:val="6"/>
              <w:spacing w:before="54" w:line="278" w:lineRule="auto"/>
              <w:ind w:left="1196" w:right="35" w:hanging="113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已经删除建成区相关面积描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述</w:t>
            </w:r>
          </w:p>
        </w:tc>
      </w:tr>
      <w:tr w14:paraId="541DF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285" w:type="dxa"/>
            <w:vMerge w:val="continue"/>
            <w:tcBorders>
              <w:top w:val="nil"/>
            </w:tcBorders>
            <w:textDirection w:val="tbRlV"/>
            <w:vAlign w:val="top"/>
          </w:tcPr>
          <w:p w14:paraId="13FF88BC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59129374">
            <w:pPr>
              <w:pStyle w:val="6"/>
              <w:spacing w:before="55" w:line="227" w:lineRule="auto"/>
              <w:ind w:left="9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补充说明中心城区（区划范围）的相关内容：</w:t>
            </w:r>
          </w:p>
          <w:p w14:paraId="78A226A5">
            <w:pPr>
              <w:pStyle w:val="6"/>
              <w:spacing w:before="68" w:line="260" w:lineRule="auto"/>
              <w:ind w:left="9" w:right="3" w:firstLine="1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、中心城区具体范围、城市规模、人口数量与</w:t>
            </w:r>
            <w:r>
              <w:rPr>
                <w:spacing w:val="7"/>
                <w:sz w:val="20"/>
                <w:szCs w:val="20"/>
              </w:rPr>
              <w:t>分布、产业特点等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基本情况；</w:t>
            </w:r>
          </w:p>
          <w:p w14:paraId="04657917">
            <w:pPr>
              <w:pStyle w:val="6"/>
              <w:spacing w:before="67" w:line="259" w:lineRule="auto"/>
              <w:ind w:left="5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、中心城区国土空间规划的相关内容，如：土地利用现状与规划、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I </w:t>
            </w:r>
            <w:r>
              <w:rPr>
                <w:spacing w:val="4"/>
                <w:sz w:val="20"/>
                <w:szCs w:val="20"/>
              </w:rPr>
              <w:t>类与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类等土地利用类别分布、面积、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占比等情况；</w:t>
            </w:r>
          </w:p>
          <w:p w14:paraId="3670FB87">
            <w:pPr>
              <w:pStyle w:val="6"/>
              <w:spacing w:before="68" w:line="270" w:lineRule="auto"/>
              <w:ind w:left="9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、中心城区道路交通规划的相关内容，如：道路交通现状与规划、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城市快速路、城市主干路、城市次干路、穿越城市</w:t>
            </w:r>
            <w:r>
              <w:rPr>
                <w:spacing w:val="5"/>
                <w:sz w:val="20"/>
                <w:szCs w:val="20"/>
              </w:rPr>
              <w:t>的铁路等分布、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长度等情况；</w:t>
            </w:r>
          </w:p>
          <w:p w14:paraId="56D80B24">
            <w:pPr>
              <w:pStyle w:val="6"/>
              <w:spacing w:before="67" w:line="227" w:lineRule="auto"/>
              <w:ind w:left="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、中心城区相关图件，如中心城区范围图、中心城区设计行政区</w:t>
            </w:r>
          </w:p>
        </w:tc>
        <w:tc>
          <w:tcPr>
            <w:tcW w:w="2593" w:type="dxa"/>
            <w:vAlign w:val="top"/>
          </w:tcPr>
          <w:p w14:paraId="76A71C37">
            <w:pPr>
              <w:pStyle w:val="6"/>
              <w:spacing w:before="54" w:line="228" w:lineRule="auto"/>
              <w:ind w:left="59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章节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与章节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</w:t>
            </w:r>
          </w:p>
        </w:tc>
      </w:tr>
    </w:tbl>
    <w:p w14:paraId="1F31C9DF">
      <w:pPr>
        <w:pStyle w:val="2"/>
      </w:pPr>
    </w:p>
    <w:p w14:paraId="26BC8225">
      <w:pPr>
        <w:sectPr>
          <w:footerReference r:id="rId102" w:type="default"/>
          <w:pgSz w:w="11906" w:h="16839"/>
          <w:pgMar w:top="1431" w:right="1463" w:bottom="1151" w:left="1576" w:header="0" w:footer="989" w:gutter="0"/>
          <w:cols w:space="720" w:num="1"/>
        </w:sectPr>
      </w:pPr>
    </w:p>
    <w:p w14:paraId="417FBF7A">
      <w:pPr>
        <w:spacing w:before="92"/>
      </w:pPr>
    </w:p>
    <w:p w14:paraId="48E91E3D">
      <w:pPr>
        <w:spacing w:before="91"/>
      </w:pPr>
    </w:p>
    <w:tbl>
      <w:tblPr>
        <w:tblStyle w:val="5"/>
        <w:tblW w:w="886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5983"/>
        <w:gridCol w:w="2593"/>
      </w:tblGrid>
      <w:tr w14:paraId="762DB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85" w:type="dxa"/>
            <w:vMerge w:val="restart"/>
            <w:tcBorders>
              <w:bottom w:val="nil"/>
            </w:tcBorders>
            <w:vAlign w:val="top"/>
          </w:tcPr>
          <w:p w14:paraId="55F6EFAC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07DF08CB">
            <w:pPr>
              <w:pStyle w:val="6"/>
              <w:spacing w:before="59" w:line="263" w:lineRule="auto"/>
              <w:ind w:left="13" w:right="99" w:hanging="5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划图、中心城区土地利用现状与规划图、中心城区道路交通现状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与规划图等。</w:t>
            </w:r>
          </w:p>
        </w:tc>
        <w:tc>
          <w:tcPr>
            <w:tcW w:w="2593" w:type="dxa"/>
            <w:vAlign w:val="top"/>
          </w:tcPr>
          <w:p w14:paraId="12136E60">
            <w:pPr>
              <w:rPr>
                <w:rFonts w:ascii="Arial"/>
                <w:sz w:val="21"/>
              </w:rPr>
            </w:pPr>
          </w:p>
        </w:tc>
      </w:tr>
      <w:tr w14:paraId="409CB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vAlign w:val="top"/>
          </w:tcPr>
          <w:p w14:paraId="1B8EE941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07FC7357">
            <w:pPr>
              <w:pStyle w:val="6"/>
              <w:spacing w:before="52" w:line="280" w:lineRule="auto"/>
              <w:ind w:left="8" w:right="99"/>
              <w:jc w:val="both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补充对上一轮功能区划分的分析与评价，指出其优缺点，尤其是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存在问题分析，说明本轮区划调整的必要性；补充说明上一轮功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能区划实施后的成效与存在问题；本次区划面积及各类功能区的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面积比例等与上一轮均没有大的变化，补充说明这一轮国土空间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与上一轮国土空间规划的变化情况与依据。</w:t>
            </w:r>
          </w:p>
        </w:tc>
        <w:tc>
          <w:tcPr>
            <w:tcW w:w="2593" w:type="dxa"/>
            <w:vAlign w:val="top"/>
          </w:tcPr>
          <w:p w14:paraId="3965D1EA">
            <w:pPr>
              <w:pStyle w:val="6"/>
              <w:spacing w:before="52" w:line="228" w:lineRule="auto"/>
              <w:ind w:left="1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补充了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4.2.4 </w:t>
            </w:r>
            <w:r>
              <w:rPr>
                <w:spacing w:val="7"/>
                <w:sz w:val="20"/>
                <w:szCs w:val="20"/>
              </w:rPr>
              <w:t>章节以及调整了</w:t>
            </w:r>
          </w:p>
          <w:p w14:paraId="07E77742">
            <w:pPr>
              <w:pStyle w:val="6"/>
              <w:spacing w:before="67" w:line="228" w:lineRule="auto"/>
              <w:ind w:left="93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6.5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章节</w:t>
            </w:r>
          </w:p>
        </w:tc>
      </w:tr>
      <w:tr w14:paraId="4F788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vAlign w:val="top"/>
          </w:tcPr>
          <w:p w14:paraId="3908A094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vAlign w:val="top"/>
          </w:tcPr>
          <w:p w14:paraId="68D35E0D">
            <w:pPr>
              <w:pStyle w:val="6"/>
              <w:spacing w:before="55" w:line="272" w:lineRule="auto"/>
              <w:ind w:left="9" w:right="99"/>
              <w:jc w:val="both"/>
              <w:rPr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按照相关声环境标准，进一步分析五年来开化县声环境质量现状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与变化情况，补充声环境功能区达标率变化与夜间声环境质量评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价，分析噪声源构成比例及变化影响，指出其存在问题。</w:t>
            </w:r>
          </w:p>
        </w:tc>
        <w:tc>
          <w:tcPr>
            <w:tcW w:w="2593" w:type="dxa"/>
            <w:vAlign w:val="top"/>
          </w:tcPr>
          <w:p w14:paraId="6BDF6C1F">
            <w:pPr>
              <w:pStyle w:val="6"/>
              <w:spacing w:before="1" w:line="315" w:lineRule="exact"/>
              <w:ind w:left="37"/>
              <w:rPr>
                <w:sz w:val="20"/>
                <w:szCs w:val="20"/>
              </w:rPr>
            </w:pPr>
            <w:r>
              <w:rPr>
                <w:spacing w:val="2"/>
                <w:position w:val="2"/>
                <w:sz w:val="20"/>
                <w:szCs w:val="20"/>
              </w:rPr>
              <w:t>由《</w:t>
            </w:r>
            <w:r>
              <w:fldChar w:fldCharType="begin"/>
            </w:r>
            <w:r>
              <w:instrText xml:space="preserve"> HYPERLINK "http://www.baidu.com/link?url=FFfOlJepAGY_FVbVgDAci1v9GsuusI1_QrElow3wkpseIWQKNOOjhepB4qw9wZqYUT-0hr2ysdN3_oXFnuL8Iy9YC1KNV60_ULsNqwYPOEy" </w:instrText>
            </w:r>
            <w:r>
              <w:fldChar w:fldCharType="separate"/>
            </w:r>
            <w:r>
              <w:rPr>
                <w:spacing w:val="2"/>
                <w:position w:val="2"/>
                <w:sz w:val="20"/>
                <w:szCs w:val="20"/>
              </w:rPr>
              <w:t>浙江省开化县</w:t>
            </w:r>
            <w:r>
              <w:rPr>
                <w:spacing w:val="-37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20"/>
                <w:szCs w:val="20"/>
              </w:rPr>
              <w:t xml:space="preserve">2023 </w:t>
            </w:r>
            <w:r>
              <w:rPr>
                <w:spacing w:val="2"/>
                <w:position w:val="2"/>
                <w:sz w:val="20"/>
                <w:szCs w:val="20"/>
              </w:rPr>
              <w:t>年环</w:t>
            </w:r>
            <w:r>
              <w:rPr>
                <w:spacing w:val="2"/>
                <w:position w:val="2"/>
                <w:sz w:val="20"/>
                <w:szCs w:val="20"/>
              </w:rPr>
              <w:fldChar w:fldCharType="end"/>
            </w:r>
          </w:p>
          <w:p w14:paraId="495F5D2E">
            <w:pPr>
              <w:pStyle w:val="6"/>
              <w:spacing w:before="53" w:line="228" w:lineRule="auto"/>
              <w:ind w:left="43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"http://www.baidu.com/link?url=FFfOlJepAGY_FVbVgDAci1v9GsuusI1_QrElow3wkpseIWQKNOOjhepB4qw9wZqYUT-0hr2ysdN3_oXFnuL8Iy9YC1KNV60_ULsNqwYPOEy" </w:instrText>
            </w:r>
            <w:r>
              <w:fldChar w:fldCharType="separate"/>
            </w:r>
            <w:r>
              <w:rPr>
                <w:spacing w:val="9"/>
                <w:sz w:val="20"/>
                <w:szCs w:val="20"/>
              </w:rPr>
              <w:t>境质量概况</w:t>
            </w:r>
            <w:r>
              <w:rPr>
                <w:spacing w:val="9"/>
                <w:sz w:val="20"/>
                <w:szCs w:val="20"/>
              </w:rPr>
              <w:fldChar w:fldCharType="end"/>
            </w:r>
            <w:r>
              <w:rPr>
                <w:spacing w:val="9"/>
                <w:sz w:val="20"/>
                <w:szCs w:val="20"/>
              </w:rPr>
              <w:t>》可知，相关噪</w:t>
            </w:r>
          </w:p>
          <w:p w14:paraId="5FBC5546">
            <w:pPr>
              <w:pStyle w:val="6"/>
              <w:spacing w:before="67" w:line="228" w:lineRule="auto"/>
              <w:ind w:left="57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声满足标准要求</w:t>
            </w:r>
          </w:p>
        </w:tc>
      </w:tr>
      <w:tr w14:paraId="4457E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vAlign w:val="top"/>
          </w:tcPr>
          <w:p w14:paraId="5E17D4B0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tcBorders>
              <w:bottom w:val="nil"/>
            </w:tcBorders>
            <w:vAlign w:val="top"/>
          </w:tcPr>
          <w:p w14:paraId="66A212FD">
            <w:pPr>
              <w:pStyle w:val="6"/>
              <w:spacing w:before="56" w:line="228" w:lineRule="auto"/>
              <w:ind w:left="11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建议分区区划结果做进一步的调整和说明：</w:t>
            </w:r>
          </w:p>
          <w:p w14:paraId="06C12EBA">
            <w:pPr>
              <w:pStyle w:val="6"/>
              <w:spacing w:before="66" w:line="259" w:lineRule="auto"/>
              <w:ind w:left="10" w:right="3" w:firstLine="1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、说明各类和各功能区中新旧区域的变化情况</w:t>
            </w:r>
            <w:r>
              <w:rPr>
                <w:spacing w:val="7"/>
                <w:sz w:val="20"/>
                <w:szCs w:val="20"/>
              </w:rPr>
              <w:t>，以及变化原因与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调整依据；</w:t>
            </w:r>
          </w:p>
        </w:tc>
        <w:tc>
          <w:tcPr>
            <w:tcW w:w="2593" w:type="dxa"/>
            <w:tcBorders>
              <w:bottom w:val="nil"/>
            </w:tcBorders>
            <w:vAlign w:val="top"/>
          </w:tcPr>
          <w:p w14:paraId="2B421B8B">
            <w:pPr>
              <w:pStyle w:val="6"/>
              <w:spacing w:before="57" w:line="269" w:lineRule="auto"/>
              <w:ind w:left="12" w:right="6" w:firstLine="94"/>
              <w:jc w:val="both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目前小于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0.5 </w:t>
            </w:r>
            <w:r>
              <w:rPr>
                <w:spacing w:val="4"/>
                <w:sz w:val="20"/>
                <w:szCs w:val="20"/>
              </w:rPr>
              <w:t>平方千米的由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12 </w:t>
            </w:r>
            <w:r>
              <w:rPr>
                <w:spacing w:val="6"/>
                <w:sz w:val="20"/>
                <w:szCs w:val="20"/>
              </w:rPr>
              <w:t>个减小至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6 </w:t>
            </w:r>
            <w:r>
              <w:rPr>
                <w:spacing w:val="6"/>
                <w:sz w:val="20"/>
                <w:szCs w:val="20"/>
              </w:rPr>
              <w:t>个；增加了调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整汇总表（表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6-8</w:t>
            </w:r>
            <w:r>
              <w:rPr>
                <w:spacing w:val="-5"/>
                <w:sz w:val="20"/>
                <w:szCs w:val="20"/>
              </w:rPr>
              <w:t>）；</w:t>
            </w:r>
            <w:r>
              <w:rPr>
                <w:spacing w:val="4"/>
                <w:sz w:val="20"/>
                <w:szCs w:val="20"/>
              </w:rPr>
              <w:t>道路情</w:t>
            </w:r>
          </w:p>
        </w:tc>
      </w:tr>
      <w:tr w14:paraId="35711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vAlign w:val="top"/>
          </w:tcPr>
          <w:p w14:paraId="263B5954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  <w:vAlign w:val="top"/>
          </w:tcPr>
          <w:p w14:paraId="443BD0C6">
            <w:pPr>
              <w:pStyle w:val="6"/>
              <w:spacing w:before="56" w:line="275" w:lineRule="auto"/>
              <w:ind w:left="8" w:right="3" w:hanging="3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7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、区划分区中原则上不保留区块面积小于</w:t>
            </w:r>
            <w:r>
              <w:rPr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 xml:space="preserve">0.5 </w:t>
            </w:r>
            <w:r>
              <w:rPr>
                <w:spacing w:val="8"/>
                <w:sz w:val="20"/>
                <w:szCs w:val="20"/>
              </w:rPr>
              <w:t>平</w:t>
            </w:r>
            <w:r>
              <w:rPr>
                <w:spacing w:val="7"/>
                <w:sz w:val="20"/>
                <w:szCs w:val="20"/>
              </w:rPr>
              <w:t>方公里的功能区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块，开化县声环境功能区没有特别的原因建议全部取消面积过小</w:t>
            </w:r>
            <w:r>
              <w:rPr>
                <w:spacing w:val="8"/>
                <w:sz w:val="20"/>
                <w:szCs w:val="20"/>
              </w:rPr>
              <w:t xml:space="preserve">  </w:t>
            </w:r>
            <w:r>
              <w:rPr>
                <w:spacing w:val="6"/>
                <w:sz w:val="20"/>
                <w:szCs w:val="20"/>
              </w:rPr>
              <w:t>（小于</w:t>
            </w:r>
            <w:r>
              <w:rPr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0.5 </w:t>
            </w:r>
            <w:r>
              <w:rPr>
                <w:spacing w:val="6"/>
                <w:sz w:val="20"/>
                <w:szCs w:val="20"/>
              </w:rPr>
              <w:t>平方公里）的功能区块，相关功能区划并入相邻的功能</w:t>
            </w:r>
            <w:r>
              <w:rPr>
                <w:sz w:val="20"/>
                <w:szCs w:val="20"/>
              </w:rPr>
              <w:t xml:space="preserve"> 区；</w:t>
            </w:r>
          </w:p>
        </w:tc>
        <w:tc>
          <w:tcPr>
            <w:tcW w:w="2593" w:type="dxa"/>
            <w:tcBorders>
              <w:top w:val="nil"/>
              <w:bottom w:val="nil"/>
            </w:tcBorders>
            <w:vAlign w:val="top"/>
          </w:tcPr>
          <w:p w14:paraId="51A8A29D">
            <w:pPr>
              <w:pStyle w:val="6"/>
              <w:spacing w:before="58" w:line="228" w:lineRule="auto"/>
              <w:ind w:left="41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况见表</w:t>
            </w:r>
            <w:r>
              <w:rPr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6-4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和表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6-5</w:t>
            </w:r>
          </w:p>
        </w:tc>
      </w:tr>
      <w:tr w14:paraId="6BDC9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vAlign w:val="top"/>
          </w:tcPr>
          <w:p w14:paraId="4552061C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  <w:vAlign w:val="top"/>
          </w:tcPr>
          <w:p w14:paraId="69B5E3E8">
            <w:pPr>
              <w:pStyle w:val="6"/>
              <w:spacing w:before="59" w:line="260" w:lineRule="auto"/>
              <w:ind w:left="9" w:right="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、说明各类功能区划分后其各类用地的面积及比例，以及是否符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合区划原则，尤其是其中各类土地利用面积比例要求；</w:t>
            </w:r>
          </w:p>
        </w:tc>
        <w:tc>
          <w:tcPr>
            <w:tcW w:w="2593" w:type="dxa"/>
            <w:tcBorders>
              <w:top w:val="nil"/>
              <w:bottom w:val="nil"/>
            </w:tcBorders>
            <w:vAlign w:val="top"/>
          </w:tcPr>
          <w:p w14:paraId="35C511D3">
            <w:pPr>
              <w:rPr>
                <w:rFonts w:ascii="Arial"/>
                <w:sz w:val="21"/>
              </w:rPr>
            </w:pPr>
          </w:p>
        </w:tc>
      </w:tr>
      <w:tr w14:paraId="28B31A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285" w:type="dxa"/>
            <w:vMerge w:val="continue"/>
            <w:tcBorders>
              <w:top w:val="nil"/>
              <w:bottom w:val="nil"/>
            </w:tcBorders>
            <w:vAlign w:val="top"/>
          </w:tcPr>
          <w:p w14:paraId="4B54EBF1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  <w:vAlign w:val="top"/>
          </w:tcPr>
          <w:p w14:paraId="44327841">
            <w:pPr>
              <w:pStyle w:val="6"/>
              <w:spacing w:before="26" w:line="279" w:lineRule="auto"/>
              <w:ind w:left="23" w:hanging="19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4a </w:t>
            </w:r>
            <w:r>
              <w:rPr>
                <w:spacing w:val="5"/>
                <w:sz w:val="20"/>
                <w:szCs w:val="20"/>
              </w:rPr>
              <w:t>和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4b </w:t>
            </w:r>
            <w:r>
              <w:rPr>
                <w:spacing w:val="5"/>
                <w:sz w:val="20"/>
                <w:szCs w:val="20"/>
              </w:rPr>
              <w:t>类的区块面积全部取消，只保留道路（城市道路与城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5"/>
                <w:sz w:val="20"/>
                <w:szCs w:val="20"/>
              </w:rPr>
              <w:t>区铁路）两侧的功能区，并增加</w:t>
            </w:r>
            <w:r>
              <w:rPr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4 </w:t>
            </w:r>
            <w:r>
              <w:rPr>
                <w:spacing w:val="5"/>
                <w:sz w:val="20"/>
                <w:szCs w:val="20"/>
              </w:rPr>
              <w:t>类区各类道路（各条</w:t>
            </w:r>
            <w:r>
              <w:rPr>
                <w:spacing w:val="4"/>
                <w:sz w:val="20"/>
                <w:szCs w:val="20"/>
              </w:rPr>
              <w:t>道路名录）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的规划结果与规划图件。</w:t>
            </w:r>
          </w:p>
        </w:tc>
        <w:tc>
          <w:tcPr>
            <w:tcW w:w="2593" w:type="dxa"/>
            <w:tcBorders>
              <w:top w:val="nil"/>
              <w:bottom w:val="nil"/>
            </w:tcBorders>
            <w:vAlign w:val="top"/>
          </w:tcPr>
          <w:p w14:paraId="29373734">
            <w:pPr>
              <w:rPr>
                <w:rFonts w:ascii="Arial"/>
                <w:sz w:val="21"/>
              </w:rPr>
            </w:pPr>
          </w:p>
        </w:tc>
      </w:tr>
      <w:tr w14:paraId="1FBE1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 w:hRule="atLeast"/>
        </w:trPr>
        <w:tc>
          <w:tcPr>
            <w:tcW w:w="285" w:type="dxa"/>
            <w:vMerge w:val="continue"/>
            <w:tcBorders>
              <w:top w:val="nil"/>
            </w:tcBorders>
            <w:vAlign w:val="top"/>
          </w:tcPr>
          <w:p w14:paraId="0BBD4BD4">
            <w:pPr>
              <w:rPr>
                <w:rFonts w:ascii="Arial"/>
                <w:sz w:val="21"/>
              </w:rPr>
            </w:pPr>
          </w:p>
        </w:tc>
        <w:tc>
          <w:tcPr>
            <w:tcW w:w="5983" w:type="dxa"/>
            <w:tcBorders>
              <w:top w:val="nil"/>
            </w:tcBorders>
            <w:vAlign w:val="top"/>
          </w:tcPr>
          <w:p w14:paraId="7B1244EB">
            <w:pPr>
              <w:pStyle w:val="6"/>
              <w:spacing w:before="61" w:line="272" w:lineRule="auto"/>
              <w:ind w:left="10" w:right="99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、针对开化县声环境质量存在的问题与噪声相关投诉等具体情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pacing w:val="9"/>
                <w:sz w:val="20"/>
                <w:szCs w:val="20"/>
              </w:rPr>
              <w:t>况，进一步细化城市噪声控制措施及对策，使之落实更具针对性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与可操作性，从而促进开化的声环境质量的稳定与提升。</w:t>
            </w:r>
          </w:p>
        </w:tc>
        <w:tc>
          <w:tcPr>
            <w:tcW w:w="2593" w:type="dxa"/>
            <w:tcBorders>
              <w:top w:val="nil"/>
            </w:tcBorders>
            <w:vAlign w:val="top"/>
          </w:tcPr>
          <w:p w14:paraId="274DDF1A">
            <w:pPr>
              <w:rPr>
                <w:rFonts w:ascii="Arial"/>
                <w:sz w:val="21"/>
              </w:rPr>
            </w:pPr>
          </w:p>
        </w:tc>
      </w:tr>
    </w:tbl>
    <w:p w14:paraId="0B4828C4">
      <w:pPr>
        <w:pStyle w:val="2"/>
      </w:pPr>
    </w:p>
    <w:sectPr>
      <w:footerReference r:id="rId103" w:type="default"/>
      <w:pgSz w:w="11906" w:h="16839"/>
      <w:pgMar w:top="1431" w:right="1463" w:bottom="1151" w:left="1576" w:header="0" w:footer="98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7BAFC">
    <w:pPr>
      <w:spacing w:line="176" w:lineRule="auto"/>
      <w:ind w:left="438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2269F">
    <w:pPr>
      <w:spacing w:line="176" w:lineRule="auto"/>
      <w:ind w:left="43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D2AED">
    <w:pPr>
      <w:spacing w:line="176" w:lineRule="auto"/>
      <w:ind w:left="434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74327">
    <w:pPr>
      <w:spacing w:line="176" w:lineRule="auto"/>
      <w:ind w:left="4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E507D">
    <w:pPr>
      <w:spacing w:line="176" w:lineRule="auto"/>
      <w:ind w:left="434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583BE">
    <w:pPr>
      <w:spacing w:line="176" w:lineRule="auto"/>
      <w:ind w:left="434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45B24C">
    <w:pPr>
      <w:spacing w:line="176" w:lineRule="auto"/>
      <w:ind w:left="434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595E1B">
    <w:pPr>
      <w:spacing w:line="176" w:lineRule="auto"/>
      <w:ind w:left="434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10270">
    <w:pPr>
      <w:spacing w:line="176" w:lineRule="auto"/>
      <w:ind w:left="434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46ABC">
    <w:pPr>
      <w:spacing w:line="176" w:lineRule="auto"/>
      <w:ind w:left="434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593E4">
    <w:pPr>
      <w:spacing w:line="176" w:lineRule="auto"/>
      <w:ind w:left="434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AE0CC">
    <w:pPr>
      <w:spacing w:line="176" w:lineRule="auto"/>
      <w:ind w:left="437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CF708"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2C470"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9398E"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C052D">
    <w:pPr>
      <w:spacing w:line="176" w:lineRule="auto"/>
      <w:ind w:left="43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68BA1"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6EA25"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D29FD">
    <w:pPr>
      <w:spacing w:line="176" w:lineRule="auto"/>
      <w:ind w:left="43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503ED"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60451">
    <w:pPr>
      <w:spacing w:line="176" w:lineRule="auto"/>
      <w:ind w:left="430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E55F7">
    <w:pPr>
      <w:spacing w:line="176" w:lineRule="auto"/>
      <w:ind w:left="444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4F9BF">
    <w:pPr>
      <w:spacing w:line="176" w:lineRule="auto"/>
      <w:ind w:left="437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C0707">
    <w:pPr>
      <w:spacing w:line="176" w:lineRule="auto"/>
      <w:ind w:left="43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A50F48">
    <w:pPr>
      <w:spacing w:line="176" w:lineRule="auto"/>
      <w:ind w:left="44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8C081">
    <w:pPr>
      <w:spacing w:line="176" w:lineRule="auto"/>
      <w:ind w:left="44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67F33A"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D299E">
    <w:pPr>
      <w:spacing w:line="176" w:lineRule="auto"/>
      <w:ind w:left="445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190FE"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CE483"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D07D7">
    <w:pPr>
      <w:spacing w:line="176" w:lineRule="auto"/>
      <w:ind w:left="43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C2729"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25410"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2729A">
    <w:pPr>
      <w:spacing w:line="176" w:lineRule="auto"/>
      <w:ind w:left="436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AF7DB">
    <w:pPr>
      <w:spacing w:line="176" w:lineRule="auto"/>
      <w:ind w:left="432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1B165"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5C961">
    <w:pPr>
      <w:spacing w:line="176" w:lineRule="auto"/>
      <w:ind w:left="43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639047">
    <w:pPr>
      <w:spacing w:line="176" w:lineRule="auto"/>
      <w:ind w:left="43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518D1">
    <w:pPr>
      <w:spacing w:line="176" w:lineRule="auto"/>
      <w:ind w:left="42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53A4A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C2B1E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C7696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DB117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04E88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A83D4">
    <w:pPr>
      <w:spacing w:line="173" w:lineRule="auto"/>
      <w:ind w:left="437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79291">
    <w:pPr>
      <w:spacing w:line="176" w:lineRule="auto"/>
      <w:ind w:left="4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6BE5D">
    <w:pPr>
      <w:spacing w:line="176" w:lineRule="auto"/>
      <w:ind w:left="4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711C3"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031E6"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11857"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3B167">
    <w:pPr>
      <w:spacing w:line="173" w:lineRule="auto"/>
      <w:ind w:left="42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F8FBC9">
    <w:pPr>
      <w:spacing w:line="176" w:lineRule="auto"/>
      <w:ind w:left="4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150DB">
    <w:pPr>
      <w:spacing w:line="173" w:lineRule="auto"/>
      <w:ind w:left="416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F8239">
    <w:pPr>
      <w:spacing w:line="176" w:lineRule="auto"/>
      <w:ind w:left="4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58785">
    <w:pPr>
      <w:spacing w:line="176" w:lineRule="auto"/>
      <w:ind w:left="4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06DE5">
    <w:pPr>
      <w:spacing w:line="176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60DCFA">
    <w:pPr>
      <w:spacing w:line="176" w:lineRule="auto"/>
      <w:ind w:left="43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60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58866">
    <w:pPr>
      <w:spacing w:line="176" w:lineRule="auto"/>
      <w:ind w:left="43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61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3CCB3">
    <w:pPr>
      <w:spacing w:line="176" w:lineRule="auto"/>
      <w:ind w:left="43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62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DA0C0"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B7408"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0336D">
    <w:pPr>
      <w:spacing w:line="176" w:lineRule="auto"/>
      <w:ind w:left="43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479DC7">
    <w:pPr>
      <w:spacing w:line="176" w:lineRule="auto"/>
      <w:ind w:left="421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66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1F0C80">
    <w:pPr>
      <w:spacing w:line="176" w:lineRule="auto"/>
      <w:ind w:left="433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67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073C6"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68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4E2C2">
    <w:pPr>
      <w:spacing w:line="176" w:lineRule="auto"/>
      <w:ind w:left="43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EBC99">
    <w:pPr>
      <w:spacing w:line="173" w:lineRule="auto"/>
      <w:ind w:left="437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D0E9D">
    <w:pPr>
      <w:spacing w:line="176" w:lineRule="auto"/>
      <w:ind w:left="630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70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864C71">
    <w:pPr>
      <w:spacing w:line="176" w:lineRule="auto"/>
      <w:ind w:left="630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71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77780">
    <w:pPr>
      <w:spacing w:line="176" w:lineRule="auto"/>
      <w:ind w:left="439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72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90C10">
    <w:pPr>
      <w:spacing w:line="176" w:lineRule="auto"/>
      <w:ind w:left="445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73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89A69">
    <w:pPr>
      <w:spacing w:line="176" w:lineRule="auto"/>
      <w:ind w:left="43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9D7CD">
    <w:pPr>
      <w:spacing w:line="173" w:lineRule="auto"/>
      <w:ind w:left="43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A0FAD">
    <w:pPr>
      <w:spacing w:line="176" w:lineRule="auto"/>
      <w:ind w:left="43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C8B87">
    <w:pPr>
      <w:spacing w:line="173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BA3DF">
    <w:pPr>
      <w:spacing w:line="176" w:lineRule="auto"/>
      <w:ind w:left="43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37FBF">
    <w:pPr>
      <w:spacing w:line="176" w:lineRule="auto"/>
      <w:ind w:left="43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4FC2A">
    <w:pPr>
      <w:spacing w:line="176" w:lineRule="auto"/>
      <w:ind w:left="43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CF209"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6F89F">
    <w:pPr>
      <w:spacing w:line="176" w:lineRule="auto"/>
      <w:ind w:left="43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81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04DA7">
    <w:pPr>
      <w:spacing w:line="176" w:lineRule="auto"/>
      <w:ind w:left="43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82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5AC4D">
    <w:pPr>
      <w:spacing w:line="176" w:lineRule="auto"/>
      <w:ind w:left="43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83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B9722E">
    <w:pPr>
      <w:spacing w:line="176" w:lineRule="auto"/>
      <w:ind w:left="43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CCACB">
    <w:pPr>
      <w:spacing w:line="176" w:lineRule="auto"/>
      <w:ind w:left="43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9FB58">
    <w:pPr>
      <w:spacing w:line="176" w:lineRule="auto"/>
      <w:ind w:left="434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86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6D1D1">
    <w:pPr>
      <w:spacing w:line="176" w:lineRule="auto"/>
      <w:ind w:left="445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87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B4DDE1">
    <w:pPr>
      <w:spacing w:line="176" w:lineRule="auto"/>
      <w:ind w:left="414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88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A93ECC">
    <w:pPr>
      <w:spacing w:line="176" w:lineRule="auto"/>
      <w:ind w:left="414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B1584">
    <w:pPr>
      <w:spacing w:line="176" w:lineRule="auto"/>
      <w:ind w:left="437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6AB02">
    <w:pPr>
      <w:spacing w:line="176" w:lineRule="auto"/>
      <w:ind w:left="41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90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86A90">
    <w:pPr>
      <w:spacing w:line="176" w:lineRule="auto"/>
      <w:ind w:left="41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91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B7334">
    <w:pPr>
      <w:spacing w:line="176" w:lineRule="auto"/>
      <w:ind w:left="41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92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7A2C2">
    <w:pPr>
      <w:spacing w:line="176" w:lineRule="auto"/>
      <w:ind w:left="41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93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BC8B2">
    <w:pPr>
      <w:spacing w:line="176" w:lineRule="auto"/>
      <w:ind w:left="41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C02B">
    <w:pPr>
      <w:spacing w:line="176" w:lineRule="auto"/>
      <w:ind w:left="43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95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5C0334">
    <w:pPr>
      <w:spacing w:line="176" w:lineRule="auto"/>
      <w:ind w:left="43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96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9CE90">
    <w:pPr>
      <w:spacing w:line="176" w:lineRule="auto"/>
      <w:ind w:left="43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97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9A7B3">
    <w:pPr>
      <w:spacing w:line="176" w:lineRule="auto"/>
      <w:ind w:left="434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98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9317D">
    <w:pPr>
      <w:spacing w:line="176" w:lineRule="auto"/>
      <w:ind w:left="434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BC157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5" Type="http://schemas.openxmlformats.org/officeDocument/2006/relationships/fontTable" Target="fontTable.xml"/><Relationship Id="rId154" Type="http://schemas.openxmlformats.org/officeDocument/2006/relationships/image" Target="media/image50.jpeg"/><Relationship Id="rId153" Type="http://schemas.openxmlformats.org/officeDocument/2006/relationships/image" Target="media/image49.jpeg"/><Relationship Id="rId152" Type="http://schemas.openxmlformats.org/officeDocument/2006/relationships/image" Target="media/image48.jpeg"/><Relationship Id="rId151" Type="http://schemas.openxmlformats.org/officeDocument/2006/relationships/image" Target="media/image47.jpeg"/><Relationship Id="rId150" Type="http://schemas.openxmlformats.org/officeDocument/2006/relationships/image" Target="media/image46.jpeg"/><Relationship Id="rId15" Type="http://schemas.openxmlformats.org/officeDocument/2006/relationships/footer" Target="footer11.xml"/><Relationship Id="rId149" Type="http://schemas.openxmlformats.org/officeDocument/2006/relationships/image" Target="media/image45.jpeg"/><Relationship Id="rId148" Type="http://schemas.openxmlformats.org/officeDocument/2006/relationships/image" Target="media/image44.jpeg"/><Relationship Id="rId147" Type="http://schemas.openxmlformats.org/officeDocument/2006/relationships/image" Target="media/image43.jpeg"/><Relationship Id="rId146" Type="http://schemas.openxmlformats.org/officeDocument/2006/relationships/image" Target="media/image42.jpeg"/><Relationship Id="rId145" Type="http://schemas.openxmlformats.org/officeDocument/2006/relationships/image" Target="media/image41.jpeg"/><Relationship Id="rId144" Type="http://schemas.openxmlformats.org/officeDocument/2006/relationships/image" Target="media/image40.jpeg"/><Relationship Id="rId143" Type="http://schemas.openxmlformats.org/officeDocument/2006/relationships/image" Target="media/image39.png"/><Relationship Id="rId142" Type="http://schemas.openxmlformats.org/officeDocument/2006/relationships/image" Target="media/image38.jpeg"/><Relationship Id="rId141" Type="http://schemas.openxmlformats.org/officeDocument/2006/relationships/image" Target="media/image37.jpeg"/><Relationship Id="rId140" Type="http://schemas.openxmlformats.org/officeDocument/2006/relationships/image" Target="media/image36.png"/><Relationship Id="rId14" Type="http://schemas.openxmlformats.org/officeDocument/2006/relationships/footer" Target="footer10.xml"/><Relationship Id="rId139" Type="http://schemas.openxmlformats.org/officeDocument/2006/relationships/image" Target="media/image35.jpeg"/><Relationship Id="rId138" Type="http://schemas.openxmlformats.org/officeDocument/2006/relationships/image" Target="media/image34.jpeg"/><Relationship Id="rId137" Type="http://schemas.openxmlformats.org/officeDocument/2006/relationships/image" Target="media/image33.jpeg"/><Relationship Id="rId136" Type="http://schemas.openxmlformats.org/officeDocument/2006/relationships/image" Target="media/image32.jpeg"/><Relationship Id="rId135" Type="http://schemas.openxmlformats.org/officeDocument/2006/relationships/image" Target="media/image31.jpeg"/><Relationship Id="rId134" Type="http://schemas.openxmlformats.org/officeDocument/2006/relationships/image" Target="media/image30.jpeg"/><Relationship Id="rId133" Type="http://schemas.openxmlformats.org/officeDocument/2006/relationships/image" Target="media/image29.jpeg"/><Relationship Id="rId132" Type="http://schemas.openxmlformats.org/officeDocument/2006/relationships/image" Target="media/image28.jpeg"/><Relationship Id="rId131" Type="http://schemas.openxmlformats.org/officeDocument/2006/relationships/image" Target="media/image27.jpeg"/><Relationship Id="rId130" Type="http://schemas.openxmlformats.org/officeDocument/2006/relationships/image" Target="media/image26.jpeg"/><Relationship Id="rId13" Type="http://schemas.openxmlformats.org/officeDocument/2006/relationships/footer" Target="footer9.xml"/><Relationship Id="rId129" Type="http://schemas.openxmlformats.org/officeDocument/2006/relationships/image" Target="media/image25.jpeg"/><Relationship Id="rId128" Type="http://schemas.openxmlformats.org/officeDocument/2006/relationships/image" Target="media/image24.jpeg"/><Relationship Id="rId127" Type="http://schemas.openxmlformats.org/officeDocument/2006/relationships/image" Target="media/image23.jpeg"/><Relationship Id="rId126" Type="http://schemas.openxmlformats.org/officeDocument/2006/relationships/image" Target="media/image22.jpeg"/><Relationship Id="rId125" Type="http://schemas.openxmlformats.org/officeDocument/2006/relationships/image" Target="media/image21.jpeg"/><Relationship Id="rId124" Type="http://schemas.openxmlformats.org/officeDocument/2006/relationships/image" Target="media/image20.jpeg"/><Relationship Id="rId123" Type="http://schemas.openxmlformats.org/officeDocument/2006/relationships/image" Target="media/image19.jpeg"/><Relationship Id="rId122" Type="http://schemas.openxmlformats.org/officeDocument/2006/relationships/image" Target="media/image18.jpeg"/><Relationship Id="rId121" Type="http://schemas.openxmlformats.org/officeDocument/2006/relationships/image" Target="media/image17.jpeg"/><Relationship Id="rId120" Type="http://schemas.openxmlformats.org/officeDocument/2006/relationships/image" Target="media/image16.jpeg"/><Relationship Id="rId12" Type="http://schemas.openxmlformats.org/officeDocument/2006/relationships/footer" Target="footer8.xml"/><Relationship Id="rId119" Type="http://schemas.openxmlformats.org/officeDocument/2006/relationships/image" Target="media/image15.jpeg"/><Relationship Id="rId118" Type="http://schemas.openxmlformats.org/officeDocument/2006/relationships/image" Target="media/image14.jpeg"/><Relationship Id="rId117" Type="http://schemas.openxmlformats.org/officeDocument/2006/relationships/image" Target="media/image13.jpeg"/><Relationship Id="rId116" Type="http://schemas.openxmlformats.org/officeDocument/2006/relationships/image" Target="media/image12.jpeg"/><Relationship Id="rId115" Type="http://schemas.openxmlformats.org/officeDocument/2006/relationships/image" Target="media/image11.jpeg"/><Relationship Id="rId114" Type="http://schemas.openxmlformats.org/officeDocument/2006/relationships/image" Target="media/image10.jpeg"/><Relationship Id="rId113" Type="http://schemas.openxmlformats.org/officeDocument/2006/relationships/image" Target="media/image9.jpeg"/><Relationship Id="rId112" Type="http://schemas.openxmlformats.org/officeDocument/2006/relationships/image" Target="media/image8.jpeg"/><Relationship Id="rId111" Type="http://schemas.openxmlformats.org/officeDocument/2006/relationships/image" Target="media/image7.jpeg"/><Relationship Id="rId110" Type="http://schemas.openxmlformats.org/officeDocument/2006/relationships/image" Target="media/image6.jpeg"/><Relationship Id="rId11" Type="http://schemas.openxmlformats.org/officeDocument/2006/relationships/footer" Target="footer7.xml"/><Relationship Id="rId109" Type="http://schemas.openxmlformats.org/officeDocument/2006/relationships/image" Target="media/image5.jpeg"/><Relationship Id="rId108" Type="http://schemas.openxmlformats.org/officeDocument/2006/relationships/image" Target="media/image4.jpeg"/><Relationship Id="rId107" Type="http://schemas.openxmlformats.org/officeDocument/2006/relationships/image" Target="media/image3.jpeg"/><Relationship Id="rId106" Type="http://schemas.openxmlformats.org/officeDocument/2006/relationships/image" Target="media/image2.png"/><Relationship Id="rId105" Type="http://schemas.openxmlformats.org/officeDocument/2006/relationships/image" Target="media/image1.jpeg"/><Relationship Id="rId104" Type="http://schemas.openxmlformats.org/officeDocument/2006/relationships/theme" Target="theme/theme1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103</Pages>
  <Words>11655</Words>
  <Characters>13942</Characters>
  <TotalTime>0</TotalTime>
  <ScaleCrop>false</ScaleCrop>
  <LinksUpToDate>false</LinksUpToDate>
  <CharactersWithSpaces>15496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2025-04-14T16:13:00Z</dcterms:created>
  <dc:creator>图声天地001</dc:creator>
  <cp:lastModifiedBy>make_ing</cp:lastModifiedBy>
  <dcterms:modified xsi:type="dcterms:W3CDTF">2025-05-08T01:41:29Z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2025-04-14T16:15:30Z</vt:filetime>
  </property>
  <property fmtid="{D5CDD505-2E9C-101B-9397-08002B2CF9AE}" pid="4" name="KSOTemplateDocerSaveRecord">
    <vt:lpwstr>eyJoZGlkIjoiYWIwMDM5ZjRlYTAxYWEzZThhZjA0Mjg4MzMyYzdiOTUiLCJ1c2VySWQiOiI1OTAyOTk3NjIifQ==</vt:lpwstr>
  </property>
  <property fmtid="{D5CDD505-2E9C-101B-9397-08002B2CF9AE}" pid="5" name="KSOProductBuildVer">
    <vt:lpwstr>2052-12.1.0.19302</vt:lpwstr>
  </property>
  <property fmtid="{D5CDD505-2E9C-101B-9397-08002B2CF9AE}" pid="6" name="ICV">
    <vt:lpwstr>DC73CD2D71A14E4CA05D475DA3AC589E_12</vt:lpwstr>
  </property>
</Properties>
</file>