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DF" w:rsidRDefault="00623CDF">
      <w:pPr>
        <w:spacing w:line="579" w:lineRule="exact"/>
        <w:jc w:val="left"/>
        <w:rPr>
          <w:rFonts w:eastAsia="黑体"/>
          <w:spacing w:val="0"/>
        </w:rPr>
      </w:pPr>
      <w:bookmarkStart w:id="0" w:name="_GoBack"/>
      <w:bookmarkEnd w:id="0"/>
    </w:p>
    <w:p w:rsidR="00623CDF" w:rsidRDefault="00623CDF">
      <w:pPr>
        <w:pStyle w:val="1"/>
        <w:spacing w:before="0" w:after="0" w:line="579" w:lineRule="exact"/>
        <w:jc w:val="center"/>
        <w:rPr>
          <w:rFonts w:ascii="Times New Roman" w:eastAsia="方正小标宋简体" w:hAnsi="Times New Roman" w:cs="Times New Roman"/>
          <w:b w:val="0"/>
          <w:lang w:val="de-DE"/>
        </w:rPr>
      </w:pPr>
    </w:p>
    <w:p w:rsidR="00623CDF" w:rsidRDefault="00861DFB">
      <w:pPr>
        <w:pStyle w:val="1"/>
        <w:spacing w:before="0" w:after="0" w:line="579" w:lineRule="exact"/>
        <w:jc w:val="center"/>
        <w:rPr>
          <w:rFonts w:ascii="Times New Roman" w:eastAsia="方正小标宋简体" w:hAnsi="Times New Roman" w:cs="Times New Roman"/>
          <w:b w:val="0"/>
          <w:lang w:val="de-DE"/>
        </w:rPr>
      </w:pPr>
      <w:r>
        <w:rPr>
          <w:rFonts w:ascii="Times New Roman" w:eastAsia="方正小标宋简体" w:hAnsi="Times New Roman" w:cs="Times New Roman"/>
          <w:b w:val="0"/>
          <w:lang w:val="de-DE"/>
        </w:rPr>
        <w:t>浙江省电力零售市场管理办法</w:t>
      </w:r>
    </w:p>
    <w:p w:rsidR="00623CDF" w:rsidRDefault="00861DFB">
      <w:pPr>
        <w:pStyle w:val="1"/>
        <w:spacing w:before="0" w:after="0" w:line="579" w:lineRule="exact"/>
        <w:jc w:val="center"/>
        <w:rPr>
          <w:rFonts w:ascii="Times New Roman" w:eastAsia="方正小标宋简体" w:hAnsi="Times New Roman" w:cs="Times New Roman"/>
          <w:b w:val="0"/>
          <w:lang w:val="de-DE"/>
        </w:rPr>
      </w:pPr>
      <w:r>
        <w:rPr>
          <w:rFonts w:ascii="Times New Roman" w:eastAsia="方正小标宋简体" w:hAnsi="Times New Roman" w:cs="Times New Roman"/>
          <w:b w:val="0"/>
          <w:lang w:val="de-DE"/>
        </w:rPr>
        <w:t>（</w:t>
      </w:r>
      <w:r>
        <w:rPr>
          <w:rFonts w:ascii="Times New Roman" w:eastAsia="方正小标宋简体" w:hAnsi="Times New Roman" w:cs="Times New Roman"/>
          <w:b w:val="0"/>
          <w:lang w:val="de-DE"/>
        </w:rPr>
        <w:t>试行</w:t>
      </w:r>
      <w:r>
        <w:rPr>
          <w:rFonts w:ascii="Times New Roman" w:eastAsia="方正小标宋简体" w:hAnsi="Times New Roman" w:cs="Times New Roman"/>
          <w:b w:val="0"/>
          <w:lang w:val="de-DE"/>
        </w:rPr>
        <w:t>）</w:t>
      </w:r>
    </w:p>
    <w:p w:rsidR="00623CDF" w:rsidRDefault="00623CDF">
      <w:pPr>
        <w:spacing w:line="579" w:lineRule="exact"/>
      </w:pP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一、</w:t>
      </w:r>
      <w:r>
        <w:rPr>
          <w:rFonts w:eastAsia="黑体"/>
          <w:color w:val="000000"/>
          <w:szCs w:val="32"/>
        </w:rPr>
        <w:t>总则</w:t>
      </w:r>
    </w:p>
    <w:p w:rsidR="00623CDF" w:rsidRDefault="00861DFB">
      <w:pPr>
        <w:snapToGrid w:val="0"/>
        <w:spacing w:line="579" w:lineRule="exact"/>
        <w:ind w:firstLineChars="200" w:firstLine="616"/>
        <w:outlineLvl w:val="1"/>
        <w:rPr>
          <w:color w:val="000000"/>
          <w:szCs w:val="32"/>
        </w:rPr>
      </w:pPr>
      <w:r>
        <w:rPr>
          <w:color w:val="000000"/>
          <w:szCs w:val="32"/>
        </w:rPr>
        <w:t>（一）为建立规范、高效的电力零售市场，营造良好的零售市场环境，依据有关法规政策和市场规则，结合浙江实际，制定本办法。</w:t>
      </w:r>
    </w:p>
    <w:p w:rsidR="00623CDF" w:rsidRDefault="00861DFB">
      <w:pPr>
        <w:snapToGrid w:val="0"/>
        <w:spacing w:line="579" w:lineRule="exact"/>
        <w:ind w:firstLineChars="200" w:firstLine="616"/>
        <w:outlineLvl w:val="1"/>
        <w:rPr>
          <w:color w:val="000000"/>
          <w:szCs w:val="32"/>
        </w:rPr>
      </w:pPr>
      <w:r>
        <w:rPr>
          <w:color w:val="000000"/>
          <w:szCs w:val="32"/>
        </w:rPr>
        <w:t>（二）本办法适用于浙江省售电公司与零售用户之间开展的电力零售交易。</w:t>
      </w:r>
    </w:p>
    <w:p w:rsidR="00623CDF" w:rsidRDefault="00861DFB">
      <w:pPr>
        <w:snapToGrid w:val="0"/>
        <w:spacing w:line="579" w:lineRule="exact"/>
        <w:ind w:firstLineChars="200" w:firstLine="616"/>
        <w:outlineLvl w:val="1"/>
        <w:rPr>
          <w:color w:val="000000"/>
          <w:szCs w:val="32"/>
        </w:rPr>
      </w:pPr>
      <w:r>
        <w:rPr>
          <w:color w:val="000000"/>
          <w:szCs w:val="32"/>
        </w:rPr>
        <w:t>（三）售电公司和零售用户的准入、权利义务以及电力交易机构、电网企业的权责等本办法未包含的事项按照有关法规政策和市场规则执行。</w:t>
      </w:r>
    </w:p>
    <w:p w:rsidR="00623CDF" w:rsidRDefault="00861DFB">
      <w:pPr>
        <w:snapToGrid w:val="0"/>
        <w:spacing w:line="579" w:lineRule="exact"/>
        <w:ind w:firstLineChars="200" w:firstLine="616"/>
        <w:outlineLvl w:val="1"/>
        <w:rPr>
          <w:color w:val="000000"/>
          <w:szCs w:val="32"/>
        </w:rPr>
      </w:pPr>
      <w:r>
        <w:rPr>
          <w:color w:val="000000"/>
          <w:szCs w:val="32"/>
        </w:rPr>
        <w:t>（四）各级人民政府能源主管部门、市场监管部门、国家能源局浙江监管办公室（以下简称浙江能源监管办）根据职能依法履行浙江电力零售市场交易监管职责。</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二、市场成员及其权利与义务</w:t>
      </w:r>
    </w:p>
    <w:p w:rsidR="00623CDF" w:rsidRDefault="00861DFB">
      <w:pPr>
        <w:snapToGrid w:val="0"/>
        <w:spacing w:line="579" w:lineRule="exact"/>
        <w:ind w:firstLineChars="200" w:firstLine="616"/>
        <w:outlineLvl w:val="1"/>
        <w:rPr>
          <w:color w:val="000000"/>
          <w:szCs w:val="32"/>
        </w:rPr>
      </w:pPr>
      <w:r>
        <w:rPr>
          <w:color w:val="000000"/>
          <w:szCs w:val="32"/>
        </w:rPr>
        <w:t>（一）市场成员包括售电公司、零售用户、电力交易机构、电网企业等。零售用户指向售电公司购电的电力用户。在一个合同有效期内，零售用户只能向一家售电公司购电、签订零售合同，且全部电量均通过该售电公司购买。</w:t>
      </w:r>
    </w:p>
    <w:p w:rsidR="00623CDF" w:rsidRDefault="00861DFB">
      <w:pPr>
        <w:snapToGrid w:val="0"/>
        <w:spacing w:line="579" w:lineRule="exact"/>
        <w:ind w:firstLineChars="200" w:firstLine="616"/>
        <w:outlineLvl w:val="1"/>
        <w:rPr>
          <w:color w:val="000000"/>
          <w:szCs w:val="32"/>
        </w:rPr>
      </w:pPr>
      <w:r>
        <w:rPr>
          <w:color w:val="000000"/>
          <w:szCs w:val="32"/>
        </w:rPr>
        <w:lastRenderedPageBreak/>
        <w:t>（二）零售用户的权利和义务：</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按照电力法规政策、市场规则向售电公司报送用电需求；</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根据本办法规定参与零售交易；</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履行与售电公司签订的零售合同；</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法规政策和市场规则规定的其他权利和义务。</w:t>
      </w:r>
    </w:p>
    <w:p w:rsidR="00623CDF" w:rsidRDefault="00861DFB">
      <w:pPr>
        <w:snapToGrid w:val="0"/>
        <w:spacing w:line="579" w:lineRule="exact"/>
        <w:ind w:firstLineChars="200" w:firstLine="616"/>
        <w:outlineLvl w:val="1"/>
        <w:rPr>
          <w:color w:val="000000"/>
          <w:szCs w:val="32"/>
        </w:rPr>
      </w:pPr>
      <w:r>
        <w:rPr>
          <w:color w:val="000000"/>
          <w:szCs w:val="32"/>
        </w:rPr>
        <w:t>（三）售电公司的权利与义务：</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按照市场规则参与市场交易，签订和履行市场化交易合同，按时完成电费结算；</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承担代理的零售用户相关信息的保密义务；</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对代理的零售用户开展相关培训，并做好售电服务；</w:t>
      </w:r>
      <w:r>
        <w:rPr>
          <w:color w:val="000000"/>
          <w:szCs w:val="32"/>
        </w:rPr>
        <w:t xml:space="preserve"> </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法规政策和市场规则规定的其他权利和义务。</w:t>
      </w:r>
    </w:p>
    <w:p w:rsidR="00623CDF" w:rsidRDefault="00861DFB">
      <w:pPr>
        <w:snapToGrid w:val="0"/>
        <w:spacing w:line="579" w:lineRule="exact"/>
        <w:ind w:firstLineChars="200" w:firstLine="616"/>
        <w:outlineLvl w:val="1"/>
        <w:rPr>
          <w:color w:val="000000"/>
          <w:szCs w:val="32"/>
        </w:rPr>
      </w:pPr>
      <w:r>
        <w:rPr>
          <w:color w:val="000000"/>
          <w:szCs w:val="32"/>
        </w:rPr>
        <w:t>（四）电力交易机构的权利和义务：</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参与拟定零售市场相应管理细则；</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按职责做好市场主体注册、绑定等管理；</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负责电力交易平台零售交易模块的建设和运维工作。</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开展售电公司信用管理；</w:t>
      </w:r>
    </w:p>
    <w:p w:rsidR="00623CDF" w:rsidRDefault="00861DFB">
      <w:pPr>
        <w:snapToGrid w:val="0"/>
        <w:spacing w:line="579" w:lineRule="exact"/>
        <w:ind w:firstLineChars="200" w:firstLine="616"/>
        <w:rPr>
          <w:color w:val="000000"/>
          <w:szCs w:val="32"/>
        </w:rPr>
      </w:pPr>
      <w:r>
        <w:rPr>
          <w:color w:val="000000"/>
          <w:szCs w:val="32"/>
        </w:rPr>
        <w:t>5.</w:t>
      </w:r>
      <w:r>
        <w:rPr>
          <w:color w:val="000000"/>
          <w:szCs w:val="32"/>
        </w:rPr>
        <w:t>法规政策</w:t>
      </w:r>
      <w:r>
        <w:rPr>
          <w:color w:val="000000"/>
          <w:szCs w:val="32"/>
          <w:lang w:eastAsia="zh-Hans"/>
        </w:rPr>
        <w:t>和市场规则</w:t>
      </w:r>
      <w:r>
        <w:rPr>
          <w:color w:val="000000"/>
          <w:szCs w:val="32"/>
        </w:rPr>
        <w:t>规定的其他权利和义务。</w:t>
      </w:r>
    </w:p>
    <w:p w:rsidR="00623CDF" w:rsidRDefault="00861DFB">
      <w:pPr>
        <w:snapToGrid w:val="0"/>
        <w:spacing w:line="579" w:lineRule="exact"/>
        <w:ind w:firstLineChars="200" w:firstLine="616"/>
        <w:outlineLvl w:val="1"/>
        <w:rPr>
          <w:color w:val="000000"/>
          <w:szCs w:val="32"/>
        </w:rPr>
      </w:pPr>
      <w:r>
        <w:rPr>
          <w:color w:val="000000"/>
          <w:szCs w:val="32"/>
        </w:rPr>
        <w:t>（五）电网企业的权利和义务：</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负责零售用户用电信息维护和变更；</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根据结算依据对零售电力用户和售电公司进行电费结算；</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负责零售用户用电计量、电费核算、电费收取及电费退补；</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法规政策</w:t>
      </w:r>
      <w:r>
        <w:rPr>
          <w:color w:val="000000"/>
          <w:szCs w:val="32"/>
          <w:lang w:eastAsia="zh-Hans"/>
        </w:rPr>
        <w:t>和市场规则</w:t>
      </w:r>
      <w:r>
        <w:rPr>
          <w:color w:val="000000"/>
          <w:szCs w:val="32"/>
        </w:rPr>
        <w:t>规定的其他权利和义务。</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lastRenderedPageBreak/>
        <w:t>三、零售合同</w:t>
      </w:r>
    </w:p>
    <w:p w:rsidR="00623CDF" w:rsidRDefault="00861DFB">
      <w:pPr>
        <w:snapToGrid w:val="0"/>
        <w:spacing w:line="579" w:lineRule="exact"/>
        <w:ind w:firstLineChars="200" w:firstLine="616"/>
        <w:outlineLvl w:val="1"/>
        <w:rPr>
          <w:color w:val="000000"/>
          <w:szCs w:val="32"/>
        </w:rPr>
      </w:pPr>
      <w:r>
        <w:rPr>
          <w:color w:val="000000"/>
          <w:szCs w:val="32"/>
        </w:rPr>
        <w:t>（一）售电公司与零售用户应在电力交易平台零售交易模块（</w:t>
      </w:r>
      <w:r>
        <w:rPr>
          <w:rFonts w:hint="eastAsia"/>
          <w:color w:val="000000"/>
          <w:szCs w:val="32"/>
        </w:rPr>
        <w:t>包括网页端和</w:t>
      </w:r>
      <w:r>
        <w:rPr>
          <w:rFonts w:hint="eastAsia"/>
          <w:color w:val="000000"/>
          <w:szCs w:val="32"/>
        </w:rPr>
        <w:t>移动端，</w:t>
      </w:r>
      <w:r>
        <w:rPr>
          <w:color w:val="000000"/>
          <w:szCs w:val="32"/>
        </w:rPr>
        <w:t>以下简称交易平台）签订电力零售交易合同（以下简称零售合同）。交易机构应在具备条件时开放相关接口，为合同签订提供便利。</w:t>
      </w:r>
    </w:p>
    <w:p w:rsidR="00623CDF" w:rsidRDefault="00861DFB">
      <w:pPr>
        <w:snapToGrid w:val="0"/>
        <w:spacing w:line="579" w:lineRule="exact"/>
        <w:ind w:firstLineChars="200" w:firstLine="616"/>
        <w:outlineLvl w:val="1"/>
        <w:rPr>
          <w:color w:val="000000"/>
          <w:szCs w:val="32"/>
        </w:rPr>
      </w:pPr>
      <w:r>
        <w:rPr>
          <w:color w:val="000000"/>
          <w:szCs w:val="32"/>
        </w:rPr>
        <w:t>（二）零售合同采用电子合同签订，市场成员应当依法使用可靠的电子印章，电子合同与纸质合同具备同等效力，不再另行签订纸质合同。为稳妥推进零售合同签订，可设置过渡期。</w:t>
      </w:r>
    </w:p>
    <w:p w:rsidR="00623CDF" w:rsidRDefault="00861DFB">
      <w:pPr>
        <w:snapToGrid w:val="0"/>
        <w:spacing w:line="579" w:lineRule="exact"/>
        <w:ind w:firstLineChars="200" w:firstLine="616"/>
        <w:outlineLvl w:val="1"/>
        <w:rPr>
          <w:color w:val="000000"/>
          <w:szCs w:val="32"/>
        </w:rPr>
      </w:pPr>
      <w:r>
        <w:rPr>
          <w:color w:val="000000"/>
          <w:szCs w:val="32"/>
        </w:rPr>
        <w:t>（三）交易平台签订的零售合同为零售用户同售电公司绑定的依据，绑定有效期同零售合同有效期。</w:t>
      </w:r>
    </w:p>
    <w:p w:rsidR="00623CDF" w:rsidRDefault="00861DFB">
      <w:pPr>
        <w:snapToGrid w:val="0"/>
        <w:spacing w:line="579" w:lineRule="exact"/>
        <w:ind w:firstLineChars="200" w:firstLine="616"/>
        <w:outlineLvl w:val="1"/>
        <w:rPr>
          <w:color w:val="000000"/>
          <w:szCs w:val="32"/>
        </w:rPr>
      </w:pPr>
      <w:r>
        <w:rPr>
          <w:color w:val="000000"/>
          <w:szCs w:val="32"/>
        </w:rPr>
        <w:t>（四）零售合同结算资费以售电公司和零售用户确认的零售套餐为准，其余条款遵照浙江能源监管办提供的合同示范文本。</w:t>
      </w:r>
    </w:p>
    <w:p w:rsidR="00623CDF" w:rsidRDefault="00861DFB">
      <w:pPr>
        <w:snapToGrid w:val="0"/>
        <w:spacing w:line="579" w:lineRule="exact"/>
        <w:ind w:firstLineChars="200" w:firstLine="616"/>
        <w:outlineLvl w:val="1"/>
        <w:rPr>
          <w:color w:val="000000"/>
          <w:szCs w:val="32"/>
        </w:rPr>
      </w:pPr>
      <w:r>
        <w:rPr>
          <w:color w:val="000000"/>
          <w:szCs w:val="32"/>
        </w:rPr>
        <w:t>（五）零售套餐是售电公司向零售用户销售电力并约定资费的一种销售形式。</w:t>
      </w:r>
    </w:p>
    <w:p w:rsidR="00623CDF" w:rsidRDefault="00861DFB">
      <w:pPr>
        <w:snapToGrid w:val="0"/>
        <w:spacing w:line="579" w:lineRule="exact"/>
        <w:ind w:firstLineChars="200" w:firstLine="616"/>
        <w:outlineLvl w:val="1"/>
        <w:rPr>
          <w:color w:val="000000"/>
          <w:szCs w:val="32"/>
        </w:rPr>
      </w:pPr>
      <w:r>
        <w:rPr>
          <w:color w:val="000000"/>
          <w:szCs w:val="32"/>
        </w:rPr>
        <w:t>（六）售电公司应在零售套餐中约定向零售用户售电的期限，包括起始月份和终止月份。零</w:t>
      </w:r>
      <w:r>
        <w:rPr>
          <w:color w:val="000000"/>
          <w:szCs w:val="32"/>
        </w:rPr>
        <w:t>售套餐按自然月生效，</w:t>
      </w:r>
      <w:r>
        <w:rPr>
          <w:color w:val="000000"/>
          <w:szCs w:val="32"/>
        </w:rPr>
        <w:t>原则上</w:t>
      </w:r>
      <w:r>
        <w:rPr>
          <w:color w:val="000000"/>
          <w:szCs w:val="32"/>
        </w:rPr>
        <w:t>起始月份不早于次月，终止月份不晚于起始月份当年</w:t>
      </w:r>
      <w:r>
        <w:rPr>
          <w:color w:val="000000"/>
          <w:szCs w:val="32"/>
        </w:rPr>
        <w:t>12</w:t>
      </w:r>
      <w:r>
        <w:rPr>
          <w:color w:val="000000"/>
          <w:szCs w:val="32"/>
        </w:rPr>
        <w:t>月。</w:t>
      </w:r>
    </w:p>
    <w:p w:rsidR="00623CDF" w:rsidRDefault="00861DFB">
      <w:pPr>
        <w:snapToGrid w:val="0"/>
        <w:spacing w:line="579" w:lineRule="exact"/>
        <w:ind w:firstLineChars="200" w:firstLine="616"/>
        <w:outlineLvl w:val="1"/>
        <w:rPr>
          <w:color w:val="000000"/>
          <w:szCs w:val="32"/>
        </w:rPr>
      </w:pPr>
      <w:r>
        <w:rPr>
          <w:color w:val="000000"/>
          <w:szCs w:val="32"/>
        </w:rPr>
        <w:t>（七）市场初期，售电公司与零售用户应按照《浙江省电力零售套餐模式》规定的零售套餐种类开展零售交易，除另有规定外不得约定套餐外条款。</w:t>
      </w:r>
    </w:p>
    <w:p w:rsidR="00623CDF" w:rsidRDefault="00861DFB">
      <w:pPr>
        <w:snapToGrid w:val="0"/>
        <w:spacing w:line="579" w:lineRule="exact"/>
        <w:ind w:firstLineChars="200" w:firstLine="616"/>
        <w:outlineLvl w:val="1"/>
        <w:rPr>
          <w:color w:val="000000"/>
          <w:szCs w:val="32"/>
        </w:rPr>
      </w:pPr>
      <w:r>
        <w:rPr>
          <w:color w:val="000000"/>
          <w:szCs w:val="32"/>
        </w:rPr>
        <w:t>（八）每年</w:t>
      </w:r>
      <w:r>
        <w:rPr>
          <w:color w:val="000000"/>
          <w:szCs w:val="32"/>
        </w:rPr>
        <w:t>9</w:t>
      </w:r>
      <w:r>
        <w:rPr>
          <w:color w:val="000000"/>
          <w:szCs w:val="32"/>
        </w:rPr>
        <w:t>月底前更新发布次年《浙江省电力零售套餐指南》，若未发布则沿用原有模式。</w:t>
      </w:r>
    </w:p>
    <w:p w:rsidR="00623CDF" w:rsidRDefault="00861DFB">
      <w:pPr>
        <w:snapToGrid w:val="0"/>
        <w:spacing w:line="579" w:lineRule="exact"/>
        <w:ind w:firstLineChars="200" w:firstLine="616"/>
        <w:outlineLvl w:val="1"/>
        <w:rPr>
          <w:color w:val="000000"/>
          <w:szCs w:val="32"/>
        </w:rPr>
      </w:pPr>
      <w:r>
        <w:rPr>
          <w:color w:val="000000"/>
          <w:szCs w:val="32"/>
        </w:rPr>
        <w:lastRenderedPageBreak/>
        <w:t>（九）代理零售用户参与绿电交易的售电公司，应在交易平台提交当月绿电电量及价格，经对应零售用户确认后生效，提交与确认时间不得晚于当月月底前</w:t>
      </w:r>
      <w:r>
        <w:rPr>
          <w:color w:val="000000"/>
          <w:szCs w:val="32"/>
        </w:rPr>
        <w:t>2</w:t>
      </w:r>
      <w:r>
        <w:rPr>
          <w:color w:val="000000"/>
          <w:szCs w:val="32"/>
        </w:rPr>
        <w:t>日。逾期未确认的视为无效信息。零售用户实际用电量超出部分按照该用户零售套餐结</w:t>
      </w:r>
      <w:r>
        <w:rPr>
          <w:color w:val="000000"/>
          <w:szCs w:val="32"/>
        </w:rPr>
        <w:t>算。</w:t>
      </w:r>
    </w:p>
    <w:p w:rsidR="00623CDF" w:rsidRDefault="00861DFB">
      <w:pPr>
        <w:snapToGrid w:val="0"/>
        <w:spacing w:line="579" w:lineRule="exact"/>
        <w:ind w:firstLineChars="200" w:firstLine="616"/>
        <w:outlineLvl w:val="1"/>
        <w:rPr>
          <w:color w:val="000000"/>
          <w:szCs w:val="32"/>
        </w:rPr>
      </w:pPr>
      <w:r>
        <w:rPr>
          <w:color w:val="000000"/>
          <w:szCs w:val="32"/>
        </w:rPr>
        <w:t>（十）零售套餐确认方式分为</w:t>
      </w:r>
      <w:bookmarkStart w:id="1" w:name="_Hlk117172401"/>
      <w:r>
        <w:rPr>
          <w:color w:val="000000"/>
          <w:szCs w:val="32"/>
        </w:rPr>
        <w:t>明码标价</w:t>
      </w:r>
      <w:bookmarkEnd w:id="1"/>
      <w:r>
        <w:rPr>
          <w:color w:val="000000"/>
          <w:szCs w:val="32"/>
        </w:rPr>
        <w:t>方式和协商议价方式。明码标价方式指售电公司按照规定的套餐种类，明确套餐各项参数并在交易平台中进行挂牌。协商议价方式指售电公司与零售用户按照规定的套餐种类，协商确定套餐各项参数并在交易平台提交零售套餐。</w:t>
      </w:r>
    </w:p>
    <w:p w:rsidR="00623CDF" w:rsidRDefault="00861DFB">
      <w:pPr>
        <w:snapToGrid w:val="0"/>
        <w:spacing w:line="579" w:lineRule="exact"/>
        <w:ind w:firstLineChars="200" w:firstLine="616"/>
        <w:outlineLvl w:val="1"/>
        <w:rPr>
          <w:color w:val="000000"/>
          <w:szCs w:val="32"/>
        </w:rPr>
      </w:pPr>
      <w:r>
        <w:rPr>
          <w:color w:val="000000"/>
          <w:szCs w:val="32"/>
        </w:rPr>
        <w:t>（十一）零售用户同一户号</w:t>
      </w:r>
      <w:r>
        <w:rPr>
          <w:color w:val="000000"/>
          <w:szCs w:val="32"/>
        </w:rPr>
        <w:t>须在售电时限内与同一售电公司</w:t>
      </w:r>
      <w:r>
        <w:rPr>
          <w:color w:val="000000"/>
          <w:szCs w:val="32"/>
        </w:rPr>
        <w:t>签订</w:t>
      </w:r>
      <w:r>
        <w:rPr>
          <w:rFonts w:hint="eastAsia"/>
          <w:color w:val="000000"/>
          <w:szCs w:val="32"/>
        </w:rPr>
        <w:t>同一</w:t>
      </w:r>
      <w:r>
        <w:rPr>
          <w:color w:val="000000"/>
          <w:szCs w:val="32"/>
        </w:rPr>
        <w:t>零售合同。</w:t>
      </w:r>
    </w:p>
    <w:p w:rsidR="00623CDF" w:rsidRDefault="00861DFB">
      <w:pPr>
        <w:snapToGrid w:val="0"/>
        <w:spacing w:line="579" w:lineRule="exact"/>
        <w:ind w:firstLineChars="200" w:firstLine="616"/>
        <w:outlineLvl w:val="1"/>
        <w:rPr>
          <w:color w:val="000000"/>
          <w:szCs w:val="32"/>
        </w:rPr>
      </w:pPr>
      <w:r>
        <w:rPr>
          <w:color w:val="000000"/>
          <w:szCs w:val="32"/>
        </w:rPr>
        <w:t>（十二）零售用户可与售电公司协商确定偏差考核条款，双方协商一致情况下可不进行偏差考核，将协商结果提交交易平台。鼓励售电公司不对</w:t>
      </w:r>
      <w:r>
        <w:rPr>
          <w:color w:val="000000"/>
          <w:szCs w:val="32"/>
        </w:rPr>
        <w:t>35</w:t>
      </w:r>
      <w:r>
        <w:rPr>
          <w:color w:val="000000"/>
          <w:szCs w:val="32"/>
        </w:rPr>
        <w:t>千伏以下用电电压等级的零售用户</w:t>
      </w:r>
      <w:r>
        <w:rPr>
          <w:color w:val="000000"/>
          <w:szCs w:val="32"/>
        </w:rPr>
        <w:t>进行偏差考核。</w:t>
      </w:r>
    </w:p>
    <w:p w:rsidR="00623CDF" w:rsidRDefault="00861DFB">
      <w:pPr>
        <w:snapToGrid w:val="0"/>
        <w:spacing w:line="579" w:lineRule="exact"/>
        <w:ind w:firstLineChars="200" w:firstLine="616"/>
        <w:outlineLvl w:val="1"/>
        <w:rPr>
          <w:color w:val="000000"/>
          <w:szCs w:val="32"/>
        </w:rPr>
      </w:pPr>
      <w:r>
        <w:rPr>
          <w:color w:val="000000"/>
          <w:szCs w:val="32"/>
        </w:rPr>
        <w:t>（十三）售电公司收取的零售用户偏差考核费超出批发交易偏差考核费用一定</w:t>
      </w:r>
      <w:r>
        <w:rPr>
          <w:color w:val="000000"/>
          <w:szCs w:val="32"/>
        </w:rPr>
        <w:t>额度</w:t>
      </w:r>
      <w:r>
        <w:rPr>
          <w:color w:val="000000"/>
          <w:szCs w:val="32"/>
        </w:rPr>
        <w:t>的（即当月售电公司代理零售用户实际用电量乘以</w:t>
      </w:r>
      <w:r>
        <w:rPr>
          <w:color w:val="000000"/>
          <w:szCs w:val="32"/>
        </w:rPr>
        <w:t>0.1</w:t>
      </w:r>
      <w:r>
        <w:rPr>
          <w:color w:val="000000"/>
          <w:szCs w:val="32"/>
        </w:rPr>
        <w:t>厘</w:t>
      </w:r>
      <w:r>
        <w:rPr>
          <w:color w:val="000000"/>
          <w:szCs w:val="32"/>
        </w:rPr>
        <w:t>/</w:t>
      </w:r>
      <w:r>
        <w:rPr>
          <w:color w:val="000000"/>
          <w:szCs w:val="32"/>
        </w:rPr>
        <w:t>千瓦时），超出</w:t>
      </w:r>
      <w:r>
        <w:rPr>
          <w:color w:val="000000"/>
          <w:szCs w:val="32"/>
        </w:rPr>
        <w:t>额度</w:t>
      </w:r>
      <w:r>
        <w:rPr>
          <w:color w:val="000000"/>
          <w:szCs w:val="32"/>
        </w:rPr>
        <w:t>部分按代理零售用户偏差考核费用金额占比情况予以返还</w:t>
      </w:r>
      <w:r>
        <w:rPr>
          <w:color w:val="000000"/>
          <w:szCs w:val="32"/>
        </w:rPr>
        <w:t>至代理零售用户</w:t>
      </w:r>
      <w:r>
        <w:rPr>
          <w:color w:val="000000"/>
          <w:szCs w:val="32"/>
        </w:rPr>
        <w:t>。</w:t>
      </w:r>
    </w:p>
    <w:p w:rsidR="00623CDF" w:rsidRDefault="00861DFB">
      <w:pPr>
        <w:snapToGrid w:val="0"/>
        <w:spacing w:line="579" w:lineRule="exact"/>
        <w:ind w:firstLineChars="200" w:firstLine="616"/>
        <w:outlineLvl w:val="1"/>
        <w:rPr>
          <w:color w:val="000000"/>
          <w:szCs w:val="32"/>
        </w:rPr>
      </w:pPr>
      <w:r>
        <w:rPr>
          <w:color w:val="000000"/>
          <w:szCs w:val="32"/>
        </w:rPr>
        <w:t>（十四）因偏差考核减免等政策减免售电公司批发侧偏差考核的，相应时间段的零售用户偏差考核同时减免。</w:t>
      </w:r>
    </w:p>
    <w:p w:rsidR="00623CDF" w:rsidRDefault="00861DFB">
      <w:pPr>
        <w:snapToGrid w:val="0"/>
        <w:spacing w:line="579" w:lineRule="exact"/>
        <w:ind w:firstLineChars="200" w:firstLine="616"/>
        <w:outlineLvl w:val="1"/>
        <w:rPr>
          <w:color w:val="000000"/>
          <w:szCs w:val="32"/>
        </w:rPr>
      </w:pPr>
      <w:r>
        <w:rPr>
          <w:color w:val="000000"/>
          <w:szCs w:val="32"/>
        </w:rPr>
        <w:t>（十五）与售电公司协商确定偏差考核条款的零售用户，应</w:t>
      </w:r>
      <w:r>
        <w:rPr>
          <w:color w:val="000000"/>
          <w:szCs w:val="32"/>
        </w:rPr>
        <w:lastRenderedPageBreak/>
        <w:t>在每月</w:t>
      </w:r>
      <w:r>
        <w:rPr>
          <w:color w:val="000000"/>
          <w:szCs w:val="32"/>
        </w:rPr>
        <w:t>15</w:t>
      </w:r>
      <w:r>
        <w:rPr>
          <w:color w:val="000000"/>
          <w:szCs w:val="32"/>
        </w:rPr>
        <w:t>日前在交易平台报送次月用电需求。如需调整当月用电需求，应在和售电公司协商一致情况下，在当月</w:t>
      </w:r>
      <w:r>
        <w:rPr>
          <w:color w:val="000000"/>
          <w:szCs w:val="32"/>
        </w:rPr>
        <w:t>15</w:t>
      </w:r>
      <w:r>
        <w:rPr>
          <w:color w:val="000000"/>
          <w:szCs w:val="32"/>
        </w:rPr>
        <w:t>日前在交易平台修改当月用电需求。</w:t>
      </w:r>
    </w:p>
    <w:p w:rsidR="00623CDF" w:rsidRDefault="00861DFB">
      <w:pPr>
        <w:snapToGrid w:val="0"/>
        <w:spacing w:line="579" w:lineRule="exact"/>
        <w:ind w:firstLineChars="200" w:firstLine="616"/>
        <w:outlineLvl w:val="1"/>
        <w:rPr>
          <w:color w:val="000000"/>
          <w:szCs w:val="32"/>
        </w:rPr>
      </w:pPr>
      <w:r>
        <w:rPr>
          <w:color w:val="000000"/>
          <w:szCs w:val="32"/>
        </w:rPr>
        <w:t>（十六）售电公司价差电费指售电公司在零售市场收入减去批发市场支出。</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四、零售交易组织</w:t>
      </w:r>
    </w:p>
    <w:p w:rsidR="00623CDF" w:rsidRDefault="00861DFB">
      <w:pPr>
        <w:snapToGrid w:val="0"/>
        <w:spacing w:line="579" w:lineRule="exact"/>
        <w:ind w:firstLineChars="200" w:firstLine="616"/>
        <w:outlineLvl w:val="1"/>
        <w:rPr>
          <w:color w:val="000000"/>
          <w:szCs w:val="32"/>
        </w:rPr>
      </w:pPr>
      <w:r>
        <w:rPr>
          <w:color w:val="000000"/>
          <w:szCs w:val="32"/>
        </w:rPr>
        <w:t>（一）售电公司和零售用户应在交易平台</w:t>
      </w:r>
      <w:r>
        <w:rPr>
          <w:color w:val="000000"/>
          <w:szCs w:val="32"/>
        </w:rPr>
        <w:t>进行套餐管理、零售交易、零售合同维护、零售合同签订等操作。</w:t>
      </w:r>
    </w:p>
    <w:p w:rsidR="00623CDF" w:rsidRDefault="00861DFB">
      <w:pPr>
        <w:snapToGrid w:val="0"/>
        <w:spacing w:line="579" w:lineRule="exact"/>
        <w:ind w:firstLineChars="200" w:firstLine="616"/>
        <w:outlineLvl w:val="1"/>
        <w:rPr>
          <w:color w:val="000000"/>
          <w:szCs w:val="32"/>
        </w:rPr>
      </w:pPr>
      <w:r>
        <w:rPr>
          <w:color w:val="000000"/>
          <w:szCs w:val="32"/>
        </w:rPr>
        <w:t>（二）参与浙江电力市场交易的售电公司应至少在交易平台以明码标价方式发布一个套餐，并根据需要选择发布协商议价方式套餐。</w:t>
      </w:r>
    </w:p>
    <w:p w:rsidR="00623CDF" w:rsidRDefault="00861DFB">
      <w:pPr>
        <w:snapToGrid w:val="0"/>
        <w:spacing w:line="579" w:lineRule="exact"/>
        <w:ind w:firstLineChars="200" w:firstLine="616"/>
        <w:outlineLvl w:val="1"/>
        <w:rPr>
          <w:color w:val="000000"/>
          <w:szCs w:val="32"/>
        </w:rPr>
      </w:pPr>
      <w:r>
        <w:rPr>
          <w:color w:val="000000"/>
          <w:szCs w:val="32"/>
        </w:rPr>
        <w:t>（三）</w:t>
      </w:r>
      <w:r>
        <w:rPr>
          <w:color w:val="000000"/>
          <w:szCs w:val="32"/>
          <w:lang w:eastAsia="zh-Hans"/>
        </w:rPr>
        <w:t>零售交易的</w:t>
      </w:r>
      <w:r>
        <w:rPr>
          <w:color w:val="000000"/>
          <w:szCs w:val="32"/>
        </w:rPr>
        <w:t>时间要</w:t>
      </w:r>
      <w:r>
        <w:rPr>
          <w:color w:val="000000"/>
          <w:szCs w:val="32"/>
        </w:rPr>
        <w:t>求：</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每月</w:t>
      </w:r>
      <w:r>
        <w:rPr>
          <w:color w:val="000000"/>
          <w:szCs w:val="32"/>
        </w:rPr>
        <w:t>15</w:t>
      </w:r>
      <w:r>
        <w:rPr>
          <w:color w:val="000000"/>
          <w:szCs w:val="32"/>
        </w:rPr>
        <w:t>日前，售电公司和零售用户可在交易平台完成次月及以后生效的零售合同的签订或终止</w:t>
      </w:r>
      <w:r>
        <w:rPr>
          <w:color w:val="000000"/>
          <w:szCs w:val="32"/>
        </w:rPr>
        <w:t>操作</w:t>
      </w:r>
      <w:r>
        <w:rPr>
          <w:color w:val="000000"/>
          <w:szCs w:val="32"/>
        </w:rPr>
        <w:t>。零售合同的签订或终止以自然月为周期。</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每月</w:t>
      </w:r>
      <w:r>
        <w:rPr>
          <w:color w:val="000000"/>
          <w:szCs w:val="32"/>
        </w:rPr>
        <w:t>15</w:t>
      </w:r>
      <w:r>
        <w:rPr>
          <w:color w:val="000000"/>
          <w:szCs w:val="32"/>
        </w:rPr>
        <w:t>日前，售电公司可在交易平台更新套餐。套餐更新后将于当月</w:t>
      </w:r>
      <w:r>
        <w:rPr>
          <w:color w:val="000000"/>
          <w:szCs w:val="32"/>
        </w:rPr>
        <w:t>20</w:t>
      </w:r>
      <w:r>
        <w:rPr>
          <w:color w:val="000000"/>
          <w:szCs w:val="32"/>
        </w:rPr>
        <w:t>日统一上架。</w:t>
      </w:r>
    </w:p>
    <w:p w:rsidR="00623CDF" w:rsidRDefault="00861DFB">
      <w:pPr>
        <w:snapToGrid w:val="0"/>
        <w:spacing w:line="579" w:lineRule="exact"/>
        <w:ind w:firstLineChars="200" w:firstLine="616"/>
        <w:outlineLvl w:val="1"/>
        <w:rPr>
          <w:color w:val="000000"/>
          <w:szCs w:val="32"/>
        </w:rPr>
      </w:pPr>
      <w:r>
        <w:rPr>
          <w:color w:val="000000"/>
          <w:szCs w:val="32"/>
        </w:rPr>
        <w:t>（四）零售交易组织。零售交易组织包括零售合同签订和零售合同终止。</w:t>
      </w:r>
    </w:p>
    <w:p w:rsidR="00623CDF" w:rsidRDefault="00861DFB">
      <w:pPr>
        <w:snapToGrid w:val="0"/>
        <w:spacing w:line="579" w:lineRule="exact"/>
        <w:ind w:firstLineChars="200" w:firstLine="616"/>
        <w:outlineLvl w:val="1"/>
        <w:rPr>
          <w:color w:val="000000"/>
          <w:szCs w:val="32"/>
        </w:rPr>
      </w:pPr>
      <w:r>
        <w:rPr>
          <w:color w:val="000000"/>
          <w:szCs w:val="32"/>
        </w:rPr>
        <w:t>（五）零售合同签订：</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零售用户向售电公司购买电力零售套餐，并签订零售合同。</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按照零售套餐确认方式，零售交易分为明码标价方式和协</w:t>
      </w:r>
      <w:r>
        <w:rPr>
          <w:color w:val="000000"/>
          <w:szCs w:val="32"/>
        </w:rPr>
        <w:lastRenderedPageBreak/>
        <w:t>商议价方式。</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明码标价方式包括五个环节：套餐配置、套餐挂牌、下单、确认套餐信息和确认合</w:t>
      </w:r>
      <w:r>
        <w:rPr>
          <w:color w:val="000000"/>
          <w:szCs w:val="32"/>
        </w:rPr>
        <w:t>同信息。</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1</w:t>
      </w:r>
      <w:r>
        <w:rPr>
          <w:color w:val="000000"/>
          <w:szCs w:val="32"/>
        </w:rPr>
        <w:t>）套餐配置。售电公司在满足系统套餐参数配置约束的前提下，进行套餐参数设置。其中各套餐可供应总电量应大于其缴纳的履约保函总金额对应的可交易电量的</w:t>
      </w:r>
      <w:r>
        <w:rPr>
          <w:color w:val="000000"/>
          <w:szCs w:val="32"/>
        </w:rPr>
        <w:t>35%</w:t>
      </w:r>
      <w:r>
        <w:rPr>
          <w:color w:val="000000"/>
          <w:szCs w:val="32"/>
        </w:rPr>
        <w:t>。</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2</w:t>
      </w:r>
      <w:r>
        <w:rPr>
          <w:color w:val="000000"/>
          <w:szCs w:val="32"/>
        </w:rPr>
        <w:t>）套餐挂牌。售电公司将配置完成的套餐在交易平台中挂牌发布。每个售电公司应至少在交易平台以明码标价方式发布一个套餐。</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3</w:t>
      </w:r>
      <w:r>
        <w:rPr>
          <w:color w:val="000000"/>
          <w:szCs w:val="32"/>
        </w:rPr>
        <w:t>）下单。零售用户从各售电公司已上架套餐中选定意向套餐。</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4</w:t>
      </w:r>
      <w:r>
        <w:rPr>
          <w:color w:val="000000"/>
          <w:szCs w:val="32"/>
        </w:rPr>
        <w:t>）确认套餐信息。零售用户确认其购买的套餐各项参数信息。</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5</w:t>
      </w:r>
      <w:r>
        <w:rPr>
          <w:color w:val="000000"/>
          <w:szCs w:val="32"/>
        </w:rPr>
        <w:t>）确认合同信息。零售用户查阅并确认电力零售交易合同。</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协商议价方式分为六个环节：零售用户要约邀请、售电公司响应、售电公司定制、下单、确认套餐信息和确认合同信息。</w:t>
      </w:r>
    </w:p>
    <w:p w:rsidR="00623CDF" w:rsidRDefault="00861DFB">
      <w:pPr>
        <w:snapToGrid w:val="0"/>
        <w:spacing w:line="579" w:lineRule="exact"/>
        <w:ind w:firstLineChars="200" w:firstLine="640"/>
        <w:rPr>
          <w:color w:val="000000"/>
          <w:spacing w:val="0"/>
          <w:szCs w:val="32"/>
        </w:rPr>
      </w:pPr>
      <w:r>
        <w:rPr>
          <w:color w:val="000000"/>
          <w:spacing w:val="0"/>
          <w:szCs w:val="32"/>
        </w:rPr>
        <w:t>（</w:t>
      </w:r>
      <w:r>
        <w:rPr>
          <w:color w:val="000000"/>
          <w:spacing w:val="0"/>
          <w:szCs w:val="32"/>
        </w:rPr>
        <w:t>1</w:t>
      </w:r>
      <w:r>
        <w:rPr>
          <w:color w:val="000000"/>
          <w:spacing w:val="0"/>
          <w:szCs w:val="32"/>
        </w:rPr>
        <w:t>）零售用户要约邀请。零售用户向售电公司发出要约邀请。</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2</w:t>
      </w:r>
      <w:r>
        <w:rPr>
          <w:color w:val="000000"/>
          <w:szCs w:val="32"/>
        </w:rPr>
        <w:t>）售电公司响应。售电公司接受零售用户要约邀请。</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3</w:t>
      </w:r>
      <w:r>
        <w:rPr>
          <w:color w:val="000000"/>
          <w:szCs w:val="32"/>
        </w:rPr>
        <w:t>）售电公司定制。售电公司对已响应的要约邀请进行零售套餐定制化</w:t>
      </w:r>
      <w:r>
        <w:rPr>
          <w:color w:val="000000"/>
          <w:szCs w:val="32"/>
        </w:rPr>
        <w:t>配置</w:t>
      </w:r>
      <w:r>
        <w:rPr>
          <w:color w:val="000000"/>
          <w:szCs w:val="32"/>
        </w:rPr>
        <w:t>，并将配置完成的套餐发送给对应零售用户。</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4</w:t>
      </w:r>
      <w:r>
        <w:rPr>
          <w:color w:val="000000"/>
          <w:szCs w:val="32"/>
        </w:rPr>
        <w:t>）下单。零售用户从售电公司定制套餐中选择其意向套餐。</w:t>
      </w:r>
    </w:p>
    <w:p w:rsidR="00623CDF" w:rsidRDefault="00861DFB">
      <w:pPr>
        <w:snapToGrid w:val="0"/>
        <w:spacing w:line="579" w:lineRule="exact"/>
        <w:ind w:firstLineChars="200" w:firstLine="616"/>
        <w:rPr>
          <w:color w:val="000000"/>
          <w:szCs w:val="32"/>
        </w:rPr>
      </w:pPr>
      <w:r>
        <w:rPr>
          <w:color w:val="000000"/>
          <w:szCs w:val="32"/>
        </w:rPr>
        <w:lastRenderedPageBreak/>
        <w:t>（</w:t>
      </w:r>
      <w:r>
        <w:rPr>
          <w:color w:val="000000"/>
          <w:szCs w:val="32"/>
        </w:rPr>
        <w:t>5</w:t>
      </w:r>
      <w:r>
        <w:rPr>
          <w:color w:val="000000"/>
          <w:szCs w:val="32"/>
        </w:rPr>
        <w:t>）确认套餐信息</w:t>
      </w:r>
      <w:r>
        <w:rPr>
          <w:color w:val="000000"/>
          <w:szCs w:val="32"/>
        </w:rPr>
        <w:t>。零售用户查看并确认其购买的套餐各项参数信息。</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6</w:t>
      </w:r>
      <w:r>
        <w:rPr>
          <w:color w:val="000000"/>
          <w:szCs w:val="32"/>
        </w:rPr>
        <w:t>）</w:t>
      </w:r>
      <w:r>
        <w:rPr>
          <w:color w:val="000000"/>
          <w:szCs w:val="32"/>
        </w:rPr>
        <w:t>确认合同信息。零售用户查看并确认电力零售交易合同。</w:t>
      </w:r>
    </w:p>
    <w:p w:rsidR="00623CDF" w:rsidRDefault="00861DFB">
      <w:pPr>
        <w:snapToGrid w:val="0"/>
        <w:spacing w:line="579" w:lineRule="exact"/>
        <w:ind w:firstLineChars="200" w:firstLine="616"/>
        <w:outlineLvl w:val="1"/>
        <w:rPr>
          <w:color w:val="000000"/>
          <w:szCs w:val="32"/>
        </w:rPr>
      </w:pPr>
      <w:r>
        <w:rPr>
          <w:color w:val="000000"/>
          <w:szCs w:val="32"/>
        </w:rPr>
        <w:t>（六）零售合同终止：</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交易双方当事人中的一方或者双方，依照法律法规规定或者当事人的约定，终止零售合同。</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按照零售合同终止的方式，分为零售合同提前终止和零售合同到期终止。</w:t>
      </w:r>
    </w:p>
    <w:p w:rsidR="00623CDF" w:rsidRDefault="00861DFB">
      <w:pPr>
        <w:snapToGrid w:val="0"/>
        <w:spacing w:line="579" w:lineRule="exact"/>
        <w:ind w:firstLineChars="200" w:firstLine="616"/>
        <w:rPr>
          <w:color w:val="000000"/>
          <w:szCs w:val="32"/>
        </w:rPr>
      </w:pPr>
      <w:r>
        <w:rPr>
          <w:color w:val="000000"/>
          <w:szCs w:val="32"/>
        </w:rPr>
        <w:t>3.</w:t>
      </w:r>
      <w:r>
        <w:rPr>
          <w:color w:val="000000"/>
          <w:szCs w:val="32"/>
        </w:rPr>
        <w:t>零售合同提前终止</w:t>
      </w:r>
      <w:r>
        <w:rPr>
          <w:color w:val="000000"/>
          <w:szCs w:val="32"/>
          <w:lang w:eastAsia="zh-Hans"/>
        </w:rPr>
        <w:t>：</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1</w:t>
      </w:r>
      <w:r>
        <w:rPr>
          <w:color w:val="000000"/>
          <w:szCs w:val="32"/>
        </w:rPr>
        <w:t>）</w:t>
      </w:r>
      <w:r>
        <w:rPr>
          <w:color w:val="000000"/>
          <w:szCs w:val="32"/>
        </w:rPr>
        <w:t>零售合同存续期间，在双方协商一致的基础上，零售用户或售电公司均可发起终止零售合同申请。</w:t>
      </w:r>
    </w:p>
    <w:p w:rsidR="00623CDF" w:rsidRDefault="00861DFB">
      <w:pPr>
        <w:snapToGrid w:val="0"/>
        <w:spacing w:line="579" w:lineRule="exact"/>
        <w:ind w:firstLineChars="200" w:firstLine="616"/>
        <w:rPr>
          <w:szCs w:val="32"/>
        </w:rPr>
      </w:pPr>
      <w:r>
        <w:rPr>
          <w:color w:val="000000"/>
          <w:szCs w:val="32"/>
        </w:rPr>
        <w:t>（</w:t>
      </w:r>
      <w:r>
        <w:rPr>
          <w:color w:val="000000"/>
          <w:szCs w:val="32"/>
        </w:rPr>
        <w:t>2</w:t>
      </w:r>
      <w:r>
        <w:rPr>
          <w:color w:val="000000"/>
          <w:szCs w:val="32"/>
        </w:rPr>
        <w:t>）</w:t>
      </w:r>
      <w:r>
        <w:rPr>
          <w:color w:val="000000"/>
          <w:szCs w:val="32"/>
        </w:rPr>
        <w:t>零售合同存续期间，电力用户因退出市场（包括电力用户</w:t>
      </w:r>
      <w:r>
        <w:rPr>
          <w:color w:val="000000"/>
          <w:szCs w:val="32"/>
        </w:rPr>
        <w:t>销户、</w:t>
      </w:r>
      <w:r>
        <w:rPr>
          <w:rFonts w:hint="eastAsia"/>
          <w:color w:val="000000"/>
          <w:szCs w:val="32"/>
        </w:rPr>
        <w:t>过户</w:t>
      </w:r>
      <w:r>
        <w:rPr>
          <w:color w:val="000000"/>
          <w:szCs w:val="32"/>
        </w:rPr>
        <w:t>等）等原因不能继续履约电力零售交易合同，双方零售合同终止或重新签订新的零售合同，并按照零售交易合同相应条款承担违约责任。</w:t>
      </w:r>
    </w:p>
    <w:p w:rsidR="00623CDF" w:rsidRDefault="00861DFB">
      <w:pPr>
        <w:snapToGrid w:val="0"/>
        <w:spacing w:line="579" w:lineRule="exact"/>
        <w:ind w:firstLineChars="200" w:firstLine="616"/>
        <w:rPr>
          <w:color w:val="000000"/>
          <w:szCs w:val="32"/>
        </w:rPr>
      </w:pPr>
      <w:r>
        <w:rPr>
          <w:color w:val="000000"/>
          <w:szCs w:val="32"/>
        </w:rPr>
        <w:t>4.</w:t>
      </w:r>
      <w:r>
        <w:rPr>
          <w:color w:val="000000"/>
          <w:szCs w:val="32"/>
        </w:rPr>
        <w:t>零售合同到期终止。电力零售套餐正常履约结束后，双方零售合同自动终止。</w:t>
      </w:r>
    </w:p>
    <w:p w:rsidR="00623CDF" w:rsidRDefault="00861DFB">
      <w:pPr>
        <w:snapToGrid w:val="0"/>
        <w:spacing w:line="579" w:lineRule="exact"/>
        <w:ind w:firstLineChars="200" w:firstLine="616"/>
        <w:outlineLvl w:val="1"/>
        <w:rPr>
          <w:color w:val="000000"/>
          <w:szCs w:val="32"/>
        </w:rPr>
      </w:pPr>
      <w:r>
        <w:rPr>
          <w:color w:val="000000"/>
          <w:szCs w:val="32"/>
        </w:rPr>
        <w:t>（七）套餐下架。套餐下架分为人工下架和自动下架。</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人工下架。每月</w:t>
      </w:r>
      <w:r>
        <w:rPr>
          <w:color w:val="000000"/>
          <w:szCs w:val="32"/>
        </w:rPr>
        <w:t>15</w:t>
      </w:r>
      <w:r>
        <w:rPr>
          <w:color w:val="000000"/>
          <w:szCs w:val="32"/>
        </w:rPr>
        <w:t>日前，售电公司可在交易平台发起套餐下架流程，当月</w:t>
      </w:r>
      <w:r>
        <w:rPr>
          <w:color w:val="000000"/>
          <w:szCs w:val="32"/>
        </w:rPr>
        <w:t>20</w:t>
      </w:r>
      <w:r>
        <w:rPr>
          <w:color w:val="000000"/>
          <w:szCs w:val="32"/>
        </w:rPr>
        <w:t>日下架生效。</w:t>
      </w:r>
    </w:p>
    <w:p w:rsidR="00623CDF" w:rsidRDefault="00861DFB">
      <w:pPr>
        <w:snapToGrid w:val="0"/>
        <w:spacing w:line="579" w:lineRule="exact"/>
        <w:ind w:firstLineChars="200" w:firstLine="616"/>
        <w:rPr>
          <w:color w:val="000000"/>
          <w:szCs w:val="32"/>
        </w:rPr>
      </w:pPr>
      <w:r>
        <w:rPr>
          <w:color w:val="000000"/>
          <w:szCs w:val="32"/>
        </w:rPr>
        <w:t>2.</w:t>
      </w:r>
      <w:r>
        <w:rPr>
          <w:color w:val="000000"/>
          <w:szCs w:val="32"/>
        </w:rPr>
        <w:t>自动下架。当明码标价方式的套餐完成销售或连续两个月无交易，套餐自动下架。明码标价方式的套餐完成销售是指其可</w:t>
      </w:r>
      <w:r>
        <w:rPr>
          <w:color w:val="000000"/>
          <w:szCs w:val="32"/>
        </w:rPr>
        <w:lastRenderedPageBreak/>
        <w:t>供应的剩余总电量测算小于等于临界值（暂定为</w:t>
      </w:r>
      <w:r>
        <w:rPr>
          <w:color w:val="000000"/>
          <w:szCs w:val="32"/>
        </w:rPr>
        <w:t>1MWh</w:t>
      </w:r>
      <w:r>
        <w:rPr>
          <w:color w:val="000000"/>
          <w:szCs w:val="32"/>
        </w:rPr>
        <w:t>），测算方法如下：</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1</w:t>
      </w:r>
      <w:r>
        <w:rPr>
          <w:color w:val="000000"/>
          <w:szCs w:val="32"/>
        </w:rPr>
        <w:t>）零售用户下单后，售电公司的可供应剩余总电量按该零售用户去年同期总电量进行扣减；</w:t>
      </w:r>
    </w:p>
    <w:p w:rsidR="00623CDF" w:rsidRDefault="00861DFB">
      <w:pPr>
        <w:snapToGrid w:val="0"/>
        <w:spacing w:line="579" w:lineRule="exact"/>
        <w:ind w:firstLineChars="200" w:firstLine="616"/>
        <w:rPr>
          <w:color w:val="000000"/>
          <w:szCs w:val="32"/>
        </w:rPr>
      </w:pPr>
      <w:r>
        <w:rPr>
          <w:color w:val="000000"/>
          <w:szCs w:val="32"/>
        </w:rPr>
        <w:t>（</w:t>
      </w:r>
      <w:r>
        <w:rPr>
          <w:color w:val="000000"/>
          <w:szCs w:val="32"/>
        </w:rPr>
        <w:t>2</w:t>
      </w:r>
      <w:r>
        <w:rPr>
          <w:color w:val="000000"/>
          <w:szCs w:val="32"/>
        </w:rPr>
        <w:t>）如零售用户立户时间不满一年，</w:t>
      </w:r>
      <w:r>
        <w:rPr>
          <w:color w:val="000000"/>
          <w:szCs w:val="32"/>
        </w:rPr>
        <w:t>则月度电量按照供用电合同容量</w:t>
      </w:r>
      <w:r>
        <w:rPr>
          <w:color w:val="000000"/>
          <w:szCs w:val="32"/>
        </w:rPr>
        <w:t>×30×24×0.8</w:t>
      </w:r>
      <w:r>
        <w:rPr>
          <w:color w:val="000000"/>
          <w:szCs w:val="32"/>
        </w:rPr>
        <w:t>测算。</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五、零售交易结算</w:t>
      </w:r>
    </w:p>
    <w:p w:rsidR="00623CDF" w:rsidRDefault="00861DFB">
      <w:pPr>
        <w:snapToGrid w:val="0"/>
        <w:spacing w:line="579" w:lineRule="exact"/>
        <w:ind w:firstLineChars="200" w:firstLine="616"/>
        <w:outlineLvl w:val="1"/>
        <w:rPr>
          <w:color w:val="000000"/>
          <w:szCs w:val="32"/>
        </w:rPr>
      </w:pPr>
      <w:r>
        <w:rPr>
          <w:color w:val="000000"/>
          <w:szCs w:val="32"/>
        </w:rPr>
        <w:t>（一）电网企业根据交易平台传递的绑定关系、零售套餐、绿电量价等信息及抄表电量，计算零售交易电费，叠加</w:t>
      </w:r>
      <w:r>
        <w:rPr>
          <w:rFonts w:hint="eastAsia"/>
          <w:color w:val="000000"/>
          <w:szCs w:val="32"/>
        </w:rPr>
        <w:t>分摊（享）费用、上网环节线损费用</w:t>
      </w:r>
      <w:r>
        <w:rPr>
          <w:color w:val="000000"/>
          <w:szCs w:val="32"/>
        </w:rPr>
        <w:t>、</w:t>
      </w:r>
      <w:r>
        <w:rPr>
          <w:color w:val="000000"/>
          <w:szCs w:val="32"/>
        </w:rPr>
        <w:t>输配电费、</w:t>
      </w:r>
      <w:r>
        <w:rPr>
          <w:rFonts w:hint="eastAsia"/>
          <w:color w:val="000000"/>
          <w:szCs w:val="32"/>
        </w:rPr>
        <w:t>系统运行费用、</w:t>
      </w:r>
      <w:r>
        <w:rPr>
          <w:color w:val="000000"/>
          <w:szCs w:val="32"/>
        </w:rPr>
        <w:t>政府性基金及附加</w:t>
      </w:r>
      <w:r>
        <w:rPr>
          <w:color w:val="000000"/>
          <w:szCs w:val="32"/>
        </w:rPr>
        <w:t>等费用后</w:t>
      </w:r>
      <w:r>
        <w:rPr>
          <w:color w:val="000000"/>
          <w:szCs w:val="32"/>
        </w:rPr>
        <w:t>，</w:t>
      </w:r>
      <w:r>
        <w:rPr>
          <w:rFonts w:hint="eastAsia"/>
          <w:color w:val="000000"/>
          <w:szCs w:val="32"/>
        </w:rPr>
        <w:t>按照分时电价政策规定的浮动比例形成分时结算价格</w:t>
      </w:r>
      <w:r>
        <w:rPr>
          <w:rFonts w:hint="eastAsia"/>
          <w:color w:val="000000"/>
          <w:szCs w:val="32"/>
        </w:rPr>
        <w:t>，</w:t>
      </w:r>
      <w:r>
        <w:rPr>
          <w:color w:val="000000"/>
          <w:szCs w:val="32"/>
        </w:rPr>
        <w:t>形成零售用户结算总电费，出具零售用户电费账单。电网企业原则上每月</w:t>
      </w:r>
      <w:r>
        <w:rPr>
          <w:color w:val="000000"/>
          <w:szCs w:val="32"/>
        </w:rPr>
        <w:t>4</w:t>
      </w:r>
      <w:r>
        <w:rPr>
          <w:color w:val="000000"/>
          <w:szCs w:val="32"/>
        </w:rPr>
        <w:t>日前将零售用户市场化电量电费信息分批推送至售电公司核对确认。如有异议，售电公司应在收到电量电费信息后</w:t>
      </w:r>
      <w:r>
        <w:rPr>
          <w:color w:val="000000"/>
          <w:szCs w:val="32"/>
        </w:rPr>
        <w:t>48</w:t>
      </w:r>
      <w:r>
        <w:rPr>
          <w:color w:val="000000"/>
          <w:szCs w:val="32"/>
        </w:rPr>
        <w:t>小时内进行反馈。</w:t>
      </w:r>
    </w:p>
    <w:p w:rsidR="00623CDF" w:rsidRDefault="00861DFB">
      <w:pPr>
        <w:snapToGrid w:val="0"/>
        <w:spacing w:line="579" w:lineRule="exact"/>
        <w:ind w:firstLineChars="200" w:firstLine="616"/>
        <w:outlineLvl w:val="1"/>
        <w:rPr>
          <w:color w:val="000000"/>
          <w:szCs w:val="32"/>
        </w:rPr>
      </w:pPr>
      <w:r>
        <w:rPr>
          <w:color w:val="000000"/>
          <w:szCs w:val="32"/>
        </w:rPr>
        <w:t>（二）交易平台每月</w:t>
      </w:r>
      <w:r>
        <w:rPr>
          <w:color w:val="000000"/>
          <w:szCs w:val="32"/>
        </w:rPr>
        <w:t>18</w:t>
      </w:r>
      <w:r>
        <w:rPr>
          <w:color w:val="000000"/>
          <w:szCs w:val="32"/>
        </w:rPr>
        <w:t>日前将次月全量零售用户及其对应售电公司信息、次月执行的零售套餐量价参数传递至电网企业。</w:t>
      </w:r>
    </w:p>
    <w:p w:rsidR="00623CDF" w:rsidRDefault="00861DFB">
      <w:pPr>
        <w:snapToGrid w:val="0"/>
        <w:spacing w:line="579" w:lineRule="exact"/>
        <w:ind w:firstLineChars="200" w:firstLine="616"/>
        <w:outlineLvl w:val="1"/>
        <w:rPr>
          <w:color w:val="000000"/>
          <w:szCs w:val="32"/>
        </w:rPr>
      </w:pPr>
      <w:r>
        <w:rPr>
          <w:color w:val="000000"/>
          <w:szCs w:val="32"/>
        </w:rPr>
        <w:t>（三）电网企业根据交易平台传递的零售套餐相关信息，当月</w:t>
      </w:r>
      <w:r>
        <w:rPr>
          <w:color w:val="000000"/>
          <w:szCs w:val="32"/>
        </w:rPr>
        <w:t>25</w:t>
      </w:r>
      <w:r>
        <w:rPr>
          <w:color w:val="000000"/>
          <w:szCs w:val="32"/>
        </w:rPr>
        <w:t>日前完成零售用户及零售套餐信息核对，原则上需同时满足：</w:t>
      </w:r>
    </w:p>
    <w:p w:rsidR="00623CDF" w:rsidRDefault="00861DFB">
      <w:pPr>
        <w:snapToGrid w:val="0"/>
        <w:spacing w:line="579" w:lineRule="exact"/>
        <w:ind w:firstLineChars="200" w:firstLine="616"/>
        <w:rPr>
          <w:color w:val="000000"/>
          <w:szCs w:val="32"/>
        </w:rPr>
      </w:pPr>
      <w:r>
        <w:rPr>
          <w:color w:val="000000"/>
          <w:szCs w:val="32"/>
        </w:rPr>
        <w:t>1.</w:t>
      </w:r>
      <w:r>
        <w:rPr>
          <w:color w:val="000000"/>
          <w:szCs w:val="32"/>
        </w:rPr>
        <w:t>零售套餐户号信息与电力户号信息一致；</w:t>
      </w:r>
    </w:p>
    <w:p w:rsidR="00623CDF" w:rsidRDefault="00861DFB">
      <w:pPr>
        <w:snapToGrid w:val="0"/>
        <w:spacing w:line="579" w:lineRule="exact"/>
        <w:ind w:firstLineChars="200" w:firstLine="616"/>
        <w:rPr>
          <w:color w:val="000000"/>
          <w:szCs w:val="32"/>
        </w:rPr>
      </w:pPr>
      <w:r>
        <w:rPr>
          <w:rFonts w:hint="eastAsia"/>
          <w:color w:val="000000"/>
          <w:szCs w:val="32"/>
        </w:rPr>
        <w:t>2.</w:t>
      </w:r>
      <w:r>
        <w:rPr>
          <w:color w:val="000000"/>
          <w:szCs w:val="32"/>
        </w:rPr>
        <w:t>用户满足零售市场入市资格；</w:t>
      </w:r>
    </w:p>
    <w:p w:rsidR="00623CDF" w:rsidRDefault="00861DFB">
      <w:pPr>
        <w:snapToGrid w:val="0"/>
        <w:spacing w:line="579" w:lineRule="exact"/>
        <w:ind w:firstLineChars="200" w:firstLine="616"/>
        <w:rPr>
          <w:color w:val="000000"/>
          <w:szCs w:val="32"/>
        </w:rPr>
      </w:pPr>
      <w:r>
        <w:rPr>
          <w:rFonts w:hint="eastAsia"/>
          <w:color w:val="000000"/>
          <w:szCs w:val="32"/>
        </w:rPr>
        <w:t>3</w:t>
      </w:r>
      <w:r>
        <w:rPr>
          <w:color w:val="000000"/>
          <w:szCs w:val="32"/>
        </w:rPr>
        <w:t>.</w:t>
      </w:r>
      <w:r>
        <w:rPr>
          <w:color w:val="000000"/>
          <w:szCs w:val="32"/>
        </w:rPr>
        <w:t>交易平台签约时间不得早于电力立户时间。</w:t>
      </w:r>
    </w:p>
    <w:p w:rsidR="00623CDF" w:rsidRDefault="00861DFB">
      <w:pPr>
        <w:pStyle w:val="2"/>
        <w:spacing w:line="579" w:lineRule="exact"/>
        <w:ind w:firstLine="616"/>
        <w:outlineLvl w:val="1"/>
        <w:rPr>
          <w:rFonts w:ascii="Times New Roman" w:eastAsia="仿宋_GB2312" w:hAnsi="Times New Roman"/>
          <w:szCs w:val="32"/>
          <w:lang w:val="de-DE"/>
        </w:rPr>
      </w:pPr>
      <w:r>
        <w:rPr>
          <w:rFonts w:ascii="Times New Roman" w:eastAsia="仿宋_GB2312" w:hAnsi="Times New Roman"/>
          <w:color w:val="000000"/>
          <w:kern w:val="0"/>
          <w:szCs w:val="32"/>
          <w:lang w:val="de-DE"/>
        </w:rPr>
        <w:lastRenderedPageBreak/>
        <w:t>（</w:t>
      </w:r>
      <w:r>
        <w:rPr>
          <w:rFonts w:ascii="Times New Roman" w:eastAsia="仿宋_GB2312" w:hAnsi="Times New Roman"/>
          <w:color w:val="000000"/>
          <w:kern w:val="0"/>
          <w:szCs w:val="32"/>
        </w:rPr>
        <w:t>四）电网企业于当月</w:t>
      </w:r>
      <w:r>
        <w:rPr>
          <w:rFonts w:ascii="Times New Roman" w:eastAsia="仿宋_GB2312" w:hAnsi="Times New Roman"/>
          <w:color w:val="000000"/>
          <w:kern w:val="0"/>
          <w:szCs w:val="32"/>
        </w:rPr>
        <w:t>25</w:t>
      </w:r>
      <w:r>
        <w:rPr>
          <w:rFonts w:ascii="Times New Roman" w:eastAsia="仿宋_GB2312" w:hAnsi="Times New Roman"/>
          <w:color w:val="000000"/>
          <w:kern w:val="0"/>
          <w:szCs w:val="32"/>
        </w:rPr>
        <w:t>日前将不满足信息核对的情况反馈至电力交易机构。</w:t>
      </w:r>
      <w:r>
        <w:rPr>
          <w:rFonts w:ascii="Times New Roman" w:eastAsia="仿宋_GB2312" w:hAnsi="Times New Roman"/>
          <w:color w:val="000000"/>
          <w:kern w:val="0"/>
          <w:szCs w:val="32"/>
          <w:lang w:val="de-DE"/>
        </w:rPr>
        <w:t>电力交易机构</w:t>
      </w:r>
      <w:r>
        <w:rPr>
          <w:rFonts w:ascii="Times New Roman" w:eastAsia="仿宋_GB2312" w:hAnsi="Times New Roman"/>
          <w:color w:val="000000"/>
          <w:kern w:val="0"/>
          <w:szCs w:val="32"/>
        </w:rPr>
        <w:t>在当月底前告知相关售电公司和零售用户。不满足信息核对的用户，在零售合同生效前，电价按以下规定执行：</w:t>
      </w:r>
    </w:p>
    <w:p w:rsidR="00623CDF" w:rsidRDefault="00861DFB">
      <w:pPr>
        <w:pStyle w:val="2"/>
        <w:spacing w:line="579"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1.</w:t>
      </w:r>
      <w:r>
        <w:rPr>
          <w:rFonts w:ascii="Times New Roman" w:eastAsia="仿宋_GB2312" w:hAnsi="Times New Roman"/>
          <w:color w:val="000000"/>
          <w:kern w:val="0"/>
          <w:szCs w:val="32"/>
          <w:lang w:val="de-DE"/>
        </w:rPr>
        <w:t>用户参与过零售交易、批发交易的，在原合同到期时退出市场，改由电网企业代理购电；</w:t>
      </w:r>
    </w:p>
    <w:p w:rsidR="00623CDF" w:rsidRDefault="00861DFB">
      <w:pPr>
        <w:pStyle w:val="2"/>
        <w:spacing w:line="579"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2.</w:t>
      </w:r>
      <w:r>
        <w:rPr>
          <w:rFonts w:ascii="Times New Roman" w:eastAsia="仿宋_GB2312" w:hAnsi="Times New Roman"/>
          <w:color w:val="000000"/>
          <w:kern w:val="0"/>
          <w:szCs w:val="32"/>
          <w:lang w:val="de-DE"/>
        </w:rPr>
        <w:t>用户未参与过零售交易、批发交易的，原为兜底用户按当月兜底购电电价结算，原为代理购电用户按当月代理购电用户电价结算。</w:t>
      </w:r>
    </w:p>
    <w:p w:rsidR="00623CDF" w:rsidRDefault="00861DFB">
      <w:pPr>
        <w:pStyle w:val="2"/>
        <w:spacing w:line="579" w:lineRule="exact"/>
        <w:ind w:firstLine="616"/>
        <w:outlineLvl w:val="1"/>
        <w:rPr>
          <w:rFonts w:ascii="Times New Roman" w:eastAsia="仿宋_GB2312" w:hAnsi="Times New Roman"/>
          <w:color w:val="000000"/>
          <w:kern w:val="0"/>
          <w:szCs w:val="32"/>
          <w:lang w:val="de-DE"/>
        </w:rPr>
      </w:pPr>
      <w:r>
        <w:rPr>
          <w:rFonts w:ascii="Times New Roman" w:eastAsia="仿宋_GB2312" w:hAnsi="Times New Roman"/>
          <w:color w:val="000000"/>
          <w:kern w:val="0"/>
          <w:szCs w:val="32"/>
          <w:lang w:val="de-DE"/>
        </w:rPr>
        <w:t>（</w:t>
      </w:r>
      <w:r>
        <w:rPr>
          <w:rFonts w:ascii="Times New Roman" w:eastAsia="仿宋_GB2312" w:hAnsi="Times New Roman"/>
          <w:color w:val="000000"/>
          <w:kern w:val="0"/>
          <w:szCs w:val="32"/>
        </w:rPr>
        <w:t>五）</w:t>
      </w:r>
      <w:r>
        <w:rPr>
          <w:rFonts w:ascii="Times New Roman" w:eastAsia="仿宋_GB2312" w:hAnsi="Times New Roman"/>
          <w:color w:val="000000"/>
          <w:kern w:val="0"/>
          <w:szCs w:val="32"/>
          <w:lang w:val="de-DE"/>
        </w:rPr>
        <w:t>零售用户按自然月抄表结算，分次电费按电网企业代理购电用户电价先行结算，终次结算按零售套餐约定电价及全月电量计算，扣除分次电费后计算总电费并出具零售用户电费账单。</w:t>
      </w:r>
    </w:p>
    <w:p w:rsidR="00623CDF" w:rsidRDefault="00861DFB">
      <w:pPr>
        <w:pStyle w:val="2"/>
        <w:spacing w:line="579" w:lineRule="exact"/>
        <w:ind w:firstLine="616"/>
        <w:outlineLvl w:val="1"/>
        <w:rPr>
          <w:rFonts w:ascii="Times New Roman" w:eastAsia="仿宋_GB2312" w:hAnsi="Times New Roman"/>
          <w:color w:val="000000"/>
          <w:kern w:val="0"/>
          <w:szCs w:val="32"/>
          <w:highlight w:val="yellow"/>
          <w:lang w:val="de-DE"/>
        </w:rPr>
      </w:pPr>
      <w:r>
        <w:rPr>
          <w:rFonts w:ascii="Times New Roman" w:eastAsia="仿宋_GB2312" w:hAnsi="Times New Roman"/>
          <w:color w:val="000000"/>
          <w:kern w:val="0"/>
          <w:szCs w:val="32"/>
          <w:lang w:val="de-DE"/>
        </w:rPr>
        <w:t>（</w:t>
      </w:r>
      <w:r>
        <w:rPr>
          <w:rFonts w:ascii="Times New Roman" w:eastAsia="仿宋_GB2312" w:hAnsi="Times New Roman"/>
          <w:color w:val="000000"/>
          <w:kern w:val="0"/>
          <w:szCs w:val="32"/>
        </w:rPr>
        <w:t>六）</w:t>
      </w:r>
      <w:r>
        <w:rPr>
          <w:rFonts w:ascii="Times New Roman" w:eastAsia="仿宋_GB2312" w:hAnsi="Times New Roman"/>
          <w:color w:val="000000"/>
          <w:kern w:val="0"/>
          <w:szCs w:val="32"/>
          <w:lang w:val="de-DE"/>
        </w:rPr>
        <w:t>零售用户</w:t>
      </w:r>
      <w:r>
        <w:rPr>
          <w:rFonts w:ascii="Times New Roman" w:eastAsia="仿宋_GB2312" w:hAnsi="Times New Roman" w:hint="eastAsia"/>
          <w:color w:val="000000"/>
          <w:kern w:val="0"/>
          <w:szCs w:val="32"/>
        </w:rPr>
        <w:t>按照</w:t>
      </w:r>
      <w:r>
        <w:rPr>
          <w:rFonts w:ascii="Times New Roman" w:eastAsia="仿宋_GB2312" w:hAnsi="Times New Roman" w:hint="eastAsia"/>
          <w:color w:val="000000"/>
          <w:kern w:val="0"/>
          <w:szCs w:val="32"/>
        </w:rPr>
        <w:t>分时电价</w:t>
      </w:r>
      <w:r>
        <w:rPr>
          <w:rFonts w:ascii="Times New Roman" w:eastAsia="仿宋_GB2312" w:hAnsi="Times New Roman" w:hint="eastAsia"/>
          <w:color w:val="000000"/>
          <w:kern w:val="0"/>
          <w:szCs w:val="32"/>
        </w:rPr>
        <w:t>政策规定的浮动</w:t>
      </w:r>
      <w:r>
        <w:rPr>
          <w:rFonts w:ascii="Times New Roman" w:eastAsia="仿宋_GB2312" w:hAnsi="Times New Roman" w:hint="eastAsia"/>
          <w:color w:val="000000"/>
          <w:kern w:val="0"/>
          <w:szCs w:val="32"/>
        </w:rPr>
        <w:t>比例</w:t>
      </w:r>
      <w:r>
        <w:rPr>
          <w:rFonts w:ascii="Times New Roman" w:eastAsia="仿宋_GB2312" w:hAnsi="Times New Roman" w:hint="eastAsia"/>
          <w:color w:val="000000"/>
          <w:kern w:val="0"/>
          <w:szCs w:val="32"/>
        </w:rPr>
        <w:t>形成分时结算价格，无需进行分时校验，其中</w:t>
      </w:r>
      <w:r>
        <w:rPr>
          <w:rFonts w:ascii="Times New Roman" w:eastAsia="仿宋_GB2312" w:hAnsi="Times New Roman" w:hint="eastAsia"/>
          <w:color w:val="000000"/>
          <w:kern w:val="0"/>
          <w:szCs w:val="32"/>
        </w:rPr>
        <w:t>绿电部分电量电费单独进行分时</w:t>
      </w:r>
      <w:r>
        <w:rPr>
          <w:rFonts w:ascii="Times New Roman" w:eastAsia="仿宋_GB2312" w:hAnsi="Times New Roman" w:hint="eastAsia"/>
          <w:color w:val="000000"/>
          <w:kern w:val="0"/>
          <w:szCs w:val="32"/>
        </w:rPr>
        <w:t>拆分。</w:t>
      </w:r>
    </w:p>
    <w:p w:rsidR="00623CDF" w:rsidRDefault="00861DFB">
      <w:pPr>
        <w:pStyle w:val="2"/>
        <w:spacing w:line="579" w:lineRule="exact"/>
        <w:ind w:firstLine="616"/>
        <w:outlineLvl w:val="1"/>
        <w:rPr>
          <w:rFonts w:ascii="Times New Roman" w:eastAsia="仿宋_GB2312" w:hAnsi="Times New Roman"/>
          <w:color w:val="000000"/>
          <w:kern w:val="0"/>
          <w:szCs w:val="32"/>
          <w:lang w:val="de-DE"/>
        </w:rPr>
      </w:pPr>
      <w:r>
        <w:rPr>
          <w:rFonts w:ascii="Times New Roman" w:eastAsia="仿宋_GB2312" w:hAnsi="Times New Roman"/>
          <w:color w:val="000000"/>
          <w:kern w:val="0"/>
          <w:szCs w:val="32"/>
          <w:lang w:val="de-DE"/>
        </w:rPr>
        <w:t>（</w:t>
      </w:r>
      <w:r>
        <w:rPr>
          <w:rFonts w:ascii="Times New Roman" w:eastAsia="仿宋_GB2312" w:hAnsi="Times New Roman"/>
          <w:color w:val="000000"/>
          <w:kern w:val="0"/>
          <w:szCs w:val="32"/>
        </w:rPr>
        <w:t>七）</w:t>
      </w:r>
      <w:r>
        <w:rPr>
          <w:rFonts w:ascii="Times New Roman" w:eastAsia="仿宋_GB2312" w:hAnsi="Times New Roman"/>
          <w:color w:val="000000"/>
          <w:kern w:val="0"/>
          <w:szCs w:val="32"/>
          <w:lang w:val="de-DE"/>
        </w:rPr>
        <w:t>因电量计量差错、系统异常等原因需要进行电量电费退补的，由电网企业按照差错电量及对应月份的零售套餐约定电价开展退补电费计算，经售电公司确认后出具零售用户电费账单。零售侧退补完成后，由电力交易机构调整售电</w:t>
      </w:r>
      <w:r>
        <w:rPr>
          <w:rFonts w:ascii="Times New Roman" w:eastAsia="仿宋_GB2312" w:hAnsi="Times New Roman"/>
          <w:color w:val="000000"/>
          <w:kern w:val="0"/>
          <w:szCs w:val="32"/>
          <w:lang w:val="de-DE"/>
        </w:rPr>
        <w:t>公司批发侧结算依据，电网企业次月出具售电公司电费账单。</w:t>
      </w:r>
    </w:p>
    <w:p w:rsidR="00623CDF" w:rsidRDefault="00861DFB">
      <w:pPr>
        <w:pStyle w:val="2"/>
        <w:spacing w:line="579"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lang w:val="de-DE"/>
        </w:rPr>
        <w:t>因偏差考核减免等政策规则变化需进行零售用户电费退补的，由电网企业及电力交易机构根据交易规则或零售合同开展电量电</w:t>
      </w:r>
      <w:r>
        <w:rPr>
          <w:rFonts w:ascii="Times New Roman" w:eastAsia="仿宋_GB2312" w:hAnsi="Times New Roman"/>
          <w:color w:val="000000"/>
          <w:kern w:val="0"/>
          <w:szCs w:val="32"/>
          <w:lang w:val="de-DE"/>
        </w:rPr>
        <w:lastRenderedPageBreak/>
        <w:t>费退补工作。</w:t>
      </w:r>
    </w:p>
    <w:p w:rsidR="00623CDF" w:rsidRDefault="00861DFB">
      <w:pPr>
        <w:pStyle w:val="2"/>
        <w:spacing w:line="579" w:lineRule="exact"/>
        <w:ind w:firstLine="616"/>
        <w:outlineLvl w:val="1"/>
        <w:rPr>
          <w:rFonts w:ascii="Times New Roman" w:eastAsia="仿宋_GB2312" w:hAnsi="Times New Roman"/>
          <w:color w:val="000000"/>
          <w:kern w:val="0"/>
          <w:szCs w:val="32"/>
          <w:lang w:val="de-DE"/>
        </w:rPr>
      </w:pPr>
      <w:r>
        <w:rPr>
          <w:rFonts w:ascii="Times New Roman" w:eastAsia="仿宋_GB2312" w:hAnsi="Times New Roman"/>
          <w:color w:val="000000"/>
          <w:kern w:val="0"/>
          <w:szCs w:val="32"/>
          <w:lang w:val="de-DE"/>
        </w:rPr>
        <w:t>（</w:t>
      </w:r>
      <w:r>
        <w:rPr>
          <w:rFonts w:ascii="Times New Roman" w:eastAsia="仿宋_GB2312" w:hAnsi="Times New Roman"/>
          <w:color w:val="000000"/>
          <w:kern w:val="0"/>
          <w:szCs w:val="32"/>
        </w:rPr>
        <w:t>八）</w:t>
      </w:r>
      <w:r>
        <w:rPr>
          <w:rFonts w:ascii="Times New Roman" w:eastAsia="仿宋_GB2312" w:hAnsi="Times New Roman"/>
          <w:color w:val="000000"/>
          <w:kern w:val="0"/>
          <w:szCs w:val="32"/>
          <w:lang w:val="de-DE"/>
        </w:rPr>
        <w:t>零售用户违约用电和窃电引起的电量电费退补在国家政策未明确前，暂统一按违约和窃电查处当月电网企业代理购电用户电价进行计算。零售用户因计量故障等原因产生电量差错、但对应售电公司因破产退市的，退补电费按发生差错月份零售合同约定价格计算。</w:t>
      </w:r>
    </w:p>
    <w:p w:rsidR="00623CDF" w:rsidRDefault="00861DFB">
      <w:pPr>
        <w:pStyle w:val="2"/>
        <w:spacing w:line="580" w:lineRule="exact"/>
        <w:ind w:firstLine="616"/>
        <w:outlineLvl w:val="1"/>
        <w:rPr>
          <w:rFonts w:ascii="Times New Roman" w:eastAsia="仿宋_GB2312" w:hAnsi="Times New Roman"/>
          <w:color w:val="000000"/>
          <w:kern w:val="0"/>
          <w:szCs w:val="32"/>
          <w:lang w:val="de-DE"/>
        </w:rPr>
      </w:pPr>
      <w:r>
        <w:rPr>
          <w:rFonts w:ascii="Times New Roman" w:eastAsia="仿宋_GB2312" w:hAnsi="Times New Roman" w:hint="eastAsia"/>
          <w:color w:val="000000"/>
          <w:kern w:val="0"/>
          <w:szCs w:val="32"/>
        </w:rPr>
        <w:t>（</w:t>
      </w:r>
      <w:r>
        <w:rPr>
          <w:rFonts w:ascii="Times New Roman" w:eastAsia="仿宋_GB2312" w:hAnsi="Times New Roman" w:hint="eastAsia"/>
          <w:color w:val="000000"/>
          <w:kern w:val="0"/>
          <w:szCs w:val="32"/>
        </w:rPr>
        <w:t>九</w:t>
      </w:r>
      <w:r>
        <w:rPr>
          <w:rFonts w:ascii="Times New Roman" w:eastAsia="仿宋_GB2312" w:hAnsi="Times New Roman" w:hint="eastAsia"/>
          <w:color w:val="000000"/>
          <w:kern w:val="0"/>
          <w:szCs w:val="32"/>
        </w:rPr>
        <w:t>）</w:t>
      </w:r>
      <w:r>
        <w:rPr>
          <w:rFonts w:ascii="Times New Roman" w:eastAsia="仿宋_GB2312" w:hAnsi="Times New Roman"/>
          <w:color w:val="000000"/>
          <w:kern w:val="0"/>
          <w:szCs w:val="32"/>
          <w:lang w:val="de-DE"/>
        </w:rPr>
        <w:t>零售用户签约偏差考核条款的，</w:t>
      </w:r>
      <w:r>
        <w:rPr>
          <w:rFonts w:ascii="Times New Roman" w:eastAsia="仿宋_GB2312" w:hAnsi="Times New Roman"/>
          <w:color w:val="000000"/>
          <w:kern w:val="0"/>
          <w:szCs w:val="32"/>
          <w:lang w:val="de-DE"/>
        </w:rPr>
        <w:t>按全月</w:t>
      </w:r>
      <w:r>
        <w:rPr>
          <w:rFonts w:ascii="Times New Roman" w:eastAsia="仿宋_GB2312" w:hAnsi="Times New Roman" w:hint="eastAsia"/>
          <w:color w:val="000000"/>
          <w:kern w:val="0"/>
          <w:szCs w:val="32"/>
        </w:rPr>
        <w:t>实际</w:t>
      </w:r>
      <w:r>
        <w:rPr>
          <w:rFonts w:ascii="Times New Roman" w:eastAsia="仿宋_GB2312" w:hAnsi="Times New Roman"/>
          <w:color w:val="000000"/>
          <w:kern w:val="0"/>
          <w:szCs w:val="32"/>
          <w:lang w:val="de-DE"/>
        </w:rPr>
        <w:t>总电量执行偏差考核。</w:t>
      </w:r>
    </w:p>
    <w:p w:rsidR="00623CDF" w:rsidRDefault="00861DFB">
      <w:pPr>
        <w:snapToGrid w:val="0"/>
        <w:spacing w:line="580" w:lineRule="exact"/>
        <w:ind w:firstLineChars="200" w:firstLine="656"/>
        <w:outlineLvl w:val="0"/>
        <w:rPr>
          <w:rFonts w:eastAsia="黑体"/>
          <w:color w:val="000000"/>
          <w:spacing w:val="4"/>
          <w:szCs w:val="32"/>
        </w:rPr>
      </w:pPr>
      <w:r>
        <w:rPr>
          <w:rFonts w:eastAsia="黑体"/>
          <w:color w:val="000000"/>
          <w:spacing w:val="4"/>
          <w:szCs w:val="32"/>
        </w:rPr>
        <w:t>六、信息披露</w:t>
      </w:r>
    </w:p>
    <w:p w:rsidR="00623CDF" w:rsidRDefault="00861DFB">
      <w:pPr>
        <w:pStyle w:val="2"/>
        <w:spacing w:line="580"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（一）除</w:t>
      </w:r>
      <w:r>
        <w:rPr>
          <w:rFonts w:ascii="Times New Roman" w:eastAsia="仿宋_GB2312" w:hAnsi="Times New Roman"/>
          <w:color w:val="000000"/>
          <w:kern w:val="0"/>
          <w:szCs w:val="32"/>
          <w:lang w:eastAsia="zh-Hans"/>
        </w:rPr>
        <w:t>法规政策和市场规则</w:t>
      </w:r>
      <w:r>
        <w:rPr>
          <w:rFonts w:ascii="Times New Roman" w:eastAsia="仿宋_GB2312" w:hAnsi="Times New Roman"/>
          <w:color w:val="000000"/>
          <w:kern w:val="0"/>
          <w:szCs w:val="32"/>
        </w:rPr>
        <w:t>规定的披露内容外，市场成员还应通过交易平台披露本办法要求的零售市场相关信息。</w:t>
      </w:r>
      <w:r>
        <w:rPr>
          <w:rFonts w:ascii="Times New Roman" w:eastAsia="仿宋_GB2312" w:hAnsi="Times New Roman"/>
          <w:color w:val="000000"/>
          <w:kern w:val="0"/>
          <w:szCs w:val="32"/>
        </w:rPr>
        <w:t xml:space="preserve"> </w:t>
      </w:r>
    </w:p>
    <w:p w:rsidR="00623CDF" w:rsidRDefault="00861DFB">
      <w:pPr>
        <w:pStyle w:val="2"/>
        <w:spacing w:line="580"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（二）按照信息公开范围，零售市场信息分为公众信息、公开信息和私有信息。公众信息是指向社会公众披露的信息，公开信息是指向所有市场成员披露的信息，私有信息是指向特定市场主体披露的信息。</w:t>
      </w:r>
    </w:p>
    <w:p w:rsidR="00623CDF" w:rsidRDefault="00861DFB">
      <w:pPr>
        <w:pStyle w:val="2"/>
        <w:spacing w:line="580"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（三）售电公司市场信息披露行为纳入售电公司信用评价管理，售电公司应当披露和告知的信息包括：</w:t>
      </w:r>
    </w:p>
    <w:p w:rsidR="00623CDF" w:rsidRDefault="00861DFB">
      <w:pPr>
        <w:pStyle w:val="2"/>
        <w:spacing w:line="580"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1.</w:t>
      </w:r>
      <w:r>
        <w:rPr>
          <w:rFonts w:ascii="Times New Roman" w:eastAsia="仿宋_GB2312" w:hAnsi="Times New Roman"/>
          <w:color w:val="000000"/>
          <w:kern w:val="0"/>
          <w:szCs w:val="32"/>
        </w:rPr>
        <w:t>按照平台规范对外发布的</w:t>
      </w:r>
      <w:r>
        <w:rPr>
          <w:rFonts w:ascii="Times New Roman" w:eastAsia="仿宋_GB2312" w:hAnsi="Times New Roman"/>
          <w:color w:val="000000"/>
          <w:kern w:val="0"/>
          <w:szCs w:val="32"/>
          <w:lang w:val="de-DE"/>
        </w:rPr>
        <w:t>套餐</w:t>
      </w:r>
      <w:r>
        <w:rPr>
          <w:rFonts w:ascii="Times New Roman" w:eastAsia="仿宋_GB2312" w:hAnsi="Times New Roman"/>
          <w:color w:val="000000"/>
          <w:kern w:val="0"/>
          <w:szCs w:val="32"/>
        </w:rPr>
        <w:t>类型；（公众信息）</w:t>
      </w:r>
    </w:p>
    <w:p w:rsidR="00623CDF" w:rsidRDefault="00861DFB">
      <w:pPr>
        <w:pStyle w:val="2"/>
        <w:spacing w:line="580"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2.</w:t>
      </w:r>
      <w:r>
        <w:rPr>
          <w:rFonts w:ascii="Times New Roman" w:eastAsia="仿宋_GB2312" w:hAnsi="Times New Roman"/>
          <w:color w:val="000000"/>
          <w:kern w:val="0"/>
          <w:szCs w:val="32"/>
        </w:rPr>
        <w:t>服务电话</w:t>
      </w:r>
      <w:r>
        <w:rPr>
          <w:rFonts w:ascii="Times New Roman" w:eastAsia="仿宋_GB2312" w:hAnsi="Times New Roman"/>
          <w:color w:val="000000"/>
          <w:kern w:val="0"/>
          <w:szCs w:val="32"/>
          <w:lang w:val="de-DE"/>
        </w:rPr>
        <w:t>、营业场所地址、服务章程</w:t>
      </w:r>
      <w:r>
        <w:rPr>
          <w:rFonts w:ascii="Times New Roman" w:eastAsia="仿宋_GB2312" w:hAnsi="Times New Roman"/>
          <w:color w:val="000000"/>
          <w:kern w:val="0"/>
          <w:szCs w:val="32"/>
        </w:rPr>
        <w:t>等；（公众信息）</w:t>
      </w:r>
    </w:p>
    <w:p w:rsidR="00623CDF" w:rsidRDefault="00861DFB">
      <w:pPr>
        <w:pStyle w:val="2"/>
        <w:spacing w:line="580"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3.</w:t>
      </w:r>
      <w:r>
        <w:rPr>
          <w:rFonts w:ascii="Times New Roman" w:eastAsia="仿宋_GB2312" w:hAnsi="Times New Roman"/>
          <w:color w:val="000000"/>
          <w:kern w:val="0"/>
          <w:szCs w:val="32"/>
        </w:rPr>
        <w:t>告知代理用户月度平均购电成本、偏差考核费用</w:t>
      </w:r>
      <w:r>
        <w:rPr>
          <w:rFonts w:ascii="Times New Roman" w:eastAsia="仿宋_GB2312" w:hAnsi="Times New Roman"/>
          <w:color w:val="000000"/>
          <w:kern w:val="0"/>
          <w:szCs w:val="32"/>
        </w:rPr>
        <w:t>等</w:t>
      </w:r>
      <w:r>
        <w:rPr>
          <w:rFonts w:ascii="Times New Roman" w:eastAsia="仿宋_GB2312" w:hAnsi="Times New Roman"/>
          <w:color w:val="000000"/>
          <w:kern w:val="0"/>
          <w:szCs w:val="32"/>
          <w:lang w:val="de-DE"/>
        </w:rPr>
        <w:t>。</w:t>
      </w:r>
    </w:p>
    <w:p w:rsidR="00623CDF" w:rsidRDefault="00861DFB">
      <w:pPr>
        <w:pStyle w:val="2"/>
        <w:spacing w:line="580"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（四）电网企业应当披露的信息包括：</w:t>
      </w:r>
    </w:p>
    <w:p w:rsidR="00623CDF" w:rsidRDefault="00861DFB">
      <w:pPr>
        <w:pStyle w:val="2"/>
        <w:spacing w:line="580"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1.</w:t>
      </w:r>
      <w:r>
        <w:rPr>
          <w:rFonts w:ascii="Times New Roman" w:eastAsia="仿宋_GB2312" w:hAnsi="Times New Roman"/>
          <w:color w:val="000000"/>
          <w:kern w:val="0"/>
          <w:szCs w:val="32"/>
        </w:rPr>
        <w:t>每月电网企业代理购电工商业用户数量、直接参与市场化</w:t>
      </w:r>
      <w:r>
        <w:rPr>
          <w:rFonts w:ascii="Times New Roman" w:eastAsia="仿宋_GB2312" w:hAnsi="Times New Roman"/>
          <w:color w:val="000000"/>
          <w:kern w:val="0"/>
          <w:szCs w:val="32"/>
        </w:rPr>
        <w:lastRenderedPageBreak/>
        <w:t>交易工商业用户数量。（公众信息）</w:t>
      </w:r>
    </w:p>
    <w:p w:rsidR="00623CDF" w:rsidRDefault="00861DFB">
      <w:pPr>
        <w:pStyle w:val="2"/>
        <w:spacing w:line="580"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（五）电力交易机构应当披露的信息包括：</w:t>
      </w:r>
    </w:p>
    <w:p w:rsidR="00623CDF" w:rsidRDefault="00861DFB">
      <w:pPr>
        <w:pStyle w:val="2"/>
        <w:spacing w:line="580"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1.</w:t>
      </w:r>
      <w:r>
        <w:rPr>
          <w:rFonts w:ascii="Times New Roman" w:eastAsia="仿宋_GB2312" w:hAnsi="Times New Roman"/>
          <w:color w:val="000000"/>
          <w:kern w:val="0"/>
          <w:szCs w:val="32"/>
          <w:lang w:val="de-DE"/>
        </w:rPr>
        <w:t>批发侧市场各场次交易电量及平均价；（公开信息）</w:t>
      </w:r>
    </w:p>
    <w:p w:rsidR="00623CDF" w:rsidRDefault="00861DFB">
      <w:pPr>
        <w:pStyle w:val="2"/>
        <w:spacing w:line="580" w:lineRule="exact"/>
        <w:ind w:firstLine="616"/>
        <w:rPr>
          <w:rFonts w:ascii="Times New Roman" w:eastAsia="仿宋_GB2312" w:hAnsi="Times New Roman"/>
          <w:color w:val="000000"/>
          <w:kern w:val="0"/>
          <w:szCs w:val="32"/>
          <w:lang w:val="de-DE"/>
        </w:rPr>
      </w:pPr>
      <w:r>
        <w:rPr>
          <w:rFonts w:ascii="Times New Roman" w:eastAsia="仿宋_GB2312" w:hAnsi="Times New Roman"/>
          <w:color w:val="000000"/>
          <w:kern w:val="0"/>
          <w:szCs w:val="32"/>
        </w:rPr>
        <w:t>2.</w:t>
      </w:r>
      <w:r>
        <w:rPr>
          <w:rFonts w:ascii="Times New Roman" w:eastAsia="仿宋_GB2312" w:hAnsi="Times New Roman"/>
          <w:color w:val="000000"/>
          <w:kern w:val="0"/>
          <w:szCs w:val="32"/>
          <w:lang w:val="de-DE"/>
        </w:rPr>
        <w:t>批发市场年度交易均价、月度交易均价；（</w:t>
      </w:r>
      <w:r>
        <w:rPr>
          <w:rFonts w:ascii="Times New Roman" w:eastAsia="仿宋_GB2312" w:hAnsi="Times New Roman"/>
          <w:color w:val="000000"/>
          <w:kern w:val="0"/>
          <w:szCs w:val="32"/>
        </w:rPr>
        <w:t>公开信息</w:t>
      </w:r>
      <w:r>
        <w:rPr>
          <w:rFonts w:ascii="Times New Roman" w:eastAsia="仿宋_GB2312" w:hAnsi="Times New Roman"/>
          <w:color w:val="000000"/>
          <w:kern w:val="0"/>
          <w:szCs w:val="32"/>
          <w:lang w:val="de-DE"/>
        </w:rPr>
        <w:t>）</w:t>
      </w:r>
    </w:p>
    <w:p w:rsidR="00623CDF" w:rsidRDefault="00861DFB">
      <w:pPr>
        <w:pStyle w:val="2"/>
        <w:spacing w:line="580"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3.</w:t>
      </w:r>
      <w:r>
        <w:rPr>
          <w:rFonts w:ascii="Times New Roman" w:eastAsia="仿宋_GB2312" w:hAnsi="Times New Roman"/>
          <w:color w:val="000000"/>
          <w:kern w:val="0"/>
          <w:szCs w:val="32"/>
        </w:rPr>
        <w:t>批发用户、售电公司批发侧月度购电均价</w:t>
      </w:r>
      <w:r>
        <w:rPr>
          <w:rFonts w:ascii="Times New Roman" w:eastAsia="仿宋_GB2312" w:hAnsi="Times New Roman"/>
          <w:color w:val="000000"/>
          <w:kern w:val="0"/>
          <w:szCs w:val="32"/>
          <w:lang w:eastAsia="zh-Hans"/>
        </w:rPr>
        <w:t>。</w:t>
      </w:r>
      <w:r>
        <w:rPr>
          <w:rFonts w:ascii="Times New Roman" w:eastAsia="仿宋_GB2312" w:hAnsi="Times New Roman"/>
          <w:color w:val="000000"/>
          <w:kern w:val="0"/>
          <w:szCs w:val="32"/>
        </w:rPr>
        <w:t>（公开信息）</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七、争议和违规处理</w:t>
      </w:r>
    </w:p>
    <w:p w:rsidR="00623CDF" w:rsidRDefault="00861DFB">
      <w:pPr>
        <w:pStyle w:val="2"/>
        <w:spacing w:line="579"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（一）本办法所指的争议是零售市场成员之间的下列争议：</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1.</w:t>
      </w:r>
      <w:r>
        <w:rPr>
          <w:rFonts w:ascii="Times New Roman" w:eastAsia="仿宋_GB2312" w:hAnsi="Times New Roman"/>
          <w:color w:val="000000"/>
          <w:kern w:val="0"/>
          <w:szCs w:val="32"/>
        </w:rPr>
        <w:t>注册或注销市场资格的争议；</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2.</w:t>
      </w:r>
      <w:r>
        <w:rPr>
          <w:rFonts w:ascii="Times New Roman" w:eastAsia="仿宋_GB2312" w:hAnsi="Times New Roman"/>
          <w:color w:val="000000"/>
          <w:kern w:val="0"/>
          <w:szCs w:val="32"/>
        </w:rPr>
        <w:t>市场成员按照规则行使权力和履行义务的争议；</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3.</w:t>
      </w:r>
      <w:r>
        <w:rPr>
          <w:rFonts w:ascii="Times New Roman" w:eastAsia="仿宋_GB2312" w:hAnsi="Times New Roman"/>
          <w:color w:val="000000"/>
          <w:kern w:val="0"/>
          <w:szCs w:val="32"/>
        </w:rPr>
        <w:t>市场交易、计量和结算的争议；</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4.</w:t>
      </w:r>
      <w:r>
        <w:rPr>
          <w:rFonts w:ascii="Times New Roman" w:eastAsia="仿宋_GB2312" w:hAnsi="Times New Roman"/>
          <w:color w:val="000000"/>
          <w:kern w:val="0"/>
          <w:szCs w:val="32"/>
        </w:rPr>
        <w:t>其他方面的争议。</w:t>
      </w:r>
    </w:p>
    <w:p w:rsidR="00623CDF" w:rsidRDefault="00861DFB">
      <w:pPr>
        <w:pStyle w:val="2"/>
        <w:spacing w:line="579"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（二）发生争议时，按照国家有关法律法规和浙江省的相关规定处理，具体方式有：</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1.</w:t>
      </w:r>
      <w:r>
        <w:rPr>
          <w:rFonts w:ascii="Times New Roman" w:eastAsia="仿宋_GB2312" w:hAnsi="Times New Roman"/>
          <w:color w:val="000000"/>
          <w:kern w:val="0"/>
          <w:szCs w:val="32"/>
        </w:rPr>
        <w:t>协商解决；</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2.</w:t>
      </w:r>
      <w:r>
        <w:rPr>
          <w:rFonts w:ascii="Times New Roman" w:eastAsia="仿宋_GB2312" w:hAnsi="Times New Roman"/>
          <w:color w:val="000000"/>
          <w:kern w:val="0"/>
          <w:szCs w:val="32"/>
        </w:rPr>
        <w:t>申请调解；</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3.</w:t>
      </w:r>
      <w:r>
        <w:rPr>
          <w:rFonts w:ascii="Times New Roman" w:eastAsia="仿宋_GB2312" w:hAnsi="Times New Roman"/>
          <w:color w:val="000000"/>
          <w:kern w:val="0"/>
          <w:szCs w:val="32"/>
          <w:lang w:eastAsia="zh-Hans"/>
        </w:rPr>
        <w:t>申请</w:t>
      </w:r>
      <w:r>
        <w:rPr>
          <w:rFonts w:ascii="Times New Roman" w:eastAsia="仿宋_GB2312" w:hAnsi="Times New Roman"/>
          <w:color w:val="000000"/>
          <w:kern w:val="0"/>
          <w:szCs w:val="32"/>
        </w:rPr>
        <w:t>仲裁；</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4.</w:t>
      </w:r>
      <w:r>
        <w:rPr>
          <w:rFonts w:ascii="Times New Roman" w:eastAsia="仿宋_GB2312" w:hAnsi="Times New Roman"/>
          <w:color w:val="000000"/>
          <w:kern w:val="0"/>
          <w:szCs w:val="32"/>
        </w:rPr>
        <w:t>提</w:t>
      </w:r>
      <w:r>
        <w:rPr>
          <w:rFonts w:ascii="Times New Roman" w:eastAsia="仿宋_GB2312" w:hAnsi="Times New Roman"/>
          <w:color w:val="000000"/>
          <w:kern w:val="0"/>
          <w:szCs w:val="32"/>
          <w:lang w:eastAsia="zh-Hans"/>
        </w:rPr>
        <w:t>起</w:t>
      </w:r>
      <w:r>
        <w:rPr>
          <w:rFonts w:ascii="Times New Roman" w:eastAsia="仿宋_GB2312" w:hAnsi="Times New Roman"/>
          <w:color w:val="000000"/>
          <w:kern w:val="0"/>
          <w:szCs w:val="32"/>
        </w:rPr>
        <w:t>诉讼。</w:t>
      </w:r>
    </w:p>
    <w:p w:rsidR="00623CDF" w:rsidRDefault="00861DFB">
      <w:pPr>
        <w:pStyle w:val="2"/>
        <w:spacing w:line="579"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（三）市场成员扰乱市场秩序，出现下列违规行为的，按照相关法律法规处理：</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1.</w:t>
      </w:r>
      <w:r>
        <w:rPr>
          <w:rFonts w:ascii="Times New Roman" w:eastAsia="仿宋_GB2312" w:hAnsi="Times New Roman"/>
          <w:color w:val="000000"/>
          <w:kern w:val="0"/>
          <w:szCs w:val="32"/>
        </w:rPr>
        <w:t>提供虚假材料或以其他欺骗手段取得市场准入资格；</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2.</w:t>
      </w:r>
      <w:r>
        <w:rPr>
          <w:rFonts w:ascii="Times New Roman" w:eastAsia="仿宋_GB2312" w:hAnsi="Times New Roman"/>
          <w:color w:val="000000"/>
          <w:kern w:val="0"/>
          <w:szCs w:val="32"/>
        </w:rPr>
        <w:t>滥用市场支配地位，恶意串通，操纵市场；</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3.</w:t>
      </w:r>
      <w:r>
        <w:rPr>
          <w:rFonts w:ascii="Times New Roman" w:eastAsia="仿宋_GB2312" w:hAnsi="Times New Roman"/>
          <w:color w:val="000000"/>
          <w:kern w:val="0"/>
          <w:szCs w:val="32"/>
        </w:rPr>
        <w:t>售电公司未经授权替代零售用户登录交易平台进行相关操</w:t>
      </w:r>
      <w:r>
        <w:rPr>
          <w:rFonts w:ascii="Times New Roman" w:eastAsia="仿宋_GB2312" w:hAnsi="Times New Roman"/>
          <w:color w:val="000000"/>
          <w:kern w:val="0"/>
          <w:szCs w:val="32"/>
        </w:rPr>
        <w:lastRenderedPageBreak/>
        <w:t>作；</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4.</w:t>
      </w:r>
      <w:r>
        <w:rPr>
          <w:rFonts w:ascii="Times New Roman" w:eastAsia="仿宋_GB2312" w:hAnsi="Times New Roman"/>
          <w:color w:val="000000"/>
          <w:kern w:val="0"/>
          <w:szCs w:val="32"/>
        </w:rPr>
        <w:t>未按照本办法进行结算；</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5.</w:t>
      </w:r>
      <w:r>
        <w:rPr>
          <w:rFonts w:ascii="Times New Roman" w:eastAsia="仿宋_GB2312" w:hAnsi="Times New Roman"/>
          <w:color w:val="000000"/>
          <w:kern w:val="0"/>
          <w:szCs w:val="32"/>
        </w:rPr>
        <w:t>不按时结</w:t>
      </w:r>
      <w:r>
        <w:rPr>
          <w:rFonts w:ascii="Times New Roman" w:eastAsia="仿宋_GB2312" w:hAnsi="Times New Roman"/>
          <w:color w:val="000000"/>
          <w:kern w:val="0"/>
          <w:szCs w:val="32"/>
        </w:rPr>
        <w:t>算，侵害其他市场交易主体利益；</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6.</w:t>
      </w:r>
      <w:r>
        <w:rPr>
          <w:rFonts w:ascii="Times New Roman" w:eastAsia="仿宋_GB2312" w:hAnsi="Times New Roman"/>
          <w:color w:val="000000"/>
          <w:kern w:val="0"/>
          <w:szCs w:val="32"/>
        </w:rPr>
        <w:t>市场运营机构对市场交易主体有歧视行为；</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7.</w:t>
      </w:r>
      <w:r>
        <w:rPr>
          <w:rFonts w:ascii="Times New Roman" w:eastAsia="仿宋_GB2312" w:hAnsi="Times New Roman"/>
          <w:color w:val="000000"/>
          <w:kern w:val="0"/>
          <w:szCs w:val="32"/>
        </w:rPr>
        <w:t>提供虚假信息或违规发布信息；</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8.</w:t>
      </w:r>
      <w:r>
        <w:rPr>
          <w:rFonts w:ascii="Times New Roman" w:eastAsia="仿宋_GB2312" w:hAnsi="Times New Roman"/>
          <w:color w:val="000000"/>
          <w:kern w:val="0"/>
          <w:szCs w:val="32"/>
        </w:rPr>
        <w:t>泄露应当保密的信息；</w:t>
      </w:r>
    </w:p>
    <w:p w:rsidR="00623CDF" w:rsidRDefault="00861DFB">
      <w:pPr>
        <w:pStyle w:val="2"/>
        <w:spacing w:line="579" w:lineRule="exact"/>
        <w:ind w:firstLine="616"/>
        <w:rPr>
          <w:rFonts w:ascii="Times New Roman" w:eastAsia="仿宋_GB2312" w:hAnsi="Times New Roman"/>
          <w:color w:val="000000"/>
          <w:kern w:val="0"/>
          <w:szCs w:val="32"/>
        </w:rPr>
      </w:pPr>
      <w:r>
        <w:rPr>
          <w:rFonts w:ascii="Times New Roman" w:eastAsia="仿宋_GB2312" w:hAnsi="Times New Roman"/>
          <w:color w:val="000000"/>
          <w:kern w:val="0"/>
          <w:szCs w:val="32"/>
        </w:rPr>
        <w:t>9.</w:t>
      </w:r>
      <w:r>
        <w:rPr>
          <w:rFonts w:ascii="Times New Roman" w:eastAsia="仿宋_GB2312" w:hAnsi="Times New Roman"/>
          <w:color w:val="000000"/>
          <w:kern w:val="0"/>
          <w:szCs w:val="32"/>
        </w:rPr>
        <w:t>其他严重违反</w:t>
      </w:r>
      <w:r>
        <w:rPr>
          <w:rFonts w:ascii="Times New Roman" w:eastAsia="仿宋_GB2312" w:hAnsi="Times New Roman"/>
          <w:color w:val="000000"/>
          <w:kern w:val="0"/>
          <w:szCs w:val="32"/>
          <w:lang w:eastAsia="zh-Hans"/>
        </w:rPr>
        <w:t>法规政策或者</w:t>
      </w:r>
      <w:r>
        <w:rPr>
          <w:rFonts w:ascii="Times New Roman" w:eastAsia="仿宋_GB2312" w:hAnsi="Times New Roman"/>
          <w:color w:val="000000"/>
          <w:kern w:val="0"/>
          <w:szCs w:val="32"/>
        </w:rPr>
        <w:t>市场规则的行为。</w:t>
      </w:r>
    </w:p>
    <w:p w:rsidR="00623CDF" w:rsidRDefault="00861DFB">
      <w:pPr>
        <w:snapToGrid w:val="0"/>
        <w:spacing w:line="579" w:lineRule="exact"/>
        <w:ind w:firstLineChars="200" w:firstLine="656"/>
        <w:outlineLvl w:val="0"/>
        <w:rPr>
          <w:rFonts w:eastAsia="黑体"/>
          <w:color w:val="000000"/>
          <w:spacing w:val="4"/>
          <w:szCs w:val="32"/>
        </w:rPr>
      </w:pPr>
      <w:r>
        <w:rPr>
          <w:rFonts w:eastAsia="黑体"/>
          <w:color w:val="000000"/>
          <w:spacing w:val="4"/>
          <w:szCs w:val="32"/>
        </w:rPr>
        <w:t>八、附则</w:t>
      </w:r>
    </w:p>
    <w:p w:rsidR="00623CDF" w:rsidRDefault="00861DFB">
      <w:pPr>
        <w:pStyle w:val="2"/>
        <w:spacing w:line="579"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（一）本办法由省发展改革委、省能源局负责解释。</w:t>
      </w:r>
    </w:p>
    <w:p w:rsidR="00623CDF" w:rsidRDefault="00861DFB">
      <w:pPr>
        <w:pStyle w:val="2"/>
        <w:spacing w:line="579" w:lineRule="exact"/>
        <w:ind w:firstLine="616"/>
        <w:outlineLvl w:val="1"/>
        <w:rPr>
          <w:rFonts w:ascii="Times New Roman" w:eastAsia="仿宋_GB2312" w:hAnsi="Times New Roman"/>
          <w:color w:val="000000"/>
          <w:kern w:val="0"/>
          <w:szCs w:val="32"/>
        </w:rPr>
      </w:pPr>
      <w:r>
        <w:rPr>
          <w:rFonts w:ascii="Times New Roman" w:eastAsia="仿宋_GB2312" w:hAnsi="Times New Roman"/>
          <w:color w:val="000000"/>
          <w:kern w:val="0"/>
          <w:szCs w:val="32"/>
        </w:rPr>
        <w:t>（二）本办法自</w:t>
      </w:r>
      <w:r>
        <w:rPr>
          <w:rFonts w:ascii="Times New Roman" w:eastAsia="仿宋_GB2312" w:hAnsi="Times New Roman"/>
          <w:color w:val="000000"/>
          <w:kern w:val="0"/>
          <w:szCs w:val="32"/>
        </w:rPr>
        <w:t>发布之日</w:t>
      </w:r>
      <w:r>
        <w:rPr>
          <w:rFonts w:ascii="Times New Roman" w:eastAsia="仿宋_GB2312" w:hAnsi="Times New Roman"/>
          <w:color w:val="000000"/>
          <w:kern w:val="0"/>
          <w:szCs w:val="32"/>
        </w:rPr>
        <w:t>起施行。本办法未尽事宜或与法规政策冲突之处均以最新法规政策为准。</w:t>
      </w:r>
    </w:p>
    <w:p w:rsidR="00623CDF" w:rsidRDefault="00623CDF">
      <w:pPr>
        <w:pStyle w:val="2"/>
        <w:spacing w:line="579" w:lineRule="exact"/>
        <w:ind w:firstLine="616"/>
        <w:outlineLvl w:val="1"/>
        <w:rPr>
          <w:rFonts w:ascii="Times New Roman" w:eastAsia="仿宋_GB2312" w:hAnsi="Times New Roman"/>
          <w:color w:val="000000"/>
          <w:kern w:val="0"/>
          <w:szCs w:val="32"/>
        </w:rPr>
      </w:pPr>
    </w:p>
    <w:p w:rsidR="00623CDF" w:rsidRDefault="00861DFB">
      <w:pPr>
        <w:spacing w:line="579" w:lineRule="exact"/>
        <w:ind w:firstLineChars="200" w:firstLine="616"/>
        <w:jc w:val="left"/>
        <w:outlineLvl w:val="0"/>
        <w:rPr>
          <w:szCs w:val="32"/>
        </w:rPr>
      </w:pPr>
      <w:r>
        <w:rPr>
          <w:szCs w:val="32"/>
        </w:rPr>
        <w:t>附</w:t>
      </w:r>
      <w:r>
        <w:rPr>
          <w:szCs w:val="32"/>
        </w:rPr>
        <w:t>：</w:t>
      </w:r>
      <w:r>
        <w:rPr>
          <w:szCs w:val="32"/>
        </w:rPr>
        <w:t>1</w:t>
      </w:r>
      <w:r>
        <w:rPr>
          <w:szCs w:val="32"/>
        </w:rPr>
        <w:t>.</w:t>
      </w:r>
      <w:r>
        <w:rPr>
          <w:szCs w:val="32"/>
        </w:rPr>
        <w:t>浙江省电力零售套餐指南（</w:t>
      </w:r>
      <w:r>
        <w:rPr>
          <w:szCs w:val="32"/>
        </w:rPr>
        <w:t>202</w:t>
      </w:r>
      <w:r>
        <w:rPr>
          <w:rFonts w:hint="eastAsia"/>
          <w:szCs w:val="32"/>
        </w:rPr>
        <w:t>4</w:t>
      </w:r>
      <w:r>
        <w:rPr>
          <w:szCs w:val="32"/>
        </w:rPr>
        <w:t>年版）</w:t>
      </w:r>
      <w:r>
        <w:rPr>
          <w:szCs w:val="32"/>
        </w:rPr>
        <w:t xml:space="preserve"> </w:t>
      </w:r>
    </w:p>
    <w:p w:rsidR="00623CDF" w:rsidRDefault="00861DFB">
      <w:pPr>
        <w:spacing w:line="579" w:lineRule="exact"/>
        <w:ind w:firstLineChars="400" w:firstLine="1232"/>
        <w:jc w:val="left"/>
        <w:outlineLvl w:val="0"/>
        <w:rPr>
          <w:szCs w:val="32"/>
        </w:rPr>
      </w:pPr>
      <w:r>
        <w:rPr>
          <w:szCs w:val="32"/>
        </w:rPr>
        <w:t>2.</w:t>
      </w:r>
      <w:r>
        <w:rPr>
          <w:szCs w:val="32"/>
        </w:rPr>
        <w:t>浙江省电力零售套餐表单</w:t>
      </w:r>
    </w:p>
    <w:p w:rsidR="00623CDF" w:rsidRDefault="00861DFB">
      <w:pPr>
        <w:spacing w:line="579" w:lineRule="exact"/>
        <w:rPr>
          <w:szCs w:val="32"/>
        </w:rPr>
      </w:pPr>
      <w:r>
        <w:rPr>
          <w:szCs w:val="32"/>
        </w:rPr>
        <w:t xml:space="preserve">     </w:t>
      </w:r>
      <w:r>
        <w:rPr>
          <w:szCs w:val="32"/>
        </w:rPr>
        <w:t xml:space="preserve">  </w:t>
      </w:r>
    </w:p>
    <w:p w:rsidR="00623CDF" w:rsidRDefault="00623CDF">
      <w:pPr>
        <w:pStyle w:val="a0"/>
        <w:ind w:firstLine="396"/>
        <w:rPr>
          <w:rFonts w:ascii="Times New Roman" w:eastAsia="仿宋_GB2312" w:hAnsi="Times New Roman"/>
          <w:color w:val="000000"/>
        </w:rPr>
      </w:pPr>
    </w:p>
    <w:p w:rsidR="00623CDF" w:rsidRDefault="00861DFB">
      <w:pPr>
        <w:spacing w:line="579" w:lineRule="exact"/>
        <w:jc w:val="left"/>
        <w:outlineLvl w:val="0"/>
        <w:rPr>
          <w:szCs w:val="32"/>
        </w:rPr>
      </w:pPr>
      <w:r>
        <w:rPr>
          <w:szCs w:val="32"/>
        </w:rPr>
        <w:br w:type="page"/>
      </w:r>
      <w:r>
        <w:rPr>
          <w:rFonts w:eastAsia="黑体"/>
          <w:szCs w:val="32"/>
        </w:rPr>
        <w:lastRenderedPageBreak/>
        <w:t>附</w:t>
      </w:r>
      <w:r>
        <w:rPr>
          <w:rFonts w:eastAsia="黑体"/>
          <w:szCs w:val="32"/>
        </w:rPr>
        <w:t>1</w:t>
      </w:r>
    </w:p>
    <w:p w:rsidR="00623CDF" w:rsidRDefault="00623CDF">
      <w:pPr>
        <w:spacing w:line="579" w:lineRule="exact"/>
        <w:jc w:val="left"/>
        <w:outlineLvl w:val="0"/>
        <w:rPr>
          <w:szCs w:val="32"/>
        </w:rPr>
      </w:pPr>
    </w:p>
    <w:p w:rsidR="00623CDF" w:rsidRDefault="00861DFB">
      <w:pPr>
        <w:spacing w:line="579" w:lineRule="exact"/>
        <w:jc w:val="center"/>
        <w:outlineLvl w:val="0"/>
        <w:rPr>
          <w:rFonts w:eastAsia="方正小标宋简体"/>
          <w:sz w:val="44"/>
          <w:szCs w:val="44"/>
        </w:rPr>
      </w:pPr>
      <w:r>
        <w:rPr>
          <w:rFonts w:eastAsia="方正小标宋简体"/>
          <w:sz w:val="44"/>
          <w:szCs w:val="44"/>
        </w:rPr>
        <w:t>浙江省电力零售套餐指南（</w:t>
      </w:r>
      <w:r>
        <w:rPr>
          <w:rFonts w:eastAsia="方正小标宋简体"/>
          <w:sz w:val="44"/>
          <w:szCs w:val="44"/>
        </w:rPr>
        <w:t>202</w:t>
      </w:r>
      <w:r>
        <w:rPr>
          <w:rFonts w:eastAsia="方正小标宋简体" w:hint="eastAsia"/>
          <w:sz w:val="44"/>
          <w:szCs w:val="44"/>
        </w:rPr>
        <w:t>4</w:t>
      </w:r>
      <w:r>
        <w:rPr>
          <w:rFonts w:eastAsia="方正小标宋简体"/>
          <w:sz w:val="44"/>
          <w:szCs w:val="44"/>
        </w:rPr>
        <w:t>年版）</w:t>
      </w:r>
    </w:p>
    <w:p w:rsidR="00623CDF" w:rsidRDefault="00623CDF">
      <w:pPr>
        <w:snapToGrid w:val="0"/>
        <w:spacing w:line="579" w:lineRule="exact"/>
        <w:ind w:firstLineChars="200" w:firstLine="616"/>
        <w:rPr>
          <w:szCs w:val="32"/>
        </w:rPr>
      </w:pPr>
    </w:p>
    <w:p w:rsidR="00623CDF" w:rsidRDefault="00861DFB">
      <w:pPr>
        <w:snapToGrid w:val="0"/>
        <w:spacing w:line="579" w:lineRule="exact"/>
        <w:ind w:firstLineChars="200" w:firstLine="616"/>
        <w:rPr>
          <w:szCs w:val="32"/>
        </w:rPr>
      </w:pPr>
      <w:r>
        <w:rPr>
          <w:szCs w:val="32"/>
        </w:rPr>
        <w:t>售电公司与零售用户应参照《浙江省售电公司与电力用户购售电合同（示范文本，</w:t>
      </w:r>
      <w:r>
        <w:rPr>
          <w:szCs w:val="32"/>
        </w:rPr>
        <w:t>2</w:t>
      </w:r>
      <w:r>
        <w:rPr>
          <w:szCs w:val="32"/>
        </w:rPr>
        <w:t>02</w:t>
      </w:r>
      <w:r>
        <w:rPr>
          <w:rFonts w:hint="eastAsia"/>
          <w:szCs w:val="32"/>
        </w:rPr>
        <w:t>4</w:t>
      </w:r>
      <w:r>
        <w:rPr>
          <w:szCs w:val="32"/>
        </w:rPr>
        <w:t>年版）（</w:t>
      </w:r>
      <w:r>
        <w:rPr>
          <w:szCs w:val="32"/>
        </w:rPr>
        <w:t>参考使用</w:t>
      </w:r>
      <w:r>
        <w:rPr>
          <w:szCs w:val="32"/>
        </w:rPr>
        <w:t>）》签订零售合同，其中零售用户结算资费根据本文规定的零售套餐种类确定。</w:t>
      </w:r>
    </w:p>
    <w:p w:rsidR="00623CDF" w:rsidRDefault="00861DFB">
      <w:pPr>
        <w:snapToGrid w:val="0"/>
        <w:spacing w:line="579" w:lineRule="exact"/>
        <w:ind w:firstLineChars="200" w:firstLine="616"/>
        <w:rPr>
          <w:rFonts w:eastAsia="黑体"/>
          <w:b/>
          <w:bCs/>
          <w:szCs w:val="32"/>
        </w:rPr>
      </w:pPr>
      <w:r>
        <w:rPr>
          <w:rFonts w:eastAsia="黑体"/>
          <w:szCs w:val="32"/>
        </w:rPr>
        <w:t>一、零售套餐种类</w:t>
      </w:r>
    </w:p>
    <w:p w:rsidR="00623CDF" w:rsidRDefault="00861DFB">
      <w:pPr>
        <w:snapToGrid w:val="0"/>
        <w:spacing w:line="579" w:lineRule="exact"/>
        <w:ind w:firstLineChars="200" w:firstLine="616"/>
        <w:rPr>
          <w:szCs w:val="32"/>
        </w:rPr>
      </w:pPr>
      <w:r>
        <w:rPr>
          <w:szCs w:val="32"/>
        </w:rPr>
        <w:t>零售套餐种类包括固定价格套餐、比例分成套餐和市场价格联动套餐等。</w:t>
      </w:r>
    </w:p>
    <w:p w:rsidR="00623CDF" w:rsidRDefault="00861DFB">
      <w:pPr>
        <w:snapToGrid w:val="0"/>
        <w:spacing w:line="579" w:lineRule="exact"/>
        <w:ind w:firstLineChars="200" w:firstLine="616"/>
        <w:rPr>
          <w:szCs w:val="32"/>
        </w:rPr>
      </w:pPr>
      <w:r>
        <w:rPr>
          <w:szCs w:val="32"/>
        </w:rPr>
        <w:t>1.</w:t>
      </w:r>
      <w:r>
        <w:rPr>
          <w:szCs w:val="32"/>
        </w:rPr>
        <w:t>固定价格套餐：售电公司与零售用户约定固定交易结算价格的零售套餐；</w:t>
      </w:r>
    </w:p>
    <w:p w:rsidR="00623CDF" w:rsidRDefault="00861DFB">
      <w:pPr>
        <w:snapToGrid w:val="0"/>
        <w:spacing w:line="579" w:lineRule="exact"/>
        <w:ind w:firstLineChars="200" w:firstLine="616"/>
        <w:rPr>
          <w:szCs w:val="32"/>
        </w:rPr>
      </w:pPr>
      <w:r>
        <w:rPr>
          <w:szCs w:val="32"/>
        </w:rPr>
        <w:t>2.</w:t>
      </w:r>
      <w:r>
        <w:rPr>
          <w:szCs w:val="32"/>
        </w:rPr>
        <w:t>比例分成套餐：售电公司与零售用户约定分成基准价和分成比例，参照</w:t>
      </w:r>
      <w:r>
        <w:rPr>
          <w:rFonts w:hint="eastAsia"/>
          <w:szCs w:val="32"/>
        </w:rPr>
        <w:t>零售套餐参考价格</w:t>
      </w:r>
      <w:r>
        <w:rPr>
          <w:szCs w:val="32"/>
        </w:rPr>
        <w:t>进行收益分享、风险共担的零售套餐；</w:t>
      </w:r>
    </w:p>
    <w:p w:rsidR="00623CDF" w:rsidRDefault="00861DFB">
      <w:pPr>
        <w:snapToGrid w:val="0"/>
        <w:spacing w:line="579" w:lineRule="exact"/>
        <w:ind w:firstLineChars="200" w:firstLine="616"/>
        <w:rPr>
          <w:szCs w:val="32"/>
        </w:rPr>
      </w:pPr>
      <w:r>
        <w:rPr>
          <w:szCs w:val="32"/>
        </w:rPr>
        <w:t>3.</w:t>
      </w:r>
      <w:r>
        <w:rPr>
          <w:szCs w:val="32"/>
        </w:rPr>
        <w:t>市场价格联动套餐：售电公司与零售用户在</w:t>
      </w:r>
      <w:r>
        <w:rPr>
          <w:rFonts w:hint="eastAsia"/>
          <w:szCs w:val="32"/>
        </w:rPr>
        <w:t>零售套餐参考</w:t>
      </w:r>
      <w:r>
        <w:rPr>
          <w:rFonts w:hint="eastAsia"/>
          <w:szCs w:val="32"/>
        </w:rPr>
        <w:t>价格</w:t>
      </w:r>
      <w:r>
        <w:rPr>
          <w:szCs w:val="32"/>
        </w:rPr>
        <w:t>基础上约定上浮费用或下浮费用作为交易结算价格的零售套餐。</w:t>
      </w:r>
    </w:p>
    <w:p w:rsidR="00623CDF" w:rsidRDefault="00861DFB">
      <w:pPr>
        <w:snapToGrid w:val="0"/>
        <w:spacing w:line="579" w:lineRule="exact"/>
        <w:ind w:firstLineChars="200" w:firstLine="616"/>
        <w:rPr>
          <w:rFonts w:eastAsia="黑体"/>
          <w:b/>
          <w:bCs/>
          <w:szCs w:val="32"/>
        </w:rPr>
      </w:pPr>
      <w:r>
        <w:rPr>
          <w:rFonts w:eastAsia="黑体"/>
          <w:szCs w:val="32"/>
        </w:rPr>
        <w:t>二、零售套餐确定方式</w:t>
      </w:r>
    </w:p>
    <w:p w:rsidR="00623CDF" w:rsidRDefault="00861DFB">
      <w:pPr>
        <w:snapToGrid w:val="0"/>
        <w:spacing w:line="579" w:lineRule="exact"/>
        <w:ind w:firstLineChars="200" w:firstLine="616"/>
        <w:rPr>
          <w:szCs w:val="32"/>
        </w:rPr>
      </w:pPr>
      <w:r>
        <w:rPr>
          <w:szCs w:val="32"/>
        </w:rPr>
        <w:t>明码标价方式指售电公司按照以上三类零售套餐中一类或多类，明确套餐的各项参数，并在电力交易平台中挂牌，用户直接下单。</w:t>
      </w:r>
    </w:p>
    <w:p w:rsidR="00623CDF" w:rsidRDefault="00861DFB">
      <w:pPr>
        <w:snapToGrid w:val="0"/>
        <w:spacing w:line="579" w:lineRule="exact"/>
        <w:ind w:firstLineChars="200" w:firstLine="616"/>
        <w:rPr>
          <w:szCs w:val="32"/>
        </w:rPr>
      </w:pPr>
      <w:r>
        <w:rPr>
          <w:szCs w:val="32"/>
        </w:rPr>
        <w:lastRenderedPageBreak/>
        <w:t>协商议价方式指售电公司与零售用户，按照以上三类零售套</w:t>
      </w:r>
      <w:r>
        <w:rPr>
          <w:spacing w:val="-11"/>
          <w:szCs w:val="32"/>
        </w:rPr>
        <w:t>餐中的一类，协商确定各项参数，并在电力交易平台提交零售套餐。</w:t>
      </w:r>
    </w:p>
    <w:p w:rsidR="00623CDF" w:rsidRDefault="00861DFB">
      <w:pPr>
        <w:snapToGrid w:val="0"/>
        <w:spacing w:line="579" w:lineRule="exact"/>
        <w:ind w:firstLineChars="200" w:firstLine="616"/>
        <w:rPr>
          <w:szCs w:val="32"/>
        </w:rPr>
      </w:pPr>
      <w:r>
        <w:rPr>
          <w:szCs w:val="32"/>
        </w:rPr>
        <w:t>1-10</w:t>
      </w:r>
      <w:r>
        <w:rPr>
          <w:szCs w:val="32"/>
        </w:rPr>
        <w:t>千伏及以下用电电压等级的零售用户可以通过明码标价方式或协商议价方式确定套餐，</w:t>
      </w:r>
      <w:r>
        <w:rPr>
          <w:szCs w:val="32"/>
        </w:rPr>
        <w:t>10</w:t>
      </w:r>
      <w:r>
        <w:rPr>
          <w:szCs w:val="32"/>
        </w:rPr>
        <w:t>千伏以上用电电压等级的零售用户仅能通过协商议价方式确定套餐。</w:t>
      </w:r>
    </w:p>
    <w:p w:rsidR="00623CDF" w:rsidRDefault="00861DFB">
      <w:pPr>
        <w:snapToGrid w:val="0"/>
        <w:spacing w:line="579" w:lineRule="exact"/>
        <w:ind w:firstLineChars="200" w:firstLine="616"/>
        <w:rPr>
          <w:rFonts w:eastAsia="黑体"/>
          <w:szCs w:val="32"/>
        </w:rPr>
      </w:pPr>
      <w:r>
        <w:rPr>
          <w:rFonts w:eastAsia="黑体"/>
          <w:szCs w:val="32"/>
        </w:rPr>
        <w:t>三、零售套餐种类具体内容</w:t>
      </w:r>
    </w:p>
    <w:p w:rsidR="00623CDF" w:rsidRDefault="00861DFB">
      <w:pPr>
        <w:snapToGrid w:val="0"/>
        <w:spacing w:line="579" w:lineRule="exact"/>
        <w:ind w:firstLineChars="200" w:firstLine="618"/>
        <w:rPr>
          <w:rFonts w:eastAsia="楷体_GB2312"/>
          <w:b/>
          <w:bCs/>
          <w:szCs w:val="32"/>
        </w:rPr>
      </w:pPr>
      <w:r>
        <w:rPr>
          <w:rFonts w:eastAsia="楷体_GB2312"/>
          <w:b/>
          <w:bCs/>
          <w:szCs w:val="32"/>
        </w:rPr>
        <w:t>（一）固定价格套餐</w:t>
      </w:r>
    </w:p>
    <w:p w:rsidR="00623CDF" w:rsidRDefault="00861DFB">
      <w:pPr>
        <w:snapToGrid w:val="0"/>
        <w:spacing w:line="579" w:lineRule="exact"/>
        <w:ind w:firstLineChars="200" w:firstLine="616"/>
        <w:jc w:val="left"/>
        <w:rPr>
          <w:szCs w:val="32"/>
        </w:rPr>
      </w:pPr>
      <w:r>
        <w:rPr>
          <w:szCs w:val="32"/>
        </w:rPr>
        <w:t>甲方用电户号各计量点的用电电量，以月度为结算周期，全电量采用固定价格方式结算。</w:t>
      </w:r>
    </w:p>
    <w:p w:rsidR="00623CDF" w:rsidRDefault="00861DFB">
      <w:pPr>
        <w:snapToGrid w:val="0"/>
        <w:spacing w:line="579" w:lineRule="exact"/>
        <w:ind w:firstLineChars="200" w:firstLine="616"/>
        <w:rPr>
          <w:szCs w:val="32"/>
        </w:rPr>
      </w:pPr>
      <w:r>
        <w:rPr>
          <w:szCs w:val="32"/>
        </w:rPr>
        <w:t>市场化成交电价按照固定价格</w:t>
      </w:r>
      <w:r>
        <w:rPr>
          <w:szCs w:val="32"/>
          <w:u w:val="single"/>
        </w:rPr>
        <w:t xml:space="preserve">    </w:t>
      </w:r>
      <w:r>
        <w:rPr>
          <w:szCs w:val="32"/>
        </w:rPr>
        <w:t>元</w:t>
      </w:r>
      <w:r>
        <w:rPr>
          <w:szCs w:val="32"/>
        </w:rPr>
        <w:t>/</w:t>
      </w:r>
      <w:r>
        <w:rPr>
          <w:szCs w:val="32"/>
        </w:rPr>
        <w:t>千瓦时结算。</w:t>
      </w:r>
    </w:p>
    <w:p w:rsidR="00623CDF" w:rsidRDefault="00861DFB">
      <w:pPr>
        <w:snapToGrid w:val="0"/>
        <w:spacing w:line="579" w:lineRule="exact"/>
        <w:ind w:firstLineChars="200" w:firstLine="616"/>
        <w:rPr>
          <w:szCs w:val="32"/>
        </w:rPr>
      </w:pPr>
      <w:r>
        <w:rPr>
          <w:szCs w:val="32"/>
        </w:rPr>
        <w:t>甲乙双方约定（</w:t>
      </w:r>
      <w:r>
        <w:rPr>
          <w:szCs w:val="32"/>
        </w:rPr>
        <w:t>□</w:t>
      </w:r>
      <w:r>
        <w:rPr>
          <w:szCs w:val="32"/>
        </w:rPr>
        <w:t>是</w:t>
      </w:r>
      <w:r>
        <w:rPr>
          <w:szCs w:val="32"/>
        </w:rPr>
        <w:t>/□</w:t>
      </w:r>
      <w:r>
        <w:rPr>
          <w:szCs w:val="32"/>
        </w:rPr>
        <w:t>否）设置封顶价格。若设置封顶价格，</w:t>
      </w:r>
      <w:r>
        <w:rPr>
          <w:szCs w:val="32"/>
          <w:u w:val="single"/>
        </w:rPr>
        <w:t xml:space="preserve">    </w:t>
      </w:r>
      <w:r>
        <w:rPr>
          <w:szCs w:val="32"/>
        </w:rPr>
        <w:t>%</w:t>
      </w:r>
      <w:r>
        <w:rPr>
          <w:szCs w:val="32"/>
        </w:rPr>
        <w:t>比例电量封顶价格为</w:t>
      </w:r>
      <w:r>
        <w:rPr>
          <w:rFonts w:hint="eastAsia"/>
          <w:szCs w:val="32"/>
        </w:rPr>
        <w:t>零售套餐参考价格</w:t>
      </w:r>
      <w:r>
        <w:rPr>
          <w:szCs w:val="32"/>
        </w:rPr>
        <w:t>。当固定价格高于封顶价格时，按照封顶价格结算</w:t>
      </w:r>
      <w:r>
        <w:rPr>
          <w:rFonts w:hint="eastAsia"/>
          <w:szCs w:val="32"/>
        </w:rPr>
        <w:t>。</w:t>
      </w:r>
    </w:p>
    <w:p w:rsidR="00623CDF" w:rsidRDefault="00861DFB">
      <w:pPr>
        <w:snapToGrid w:val="0"/>
        <w:spacing w:line="579" w:lineRule="exact"/>
        <w:ind w:firstLineChars="200" w:firstLine="618"/>
        <w:rPr>
          <w:rFonts w:eastAsia="楷体_GB2312"/>
          <w:b/>
          <w:bCs/>
          <w:szCs w:val="32"/>
        </w:rPr>
      </w:pPr>
      <w:r>
        <w:rPr>
          <w:rFonts w:eastAsia="楷体_GB2312"/>
          <w:b/>
          <w:bCs/>
          <w:szCs w:val="32"/>
        </w:rPr>
        <w:t>（二）比例分成套餐</w:t>
      </w:r>
    </w:p>
    <w:p w:rsidR="00623CDF" w:rsidRDefault="00861DFB">
      <w:pPr>
        <w:snapToGrid w:val="0"/>
        <w:spacing w:line="579" w:lineRule="exact"/>
        <w:ind w:firstLineChars="200" w:firstLine="616"/>
        <w:jc w:val="left"/>
        <w:rPr>
          <w:szCs w:val="32"/>
        </w:rPr>
      </w:pPr>
      <w:r>
        <w:rPr>
          <w:szCs w:val="32"/>
        </w:rPr>
        <w:t>甲方用电户号各计量点的用电电量，以月度为结算周期，全电量采用比例分成方式结算。</w:t>
      </w:r>
    </w:p>
    <w:p w:rsidR="00623CDF" w:rsidRDefault="00861DFB">
      <w:pPr>
        <w:snapToGrid w:val="0"/>
        <w:spacing w:line="579" w:lineRule="exact"/>
        <w:ind w:firstLineChars="200" w:firstLine="616"/>
        <w:rPr>
          <w:szCs w:val="32"/>
        </w:rPr>
      </w:pPr>
      <w:r>
        <w:rPr>
          <w:szCs w:val="32"/>
        </w:rPr>
        <w:t>最终交易结算电价</w:t>
      </w:r>
      <w:r>
        <w:rPr>
          <w:szCs w:val="32"/>
        </w:rPr>
        <w:t>=</w:t>
      </w:r>
      <w:r>
        <w:rPr>
          <w:szCs w:val="32"/>
        </w:rPr>
        <w:t>交易基准价</w:t>
      </w:r>
      <w:r>
        <w:rPr>
          <w:szCs w:val="32"/>
        </w:rPr>
        <w:t>-</w:t>
      </w:r>
      <w:r>
        <w:rPr>
          <w:szCs w:val="32"/>
        </w:rPr>
        <w:t>（交易基准价</w:t>
      </w:r>
      <w:r>
        <w:rPr>
          <w:szCs w:val="32"/>
        </w:rPr>
        <w:t>-</w:t>
      </w:r>
      <w:r>
        <w:rPr>
          <w:rFonts w:hint="eastAsia"/>
          <w:szCs w:val="32"/>
        </w:rPr>
        <w:t>零售套餐参考价格</w:t>
      </w:r>
      <w:r>
        <w:rPr>
          <w:szCs w:val="32"/>
        </w:rPr>
        <w:t>）</w:t>
      </w:r>
      <w:r>
        <w:rPr>
          <w:szCs w:val="32"/>
        </w:rPr>
        <w:t>×</w:t>
      </w:r>
      <w:r>
        <w:rPr>
          <w:szCs w:val="32"/>
        </w:rPr>
        <w:t>甲方分成比例。</w:t>
      </w:r>
    </w:p>
    <w:p w:rsidR="00623CDF" w:rsidRDefault="00861DFB">
      <w:pPr>
        <w:snapToGrid w:val="0"/>
        <w:spacing w:line="579" w:lineRule="exact"/>
        <w:ind w:firstLineChars="200" w:firstLine="616"/>
        <w:rPr>
          <w:szCs w:val="32"/>
        </w:rPr>
      </w:pPr>
      <w:r>
        <w:rPr>
          <w:szCs w:val="32"/>
        </w:rPr>
        <w:t>甲乙双方约定，交易基准价为</w:t>
      </w:r>
      <w:r>
        <w:rPr>
          <w:szCs w:val="32"/>
          <w:u w:val="single"/>
        </w:rPr>
        <w:t xml:space="preserve">    </w:t>
      </w:r>
      <w:r>
        <w:rPr>
          <w:szCs w:val="32"/>
        </w:rPr>
        <w:t>元</w:t>
      </w:r>
      <w:r>
        <w:rPr>
          <w:szCs w:val="32"/>
        </w:rPr>
        <w:t>/</w:t>
      </w:r>
      <w:r>
        <w:rPr>
          <w:szCs w:val="32"/>
        </w:rPr>
        <w:t>千瓦时。</w:t>
      </w:r>
      <w:r>
        <w:rPr>
          <w:szCs w:val="32"/>
        </w:rPr>
        <w:t>全部</w:t>
      </w:r>
      <w:r>
        <w:rPr>
          <w:szCs w:val="32"/>
        </w:rPr>
        <w:t>电量参照</w:t>
      </w:r>
      <w:r>
        <w:rPr>
          <w:rFonts w:hint="eastAsia"/>
          <w:szCs w:val="32"/>
        </w:rPr>
        <w:t>零售套餐参考价格</w:t>
      </w:r>
      <w:r>
        <w:rPr>
          <w:szCs w:val="32"/>
        </w:rPr>
        <w:t>进行比例分成。</w:t>
      </w:r>
      <w:r>
        <w:rPr>
          <w:szCs w:val="32"/>
        </w:rPr>
        <w:t>交易基准价与</w:t>
      </w:r>
      <w:r>
        <w:rPr>
          <w:rFonts w:hint="eastAsia"/>
          <w:szCs w:val="32"/>
        </w:rPr>
        <w:t>零售套餐参考价格</w:t>
      </w:r>
      <w:r>
        <w:rPr>
          <w:szCs w:val="32"/>
        </w:rPr>
        <w:t>差</w:t>
      </w:r>
      <w:r>
        <w:rPr>
          <w:szCs w:val="32"/>
        </w:rPr>
        <w:t>值为正的</w:t>
      </w:r>
      <w:r>
        <w:rPr>
          <w:szCs w:val="32"/>
        </w:rPr>
        <w:t>部分，</w:t>
      </w:r>
      <w:r>
        <w:rPr>
          <w:szCs w:val="32"/>
          <w:u w:val="single"/>
        </w:rPr>
        <w:t xml:space="preserve">    </w:t>
      </w:r>
      <w:r>
        <w:rPr>
          <w:szCs w:val="32"/>
        </w:rPr>
        <w:t>%</w:t>
      </w:r>
      <w:r>
        <w:rPr>
          <w:szCs w:val="32"/>
        </w:rPr>
        <w:t>比例归甲方所有，剩余比例归乙方所有，</w:t>
      </w:r>
      <w:r>
        <w:rPr>
          <w:szCs w:val="32"/>
        </w:rPr>
        <w:t>差值为负</w:t>
      </w:r>
      <w:r>
        <w:rPr>
          <w:szCs w:val="32"/>
        </w:rPr>
        <w:t>的部分，</w:t>
      </w:r>
      <w:r>
        <w:rPr>
          <w:szCs w:val="32"/>
          <w:u w:val="single"/>
        </w:rPr>
        <w:t xml:space="preserve">    </w:t>
      </w:r>
      <w:r>
        <w:rPr>
          <w:szCs w:val="32"/>
        </w:rPr>
        <w:t>％比例由甲方承担，剩余比例由乙方</w:t>
      </w:r>
      <w:r>
        <w:rPr>
          <w:szCs w:val="32"/>
        </w:rPr>
        <w:lastRenderedPageBreak/>
        <w:t>承担。</w:t>
      </w:r>
    </w:p>
    <w:p w:rsidR="00623CDF" w:rsidRDefault="00861DFB">
      <w:pPr>
        <w:snapToGrid w:val="0"/>
        <w:spacing w:line="579" w:lineRule="exact"/>
        <w:ind w:firstLineChars="200" w:firstLine="616"/>
        <w:rPr>
          <w:szCs w:val="32"/>
        </w:rPr>
      </w:pPr>
      <w:r>
        <w:rPr>
          <w:szCs w:val="32"/>
        </w:rPr>
        <w:t>甲乙双方约定（</w:t>
      </w:r>
      <w:r>
        <w:rPr>
          <w:szCs w:val="32"/>
        </w:rPr>
        <w:t>□</w:t>
      </w:r>
      <w:r>
        <w:rPr>
          <w:szCs w:val="32"/>
        </w:rPr>
        <w:t>是</w:t>
      </w:r>
      <w:r>
        <w:rPr>
          <w:szCs w:val="32"/>
        </w:rPr>
        <w:t>/□</w:t>
      </w:r>
      <w:r>
        <w:rPr>
          <w:szCs w:val="32"/>
        </w:rPr>
        <w:t>否）设置封顶价格。若设置封顶价格，封顶价格为</w:t>
      </w:r>
      <w:r>
        <w:rPr>
          <w:szCs w:val="32"/>
          <w:u w:val="single"/>
        </w:rPr>
        <w:t xml:space="preserve">    </w:t>
      </w:r>
      <w:r>
        <w:rPr>
          <w:szCs w:val="32"/>
        </w:rPr>
        <w:t>元</w:t>
      </w:r>
      <w:r>
        <w:rPr>
          <w:szCs w:val="32"/>
        </w:rPr>
        <w:t>/</w:t>
      </w:r>
      <w:r>
        <w:rPr>
          <w:szCs w:val="32"/>
        </w:rPr>
        <w:t>千瓦时。当按比例分成方式形成的最终交易结算电价高于封顶价格时，按照封顶价格结算。</w:t>
      </w:r>
    </w:p>
    <w:p w:rsidR="00623CDF" w:rsidRDefault="00861DFB">
      <w:pPr>
        <w:snapToGrid w:val="0"/>
        <w:spacing w:line="579" w:lineRule="exact"/>
        <w:ind w:firstLineChars="200" w:firstLine="618"/>
        <w:rPr>
          <w:rFonts w:eastAsia="楷体_GB2312"/>
          <w:b/>
          <w:bCs/>
          <w:szCs w:val="32"/>
        </w:rPr>
      </w:pPr>
      <w:r>
        <w:rPr>
          <w:rFonts w:eastAsia="楷体_GB2312"/>
          <w:b/>
          <w:bCs/>
          <w:szCs w:val="32"/>
        </w:rPr>
        <w:t>（三）市场价格联动套餐</w:t>
      </w:r>
    </w:p>
    <w:p w:rsidR="00623CDF" w:rsidRDefault="00861DFB">
      <w:pPr>
        <w:snapToGrid w:val="0"/>
        <w:spacing w:line="579" w:lineRule="exact"/>
        <w:ind w:firstLineChars="200" w:firstLine="616"/>
        <w:rPr>
          <w:szCs w:val="32"/>
        </w:rPr>
      </w:pPr>
      <w:r>
        <w:rPr>
          <w:szCs w:val="32"/>
        </w:rPr>
        <w:t>甲方用电户号各计量点的用电电量，以月度为结算周期，全电量按照市场价格联动方式结算。交易结算</w:t>
      </w:r>
      <w:r>
        <w:rPr>
          <w:rFonts w:hint="eastAsia"/>
          <w:szCs w:val="32"/>
        </w:rPr>
        <w:t>价格</w:t>
      </w:r>
      <w:r>
        <w:rPr>
          <w:szCs w:val="32"/>
        </w:rPr>
        <w:t>在</w:t>
      </w:r>
      <w:r>
        <w:rPr>
          <w:rFonts w:hint="eastAsia"/>
          <w:szCs w:val="32"/>
        </w:rPr>
        <w:t>零售套餐参考价格</w:t>
      </w:r>
      <w:r>
        <w:rPr>
          <w:szCs w:val="32"/>
        </w:rPr>
        <w:t>基础上</w:t>
      </w:r>
      <w:r>
        <w:rPr>
          <w:szCs w:val="32"/>
        </w:rPr>
        <w:t>□</w:t>
      </w:r>
      <w:r>
        <w:rPr>
          <w:szCs w:val="32"/>
        </w:rPr>
        <w:t>上浮</w:t>
      </w:r>
      <w:r>
        <w:rPr>
          <w:szCs w:val="32"/>
        </w:rPr>
        <w:t>/□</w:t>
      </w:r>
      <w:r>
        <w:rPr>
          <w:szCs w:val="32"/>
        </w:rPr>
        <w:t>下浮</w:t>
      </w:r>
      <w:r>
        <w:rPr>
          <w:szCs w:val="32"/>
          <w:u w:val="single"/>
        </w:rPr>
        <w:t xml:space="preserve">    </w:t>
      </w:r>
      <w:r>
        <w:rPr>
          <w:szCs w:val="32"/>
        </w:rPr>
        <w:t>元</w:t>
      </w:r>
      <w:r>
        <w:rPr>
          <w:szCs w:val="32"/>
        </w:rPr>
        <w:t>/</w:t>
      </w:r>
      <w:r>
        <w:rPr>
          <w:szCs w:val="32"/>
        </w:rPr>
        <w:t>千瓦时。</w:t>
      </w:r>
    </w:p>
    <w:p w:rsidR="00623CDF" w:rsidRDefault="00861DFB">
      <w:pPr>
        <w:snapToGrid w:val="0"/>
        <w:spacing w:line="579" w:lineRule="exact"/>
        <w:ind w:firstLineChars="200" w:firstLine="616"/>
        <w:rPr>
          <w:rFonts w:eastAsia="黑体"/>
          <w:szCs w:val="32"/>
        </w:rPr>
      </w:pPr>
      <w:r>
        <w:rPr>
          <w:rFonts w:eastAsia="黑体"/>
          <w:szCs w:val="32"/>
        </w:rPr>
        <w:t>四、偏差考核条款</w:t>
      </w:r>
    </w:p>
    <w:p w:rsidR="00623CDF" w:rsidRDefault="00861DFB">
      <w:pPr>
        <w:snapToGrid w:val="0"/>
        <w:spacing w:line="579" w:lineRule="exact"/>
        <w:ind w:firstLineChars="200" w:firstLine="616"/>
        <w:rPr>
          <w:szCs w:val="32"/>
        </w:rPr>
      </w:pPr>
      <w:r>
        <w:rPr>
          <w:szCs w:val="32"/>
        </w:rPr>
        <w:t>在零售合同全电量按照上述零售套餐条款结算的基础上，零售用户可与售电公司额外约定偏差考核条款。</w:t>
      </w:r>
    </w:p>
    <w:p w:rsidR="00623CDF" w:rsidRDefault="00861DFB">
      <w:pPr>
        <w:snapToGrid w:val="0"/>
        <w:spacing w:line="579" w:lineRule="exact"/>
        <w:ind w:firstLineChars="200" w:firstLine="616"/>
        <w:rPr>
          <w:szCs w:val="32"/>
        </w:rPr>
      </w:pPr>
      <w:r>
        <w:rPr>
          <w:szCs w:val="32"/>
        </w:rPr>
        <w:t>甲乙双方约定（</w:t>
      </w:r>
      <w:r>
        <w:rPr>
          <w:szCs w:val="32"/>
        </w:rPr>
        <w:t>□</w:t>
      </w:r>
      <w:r>
        <w:rPr>
          <w:szCs w:val="32"/>
        </w:rPr>
        <w:t>是</w:t>
      </w:r>
      <w:r>
        <w:rPr>
          <w:szCs w:val="32"/>
        </w:rPr>
        <w:t>/□</w:t>
      </w:r>
      <w:r>
        <w:rPr>
          <w:szCs w:val="32"/>
        </w:rPr>
        <w:t>否）设置偏差考核条款。若设置偏差考核条款，则偏差考核基准电量为</w:t>
      </w:r>
      <w:r>
        <w:rPr>
          <w:szCs w:val="32"/>
          <w:u w:val="single"/>
        </w:rPr>
        <w:t xml:space="preserve"> </w:t>
      </w:r>
      <w:r>
        <w:rPr>
          <w:szCs w:val="32"/>
          <w:u w:val="single"/>
        </w:rPr>
        <w:t xml:space="preserve">   </w:t>
      </w:r>
      <w:r>
        <w:rPr>
          <w:szCs w:val="32"/>
        </w:rPr>
        <w:t>千瓦时。</w:t>
      </w:r>
    </w:p>
    <w:p w:rsidR="00623CDF" w:rsidRDefault="00861DFB">
      <w:pPr>
        <w:snapToGrid w:val="0"/>
        <w:spacing w:line="579" w:lineRule="exact"/>
        <w:ind w:firstLineChars="200" w:firstLine="616"/>
        <w:rPr>
          <w:szCs w:val="32"/>
        </w:rPr>
      </w:pPr>
      <w:r>
        <w:rPr>
          <w:szCs w:val="32"/>
        </w:rPr>
        <w:t>当实际用电量与基准电量的差值为正时，偏差费用收取如下：</w:t>
      </w:r>
    </w:p>
    <w:p w:rsidR="00623CDF" w:rsidRDefault="00861DFB">
      <w:pPr>
        <w:snapToGrid w:val="0"/>
        <w:spacing w:line="579" w:lineRule="exact"/>
        <w:ind w:firstLineChars="200" w:firstLine="616"/>
        <w:rPr>
          <w:szCs w:val="32"/>
        </w:rPr>
      </w:pPr>
      <w:r>
        <w:rPr>
          <w:szCs w:val="32"/>
        </w:rPr>
        <w:t>1</w:t>
      </w:r>
      <w:r>
        <w:rPr>
          <w:szCs w:val="32"/>
        </w:rPr>
        <w:t>.</w:t>
      </w:r>
      <w:r>
        <w:rPr>
          <w:szCs w:val="32"/>
        </w:rPr>
        <w:t>实际电量在偏差考核基准电量在</w:t>
      </w:r>
      <w:r>
        <w:rPr>
          <w:szCs w:val="32"/>
          <w:u w:val="single"/>
        </w:rPr>
        <w:t xml:space="preserve">    </w:t>
      </w:r>
      <w:r>
        <w:rPr>
          <w:szCs w:val="32"/>
        </w:rPr>
        <w:t>%</w:t>
      </w:r>
      <w:r>
        <w:rPr>
          <w:szCs w:val="32"/>
        </w:rPr>
        <w:t>至</w:t>
      </w:r>
      <w:r>
        <w:rPr>
          <w:szCs w:val="32"/>
          <w:u w:val="single"/>
        </w:rPr>
        <w:t xml:space="preserve">    </w:t>
      </w:r>
      <w:r>
        <w:rPr>
          <w:szCs w:val="32"/>
        </w:rPr>
        <w:t>%</w:t>
      </w:r>
      <w:r>
        <w:rPr>
          <w:szCs w:val="32"/>
        </w:rPr>
        <w:t>之间的部分，按照</w:t>
      </w:r>
      <w:r>
        <w:rPr>
          <w:szCs w:val="32"/>
          <w:u w:val="single"/>
        </w:rPr>
        <w:t xml:space="preserve"> </w:t>
      </w:r>
      <w:r>
        <w:rPr>
          <w:szCs w:val="32"/>
          <w:u w:val="single"/>
        </w:rPr>
        <w:t xml:space="preserve">   </w:t>
      </w:r>
      <w:r>
        <w:rPr>
          <w:szCs w:val="32"/>
        </w:rPr>
        <w:t>元</w:t>
      </w:r>
      <w:r>
        <w:rPr>
          <w:szCs w:val="32"/>
        </w:rPr>
        <w:t>/</w:t>
      </w:r>
      <w:r>
        <w:rPr>
          <w:szCs w:val="32"/>
        </w:rPr>
        <w:t>千瓦时的标准收取偏差费用。</w:t>
      </w:r>
    </w:p>
    <w:p w:rsidR="00623CDF" w:rsidRDefault="00861DFB">
      <w:pPr>
        <w:snapToGrid w:val="0"/>
        <w:spacing w:line="579" w:lineRule="exact"/>
        <w:ind w:firstLineChars="200" w:firstLine="616"/>
        <w:rPr>
          <w:szCs w:val="32"/>
          <w:u w:val="single"/>
        </w:rPr>
      </w:pPr>
      <w:r>
        <w:rPr>
          <w:szCs w:val="32"/>
        </w:rPr>
        <w:t>2</w:t>
      </w:r>
      <w:r>
        <w:rPr>
          <w:szCs w:val="32"/>
        </w:rPr>
        <w:t>.</w:t>
      </w:r>
      <w:r>
        <w:rPr>
          <w:szCs w:val="32"/>
        </w:rPr>
        <w:t>实际电量在偏差考核基准电量</w:t>
      </w:r>
      <w:r>
        <w:rPr>
          <w:szCs w:val="32"/>
          <w:u w:val="single"/>
        </w:rPr>
        <w:t xml:space="preserve">    </w:t>
      </w:r>
      <w:r>
        <w:rPr>
          <w:szCs w:val="32"/>
        </w:rPr>
        <w:t>%</w:t>
      </w:r>
      <w:r>
        <w:rPr>
          <w:szCs w:val="32"/>
        </w:rPr>
        <w:t>以上的部分，按照</w:t>
      </w:r>
      <w:r>
        <w:rPr>
          <w:szCs w:val="32"/>
          <w:u w:val="single"/>
        </w:rPr>
        <w:t xml:space="preserve"> </w:t>
      </w:r>
      <w:r>
        <w:rPr>
          <w:szCs w:val="32"/>
          <w:u w:val="single"/>
        </w:rPr>
        <w:t xml:space="preserve">   </w:t>
      </w:r>
    </w:p>
    <w:p w:rsidR="00623CDF" w:rsidRDefault="00861DFB">
      <w:pPr>
        <w:snapToGrid w:val="0"/>
        <w:spacing w:line="579" w:lineRule="exact"/>
        <w:rPr>
          <w:szCs w:val="32"/>
        </w:rPr>
      </w:pPr>
      <w:r>
        <w:rPr>
          <w:szCs w:val="32"/>
        </w:rPr>
        <w:t>元</w:t>
      </w:r>
      <w:r>
        <w:rPr>
          <w:szCs w:val="32"/>
        </w:rPr>
        <w:t>/</w:t>
      </w:r>
      <w:r>
        <w:rPr>
          <w:szCs w:val="32"/>
        </w:rPr>
        <w:t>千瓦时的标准收取偏差费用。</w:t>
      </w:r>
    </w:p>
    <w:p w:rsidR="00623CDF" w:rsidRDefault="00861DFB">
      <w:pPr>
        <w:snapToGrid w:val="0"/>
        <w:spacing w:line="579" w:lineRule="exact"/>
        <w:ind w:firstLineChars="200" w:firstLine="616"/>
        <w:rPr>
          <w:szCs w:val="32"/>
        </w:rPr>
      </w:pPr>
      <w:r>
        <w:rPr>
          <w:szCs w:val="32"/>
        </w:rPr>
        <w:t>当实际用电量与基准电量的差值为负时，偏差费用收取如下：</w:t>
      </w:r>
    </w:p>
    <w:p w:rsidR="00623CDF" w:rsidRDefault="00861DFB">
      <w:pPr>
        <w:snapToGrid w:val="0"/>
        <w:spacing w:line="579" w:lineRule="exact"/>
        <w:ind w:firstLineChars="200" w:firstLine="616"/>
        <w:rPr>
          <w:szCs w:val="32"/>
        </w:rPr>
      </w:pPr>
      <w:r>
        <w:rPr>
          <w:szCs w:val="32"/>
        </w:rPr>
        <w:t>1</w:t>
      </w:r>
      <w:r>
        <w:rPr>
          <w:szCs w:val="32"/>
        </w:rPr>
        <w:t>.</w:t>
      </w:r>
      <w:r>
        <w:rPr>
          <w:szCs w:val="32"/>
        </w:rPr>
        <w:t>实际电量在偏差考核基准电量在</w:t>
      </w:r>
      <w:r>
        <w:rPr>
          <w:szCs w:val="32"/>
          <w:u w:val="single"/>
        </w:rPr>
        <w:t xml:space="preserve">    </w:t>
      </w:r>
      <w:r>
        <w:rPr>
          <w:szCs w:val="32"/>
        </w:rPr>
        <w:t>%</w:t>
      </w:r>
      <w:r>
        <w:rPr>
          <w:szCs w:val="32"/>
        </w:rPr>
        <w:t>至</w:t>
      </w:r>
      <w:r>
        <w:rPr>
          <w:szCs w:val="32"/>
          <w:u w:val="single"/>
        </w:rPr>
        <w:t xml:space="preserve">    </w:t>
      </w:r>
      <w:r>
        <w:rPr>
          <w:szCs w:val="32"/>
        </w:rPr>
        <w:t>%</w:t>
      </w:r>
      <w:r>
        <w:rPr>
          <w:szCs w:val="32"/>
        </w:rPr>
        <w:t>之间的部分，按照</w:t>
      </w:r>
      <w:r>
        <w:rPr>
          <w:szCs w:val="32"/>
          <w:u w:val="single"/>
        </w:rPr>
        <w:t xml:space="preserve"> </w:t>
      </w:r>
      <w:r>
        <w:rPr>
          <w:szCs w:val="32"/>
          <w:u w:val="single"/>
        </w:rPr>
        <w:t xml:space="preserve">   </w:t>
      </w:r>
      <w:r>
        <w:rPr>
          <w:szCs w:val="32"/>
        </w:rPr>
        <w:t>元</w:t>
      </w:r>
      <w:r>
        <w:rPr>
          <w:szCs w:val="32"/>
        </w:rPr>
        <w:t>/</w:t>
      </w:r>
      <w:r>
        <w:rPr>
          <w:szCs w:val="32"/>
        </w:rPr>
        <w:t>千瓦时的标准收取偏差费用。</w:t>
      </w:r>
    </w:p>
    <w:p w:rsidR="00623CDF" w:rsidRDefault="00861DFB">
      <w:pPr>
        <w:snapToGrid w:val="0"/>
        <w:spacing w:line="579" w:lineRule="exact"/>
        <w:ind w:firstLineChars="200" w:firstLine="616"/>
        <w:rPr>
          <w:szCs w:val="32"/>
          <w:u w:val="single"/>
        </w:rPr>
      </w:pPr>
      <w:r>
        <w:rPr>
          <w:szCs w:val="32"/>
        </w:rPr>
        <w:t>2</w:t>
      </w:r>
      <w:r>
        <w:rPr>
          <w:szCs w:val="32"/>
        </w:rPr>
        <w:t>.</w:t>
      </w:r>
      <w:r>
        <w:rPr>
          <w:szCs w:val="32"/>
        </w:rPr>
        <w:t>实际电量在偏差考核基准电量</w:t>
      </w:r>
      <w:r>
        <w:rPr>
          <w:szCs w:val="32"/>
          <w:u w:val="single"/>
        </w:rPr>
        <w:t xml:space="preserve">    </w:t>
      </w:r>
      <w:r>
        <w:rPr>
          <w:szCs w:val="32"/>
        </w:rPr>
        <w:t>%</w:t>
      </w:r>
      <w:r>
        <w:rPr>
          <w:szCs w:val="32"/>
        </w:rPr>
        <w:t>以下的部分，按照</w:t>
      </w:r>
      <w:r>
        <w:rPr>
          <w:szCs w:val="32"/>
          <w:u w:val="single"/>
        </w:rPr>
        <w:t xml:space="preserve"> </w:t>
      </w:r>
      <w:r>
        <w:rPr>
          <w:szCs w:val="32"/>
          <w:u w:val="single"/>
        </w:rPr>
        <w:t xml:space="preserve">   </w:t>
      </w:r>
    </w:p>
    <w:p w:rsidR="00623CDF" w:rsidRDefault="00861DFB">
      <w:pPr>
        <w:snapToGrid w:val="0"/>
        <w:spacing w:line="579" w:lineRule="exact"/>
        <w:rPr>
          <w:rFonts w:eastAsia="黑体"/>
          <w:b/>
          <w:bCs/>
          <w:szCs w:val="32"/>
        </w:rPr>
      </w:pPr>
      <w:r>
        <w:rPr>
          <w:szCs w:val="32"/>
        </w:rPr>
        <w:lastRenderedPageBreak/>
        <w:t>元</w:t>
      </w:r>
      <w:r>
        <w:rPr>
          <w:szCs w:val="32"/>
        </w:rPr>
        <w:t>/</w:t>
      </w:r>
      <w:r>
        <w:rPr>
          <w:szCs w:val="32"/>
        </w:rPr>
        <w:t>千瓦时的标准收取偏差费用。</w:t>
      </w:r>
    </w:p>
    <w:p w:rsidR="00623CDF" w:rsidRDefault="00861DFB">
      <w:pPr>
        <w:snapToGrid w:val="0"/>
        <w:spacing w:line="579" w:lineRule="exact"/>
        <w:ind w:firstLineChars="200" w:firstLine="616"/>
        <w:rPr>
          <w:rFonts w:eastAsia="黑体"/>
          <w:szCs w:val="32"/>
        </w:rPr>
      </w:pPr>
      <w:r>
        <w:rPr>
          <w:rFonts w:eastAsia="黑体"/>
          <w:szCs w:val="32"/>
        </w:rPr>
        <w:t>五、零售套餐参考价格</w:t>
      </w:r>
    </w:p>
    <w:p w:rsidR="00623CDF" w:rsidRDefault="00861DFB">
      <w:pPr>
        <w:snapToGrid w:val="0"/>
        <w:spacing w:line="579" w:lineRule="exact"/>
        <w:ind w:firstLineChars="200" w:firstLine="616"/>
        <w:rPr>
          <w:rFonts w:ascii="仿宋_GB2312" w:hAnsi="仿宋_GB2312" w:cs="仿宋_GB2312"/>
          <w:szCs w:val="32"/>
        </w:rPr>
      </w:pPr>
      <w:r>
        <w:rPr>
          <w:rFonts w:ascii="仿宋_GB2312" w:hAnsi="仿宋_GB2312" w:cs="仿宋_GB2312" w:hint="eastAsia"/>
          <w:szCs w:val="32"/>
        </w:rPr>
        <w:t>零售套餐参考价格</w:t>
      </w:r>
      <w:r>
        <w:rPr>
          <w:rFonts w:ascii="仿宋_GB2312" w:hAnsi="仿宋_GB2312" w:cs="仿宋_GB2312" w:hint="eastAsia"/>
          <w:szCs w:val="32"/>
        </w:rPr>
        <w:t>为年度交易均价与月度交易均价的加权平均</w:t>
      </w:r>
      <w:r>
        <w:rPr>
          <w:rFonts w:ascii="仿宋_GB2312" w:hAnsi="仿宋_GB2312" w:cs="仿宋_GB2312" w:hint="eastAsia"/>
          <w:szCs w:val="32"/>
        </w:rPr>
        <w:t>值</w:t>
      </w:r>
      <w:r>
        <w:rPr>
          <w:rFonts w:ascii="仿宋_GB2312" w:hAnsi="仿宋_GB2312" w:cs="仿宋_GB2312" w:hint="eastAsia"/>
          <w:szCs w:val="32"/>
        </w:rPr>
        <w:t>，</w:t>
      </w:r>
      <w:r>
        <w:rPr>
          <w:rFonts w:ascii="仿宋_GB2312" w:hAnsi="仿宋_GB2312" w:cs="仿宋_GB2312" w:hint="eastAsia"/>
          <w:szCs w:val="32"/>
        </w:rPr>
        <w:t>其中</w:t>
      </w:r>
      <w:r>
        <w:rPr>
          <w:rFonts w:ascii="仿宋_GB2312" w:hAnsi="仿宋_GB2312" w:cs="仿宋_GB2312" w:hint="eastAsia"/>
          <w:szCs w:val="32"/>
        </w:rPr>
        <w:t>年度交易价格的权重</w:t>
      </w:r>
      <w:r>
        <w:rPr>
          <w:rFonts w:ascii="仿宋_GB2312" w:hAnsi="仿宋_GB2312" w:cs="仿宋_GB2312" w:hint="eastAsia"/>
          <w:szCs w:val="32"/>
        </w:rPr>
        <w:t>由</w:t>
      </w:r>
      <w:r>
        <w:rPr>
          <w:rFonts w:ascii="仿宋_GB2312" w:hAnsi="仿宋_GB2312" w:cs="仿宋_GB2312" w:hint="eastAsia"/>
          <w:szCs w:val="32"/>
        </w:rPr>
        <w:t>市场化交易方案确定</w:t>
      </w:r>
      <w:r>
        <w:rPr>
          <w:rFonts w:ascii="仿宋_GB2312" w:hAnsi="仿宋_GB2312" w:cs="仿宋_GB2312" w:hint="eastAsia"/>
          <w:szCs w:val="32"/>
        </w:rPr>
        <w:t>。</w:t>
      </w:r>
    </w:p>
    <w:p w:rsidR="00623CDF" w:rsidRDefault="00861DFB">
      <w:pPr>
        <w:pStyle w:val="a0"/>
        <w:ind w:firstLine="616"/>
      </w:pPr>
      <w:r>
        <w:rPr>
          <w:rFonts w:ascii="Times New Roman" w:eastAsia="仿宋_GB2312" w:hAnsi="Times New Roman"/>
          <w:sz w:val="32"/>
          <w:szCs w:val="32"/>
        </w:rPr>
        <w:t>本文中所参照的</w:t>
      </w:r>
      <w:r>
        <w:rPr>
          <w:rFonts w:ascii="Times New Roman" w:eastAsia="仿宋_GB2312" w:hAnsi="Times New Roman" w:hint="eastAsia"/>
          <w:sz w:val="32"/>
          <w:szCs w:val="32"/>
        </w:rPr>
        <w:t>年</w:t>
      </w:r>
      <w:r>
        <w:rPr>
          <w:rFonts w:ascii="Times New Roman" w:eastAsia="仿宋_GB2312" w:hAnsi="Times New Roman"/>
          <w:sz w:val="32"/>
          <w:szCs w:val="32"/>
        </w:rPr>
        <w:t>度交易均价，指省内交易平台组织开展的</w:t>
      </w:r>
      <w:r>
        <w:rPr>
          <w:rFonts w:ascii="仿宋_GB2312" w:eastAsia="仿宋_GB2312" w:hAnsi="仿宋_GB2312" w:cs="仿宋_GB2312"/>
          <w:sz w:val="32"/>
          <w:szCs w:val="32"/>
        </w:rPr>
        <w:t>年度双边协商交易、年度挂牌（滚动撮合）交易</w:t>
      </w:r>
      <w:r>
        <w:rPr>
          <w:rFonts w:ascii="仿宋_GB2312" w:eastAsia="仿宋_GB2312" w:hAnsi="仿宋_GB2312" w:cs="仿宋_GB2312"/>
          <w:sz w:val="32"/>
          <w:szCs w:val="32"/>
        </w:rPr>
        <w:t>的加权平均价格</w:t>
      </w:r>
      <w:r>
        <w:rPr>
          <w:rFonts w:ascii="仿宋_GB2312" w:eastAsia="仿宋_GB2312" w:hAnsi="仿宋_GB2312" w:cs="仿宋_GB2312" w:hint="eastAsia"/>
          <w:sz w:val="32"/>
          <w:szCs w:val="32"/>
        </w:rPr>
        <w:t>，</w:t>
      </w:r>
      <w:r>
        <w:rPr>
          <w:rFonts w:ascii="Times New Roman" w:eastAsia="仿宋_GB2312" w:hAnsi="Times New Roman"/>
          <w:sz w:val="32"/>
          <w:szCs w:val="32"/>
        </w:rPr>
        <w:t>具体以浙江电力交易平台披露信息为准。</w:t>
      </w:r>
    </w:p>
    <w:p w:rsidR="00623CDF" w:rsidRDefault="00861DFB">
      <w:pPr>
        <w:snapToGrid w:val="0"/>
        <w:spacing w:line="579" w:lineRule="exact"/>
        <w:ind w:firstLineChars="200" w:firstLine="616"/>
        <w:rPr>
          <w:rFonts w:ascii="仿宋_GB2312" w:hAnsi="仿宋_GB2312" w:cs="仿宋_GB2312"/>
          <w:szCs w:val="32"/>
        </w:rPr>
      </w:pPr>
      <w:r>
        <w:rPr>
          <w:szCs w:val="32"/>
        </w:rPr>
        <w:t>本文中所参照的月度交易均价，指省内交易平台组织开展的当月月度双边协商交易、当月月度集中竞价交易、当月月度挂牌</w:t>
      </w:r>
      <w:r>
        <w:rPr>
          <w:rFonts w:ascii="仿宋_GB2312" w:hAnsi="仿宋_GB2312" w:cs="仿宋_GB2312"/>
          <w:szCs w:val="32"/>
        </w:rPr>
        <w:t>（滚动撮合）</w:t>
      </w:r>
      <w:r>
        <w:rPr>
          <w:szCs w:val="32"/>
        </w:rPr>
        <w:t>交易加权平均价格，</w:t>
      </w:r>
      <w:r>
        <w:rPr>
          <w:szCs w:val="32"/>
        </w:rPr>
        <w:t>具体以浙江电力交易平台披露信息为准。</w:t>
      </w:r>
    </w:p>
    <w:p w:rsidR="00623CDF" w:rsidRDefault="00861DFB">
      <w:pPr>
        <w:spacing w:line="530" w:lineRule="exact"/>
        <w:rPr>
          <w:rFonts w:eastAsia="黑体"/>
          <w:szCs w:val="32"/>
        </w:rPr>
      </w:pPr>
      <w:r>
        <w:rPr>
          <w:szCs w:val="32"/>
        </w:rPr>
        <w:br w:type="page"/>
      </w:r>
      <w:r>
        <w:rPr>
          <w:rFonts w:eastAsia="黑体"/>
          <w:szCs w:val="32"/>
        </w:rPr>
        <w:lastRenderedPageBreak/>
        <w:t>附</w:t>
      </w:r>
      <w:r>
        <w:rPr>
          <w:rFonts w:eastAsia="黑体"/>
          <w:szCs w:val="32"/>
        </w:rPr>
        <w:t>2</w:t>
      </w:r>
    </w:p>
    <w:p w:rsidR="00623CDF" w:rsidRDefault="00623CDF">
      <w:pPr>
        <w:spacing w:line="530" w:lineRule="exact"/>
        <w:rPr>
          <w:rFonts w:eastAsia="黑体"/>
          <w:szCs w:val="32"/>
        </w:rPr>
      </w:pPr>
    </w:p>
    <w:p w:rsidR="00623CDF" w:rsidRDefault="00861DFB">
      <w:pPr>
        <w:spacing w:line="530" w:lineRule="exact"/>
        <w:jc w:val="center"/>
        <w:rPr>
          <w:rFonts w:eastAsia="方正小标宋简体"/>
          <w:sz w:val="44"/>
          <w:szCs w:val="44"/>
        </w:rPr>
      </w:pPr>
      <w:r>
        <w:rPr>
          <w:rFonts w:eastAsia="方正小标宋简体"/>
          <w:sz w:val="44"/>
          <w:szCs w:val="44"/>
        </w:rPr>
        <w:t>浙江省电力零售套餐表单</w:t>
      </w:r>
    </w:p>
    <w:p w:rsidR="00623CDF" w:rsidRDefault="00623CDF">
      <w:pPr>
        <w:spacing w:line="530" w:lineRule="exact"/>
        <w:jc w:val="center"/>
        <w:rPr>
          <w:szCs w:val="32"/>
        </w:rPr>
      </w:pPr>
    </w:p>
    <w:p w:rsidR="00623CDF" w:rsidRDefault="00861DFB">
      <w:pPr>
        <w:rPr>
          <w:rFonts w:eastAsia="黑体"/>
          <w:sz w:val="28"/>
          <w:szCs w:val="28"/>
        </w:rPr>
      </w:pPr>
      <w:r>
        <w:rPr>
          <w:rFonts w:eastAsia="黑体"/>
          <w:sz w:val="28"/>
          <w:szCs w:val="28"/>
        </w:rPr>
        <w:t>一、固定价格套餐</w:t>
      </w:r>
    </w:p>
    <w:tbl>
      <w:tblPr>
        <w:tblW w:w="0" w:type="auto"/>
        <w:jc w:val="center"/>
        <w:shd w:val="clear" w:color="auto" w:fill="FFFFFF"/>
        <w:tblLayout w:type="fixed"/>
        <w:tblLook w:val="04A0" w:firstRow="1" w:lastRow="0" w:firstColumn="1" w:lastColumn="0" w:noHBand="0" w:noVBand="1"/>
      </w:tblPr>
      <w:tblGrid>
        <w:gridCol w:w="1198"/>
        <w:gridCol w:w="931"/>
        <w:gridCol w:w="1100"/>
        <w:gridCol w:w="889"/>
        <w:gridCol w:w="136"/>
        <w:gridCol w:w="1068"/>
        <w:gridCol w:w="1057"/>
        <w:gridCol w:w="2125"/>
      </w:tblGrid>
      <w:tr w:rsidR="00623CDF">
        <w:trPr>
          <w:trHeight w:val="460"/>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用户户号</w:t>
            </w:r>
          </w:p>
        </w:tc>
        <w:tc>
          <w:tcPr>
            <w:tcW w:w="2920" w:type="dxa"/>
            <w:gridSpan w:val="3"/>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c>
          <w:tcPr>
            <w:tcW w:w="1204" w:type="dxa"/>
            <w:gridSpan w:val="2"/>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用户名称</w:t>
            </w:r>
          </w:p>
        </w:tc>
        <w:tc>
          <w:tcPr>
            <w:tcW w:w="3182" w:type="dxa"/>
            <w:gridSpan w:val="2"/>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售电企业统一社会信用代码</w:t>
            </w:r>
          </w:p>
        </w:tc>
        <w:tc>
          <w:tcPr>
            <w:tcW w:w="5275" w:type="dxa"/>
            <w:gridSpan w:val="5"/>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售电企业联系人电话</w:t>
            </w:r>
          </w:p>
        </w:tc>
        <w:tc>
          <w:tcPr>
            <w:tcW w:w="5275" w:type="dxa"/>
            <w:gridSpan w:val="5"/>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129" w:type="dxa"/>
            <w:gridSpan w:val="2"/>
            <w:tcBorders>
              <w:top w:val="nil"/>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起始日期</w:t>
            </w:r>
          </w:p>
        </w:tc>
        <w:tc>
          <w:tcPr>
            <w:tcW w:w="2125" w:type="dxa"/>
            <w:gridSpan w:val="3"/>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 xml:space="preserve">　</w:t>
            </w:r>
          </w:p>
        </w:tc>
        <w:tc>
          <w:tcPr>
            <w:tcW w:w="2125" w:type="dxa"/>
            <w:gridSpan w:val="2"/>
            <w:tcBorders>
              <w:top w:val="nil"/>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终止日期</w:t>
            </w:r>
          </w:p>
        </w:tc>
        <w:tc>
          <w:tcPr>
            <w:tcW w:w="2125" w:type="dxa"/>
            <w:tcBorders>
              <w:top w:val="nil"/>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 xml:space="preserve">　</w:t>
            </w:r>
          </w:p>
        </w:tc>
      </w:tr>
      <w:tr w:rsidR="00623CDF">
        <w:trPr>
          <w:trHeight w:val="460"/>
          <w:jc w:val="center"/>
        </w:trPr>
        <w:tc>
          <w:tcPr>
            <w:tcW w:w="4254"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623CDF" w:rsidRDefault="00861DFB">
            <w:pPr>
              <w:spacing w:line="680" w:lineRule="exact"/>
              <w:jc w:val="center"/>
              <w:rPr>
                <w:sz w:val="24"/>
                <w:szCs w:val="24"/>
              </w:rPr>
            </w:pPr>
            <w:r>
              <w:rPr>
                <w:sz w:val="24"/>
                <w:szCs w:val="24"/>
              </w:rPr>
              <w:t>固定价格（元</w:t>
            </w:r>
            <w:r>
              <w:rPr>
                <w:sz w:val="24"/>
                <w:szCs w:val="24"/>
              </w:rPr>
              <w:t>/</w:t>
            </w:r>
            <w:r>
              <w:rPr>
                <w:sz w:val="24"/>
                <w:szCs w:val="24"/>
              </w:rPr>
              <w:t>千瓦时）</w:t>
            </w:r>
          </w:p>
        </w:tc>
        <w:tc>
          <w:tcPr>
            <w:tcW w:w="4250"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623CDF" w:rsidRDefault="00861DFB">
            <w:pPr>
              <w:spacing w:line="680" w:lineRule="exact"/>
              <w:jc w:val="center"/>
              <w:rPr>
                <w:sz w:val="24"/>
                <w:szCs w:val="24"/>
              </w:rPr>
            </w:pPr>
            <w:r>
              <w:rPr>
                <w:sz w:val="24"/>
                <w:szCs w:val="24"/>
              </w:rPr>
              <w:t xml:space="preserve">　</w:t>
            </w:r>
          </w:p>
        </w:tc>
      </w:tr>
      <w:tr w:rsidR="00623CDF">
        <w:trPr>
          <w:trHeight w:val="460"/>
          <w:jc w:val="center"/>
        </w:trPr>
        <w:tc>
          <w:tcPr>
            <w:tcW w:w="85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w:t>
            </w:r>
            <w:r>
              <w:rPr>
                <w:sz w:val="24"/>
                <w:szCs w:val="24"/>
              </w:rPr>
              <w:t>□</w:t>
            </w:r>
            <w:r>
              <w:rPr>
                <w:sz w:val="24"/>
                <w:szCs w:val="24"/>
              </w:rPr>
              <w:t>是</w:t>
            </w:r>
            <w:r>
              <w:rPr>
                <w:sz w:val="24"/>
                <w:szCs w:val="24"/>
              </w:rPr>
              <w:t>/□</w:t>
            </w:r>
            <w:r>
              <w:rPr>
                <w:sz w:val="24"/>
                <w:szCs w:val="24"/>
              </w:rPr>
              <w:t>否）设置封顶价格</w:t>
            </w:r>
          </w:p>
        </w:tc>
      </w:tr>
      <w:tr w:rsidR="00623CDF">
        <w:trPr>
          <w:trHeight w:val="530"/>
          <w:jc w:val="center"/>
        </w:trPr>
        <w:tc>
          <w:tcPr>
            <w:tcW w:w="85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以</w:t>
            </w:r>
            <w:r>
              <w:rPr>
                <w:rFonts w:hint="eastAsia"/>
                <w:sz w:val="24"/>
                <w:szCs w:val="24"/>
              </w:rPr>
              <w:t>零售市场参考价格</w:t>
            </w:r>
            <w:r>
              <w:rPr>
                <w:sz w:val="24"/>
                <w:szCs w:val="24"/>
              </w:rPr>
              <w:t>封顶的电量比例</w:t>
            </w:r>
          </w:p>
        </w:tc>
      </w:tr>
      <w:tr w:rsidR="00623CDF">
        <w:trPr>
          <w:trHeight w:val="530"/>
          <w:jc w:val="center"/>
        </w:trPr>
        <w:tc>
          <w:tcPr>
            <w:tcW w:w="85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w:t>
            </w:r>
          </w:p>
        </w:tc>
      </w:tr>
    </w:tbl>
    <w:p w:rsidR="00623CDF" w:rsidRDefault="00623CDF">
      <w:pPr>
        <w:jc w:val="center"/>
        <w:sectPr w:rsidR="00623CDF">
          <w:footerReference w:type="default" r:id="rId7"/>
          <w:pgSz w:w="11906" w:h="16838"/>
          <w:pgMar w:top="2098" w:right="1474" w:bottom="1984" w:left="1587" w:header="851" w:footer="1587" w:gutter="0"/>
          <w:cols w:space="720"/>
          <w:docGrid w:type="linesAndChars" w:linePitch="579"/>
        </w:sectPr>
      </w:pPr>
    </w:p>
    <w:p w:rsidR="00623CDF" w:rsidRDefault="00861DFB">
      <w:pPr>
        <w:spacing w:line="530" w:lineRule="exact"/>
        <w:rPr>
          <w:rFonts w:eastAsia="黑体"/>
          <w:sz w:val="28"/>
          <w:szCs w:val="28"/>
        </w:rPr>
      </w:pPr>
      <w:r>
        <w:rPr>
          <w:rFonts w:eastAsia="黑体"/>
          <w:sz w:val="28"/>
          <w:szCs w:val="28"/>
        </w:rPr>
        <w:lastRenderedPageBreak/>
        <w:t>二、比例分成套餐</w:t>
      </w:r>
    </w:p>
    <w:tbl>
      <w:tblPr>
        <w:tblW w:w="0" w:type="auto"/>
        <w:jc w:val="center"/>
        <w:shd w:val="clear" w:color="auto" w:fill="FFFFFF"/>
        <w:tblLayout w:type="fixed"/>
        <w:tblLook w:val="04A0" w:firstRow="1" w:lastRow="0" w:firstColumn="1" w:lastColumn="0" w:noHBand="0" w:noVBand="1"/>
      </w:tblPr>
      <w:tblGrid>
        <w:gridCol w:w="2603"/>
        <w:gridCol w:w="1314"/>
        <w:gridCol w:w="332"/>
        <w:gridCol w:w="502"/>
        <w:gridCol w:w="614"/>
        <w:gridCol w:w="1639"/>
        <w:gridCol w:w="1500"/>
      </w:tblGrid>
      <w:tr w:rsidR="00623CDF">
        <w:trPr>
          <w:trHeight w:val="46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用户户号</w:t>
            </w:r>
          </w:p>
        </w:tc>
        <w:tc>
          <w:tcPr>
            <w:tcW w:w="1314" w:type="dxa"/>
            <w:tcBorders>
              <w:top w:val="single" w:sz="4" w:space="0" w:color="auto"/>
              <w:left w:val="nil"/>
              <w:bottom w:val="single" w:sz="4" w:space="0" w:color="auto"/>
              <w:right w:val="single" w:sz="4" w:space="0" w:color="000000"/>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c>
          <w:tcPr>
            <w:tcW w:w="1448" w:type="dxa"/>
            <w:gridSpan w:val="3"/>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用户名称</w:t>
            </w:r>
          </w:p>
        </w:tc>
        <w:tc>
          <w:tcPr>
            <w:tcW w:w="3139" w:type="dxa"/>
            <w:gridSpan w:val="2"/>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售电企业统一社会信用代码</w:t>
            </w:r>
          </w:p>
        </w:tc>
        <w:tc>
          <w:tcPr>
            <w:tcW w:w="5901" w:type="dxa"/>
            <w:gridSpan w:val="6"/>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售电企业联系人电话</w:t>
            </w:r>
          </w:p>
        </w:tc>
        <w:tc>
          <w:tcPr>
            <w:tcW w:w="5901" w:type="dxa"/>
            <w:gridSpan w:val="6"/>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603" w:type="dxa"/>
            <w:tcBorders>
              <w:top w:val="nil"/>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起始月份</w:t>
            </w:r>
          </w:p>
        </w:tc>
        <w:tc>
          <w:tcPr>
            <w:tcW w:w="2148" w:type="dxa"/>
            <w:gridSpan w:val="3"/>
            <w:tcBorders>
              <w:top w:val="single" w:sz="4" w:space="0" w:color="auto"/>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 xml:space="preserve">　</w:t>
            </w:r>
          </w:p>
        </w:tc>
        <w:tc>
          <w:tcPr>
            <w:tcW w:w="2253" w:type="dxa"/>
            <w:gridSpan w:val="2"/>
            <w:tcBorders>
              <w:top w:val="nil"/>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终止月份</w:t>
            </w:r>
          </w:p>
        </w:tc>
        <w:tc>
          <w:tcPr>
            <w:tcW w:w="1500" w:type="dxa"/>
            <w:tcBorders>
              <w:top w:val="nil"/>
              <w:left w:val="nil"/>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 xml:space="preserve">　</w:t>
            </w:r>
          </w:p>
        </w:tc>
      </w:tr>
      <w:tr w:rsidR="00623CDF">
        <w:trPr>
          <w:trHeight w:val="246"/>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交易基准价</w:t>
            </w:r>
            <w:r>
              <w:rPr>
                <w:sz w:val="24"/>
                <w:szCs w:val="24"/>
              </w:rPr>
              <w:t xml:space="preserve">     </w:t>
            </w:r>
          </w:p>
          <w:p w:rsidR="00623CDF" w:rsidRDefault="00861DFB">
            <w:pPr>
              <w:spacing w:line="680" w:lineRule="exact"/>
              <w:jc w:val="center"/>
              <w:rPr>
                <w:sz w:val="24"/>
                <w:szCs w:val="24"/>
              </w:rPr>
            </w:pPr>
            <w:r>
              <w:rPr>
                <w:sz w:val="24"/>
                <w:szCs w:val="24"/>
              </w:rPr>
              <w:t>（元</w:t>
            </w:r>
            <w:r>
              <w:rPr>
                <w:sz w:val="24"/>
                <w:szCs w:val="24"/>
              </w:rPr>
              <w:t>/</w:t>
            </w:r>
            <w:r>
              <w:rPr>
                <w:sz w:val="24"/>
                <w:szCs w:val="24"/>
              </w:rPr>
              <w:t>千瓦时）</w:t>
            </w:r>
          </w:p>
        </w:tc>
        <w:tc>
          <w:tcPr>
            <w:tcW w:w="590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pPr>
            <w:r>
              <w:rPr>
                <w:sz w:val="24"/>
                <w:szCs w:val="24"/>
              </w:rPr>
              <w:t xml:space="preserve">　</w:t>
            </w:r>
          </w:p>
        </w:tc>
      </w:tr>
      <w:tr w:rsidR="00623CDF">
        <w:trPr>
          <w:trHeight w:val="330"/>
          <w:jc w:val="center"/>
        </w:trPr>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零售用户</w:t>
            </w:r>
            <w:r>
              <w:rPr>
                <w:sz w:val="24"/>
                <w:szCs w:val="24"/>
              </w:rPr>
              <w:t>分成比例</w:t>
            </w:r>
          </w:p>
          <w:p w:rsidR="00623CDF" w:rsidRDefault="00861DFB">
            <w:pPr>
              <w:spacing w:line="680" w:lineRule="exact"/>
              <w:jc w:val="center"/>
              <w:rPr>
                <w:sz w:val="24"/>
                <w:szCs w:val="24"/>
              </w:rPr>
            </w:pPr>
            <w:r>
              <w:rPr>
                <w:sz w:val="24"/>
                <w:szCs w:val="24"/>
              </w:rPr>
              <w:t>（</w:t>
            </w:r>
            <w:r>
              <w:rPr>
                <w:rFonts w:hint="eastAsia"/>
                <w:sz w:val="24"/>
                <w:szCs w:val="24"/>
              </w:rPr>
              <w:t>零售市场参考价格</w:t>
            </w:r>
            <w:r>
              <w:rPr>
                <w:sz w:val="24"/>
                <w:szCs w:val="24"/>
              </w:rPr>
              <w:t>低于交易基准价）</w:t>
            </w:r>
          </w:p>
        </w:tc>
        <w:tc>
          <w:tcPr>
            <w:tcW w:w="42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零售用户</w:t>
            </w:r>
            <w:r>
              <w:rPr>
                <w:sz w:val="24"/>
                <w:szCs w:val="24"/>
              </w:rPr>
              <w:t>分成比例</w:t>
            </w:r>
          </w:p>
          <w:p w:rsidR="00623CDF" w:rsidRDefault="00861DFB">
            <w:pPr>
              <w:spacing w:line="680" w:lineRule="exact"/>
              <w:jc w:val="center"/>
              <w:rPr>
                <w:sz w:val="24"/>
                <w:szCs w:val="24"/>
              </w:rPr>
            </w:pPr>
            <w:r>
              <w:rPr>
                <w:sz w:val="24"/>
                <w:szCs w:val="24"/>
              </w:rPr>
              <w:t>（</w:t>
            </w:r>
            <w:r>
              <w:rPr>
                <w:rFonts w:hint="eastAsia"/>
                <w:sz w:val="24"/>
                <w:szCs w:val="24"/>
              </w:rPr>
              <w:t>零售市场参考价格</w:t>
            </w:r>
            <w:r>
              <w:rPr>
                <w:sz w:val="24"/>
                <w:szCs w:val="24"/>
              </w:rPr>
              <w:t>高于交易基准价）</w:t>
            </w:r>
          </w:p>
        </w:tc>
      </w:tr>
      <w:tr w:rsidR="00623CDF">
        <w:trPr>
          <w:trHeight w:val="460"/>
          <w:jc w:val="center"/>
        </w:trPr>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w:t>
            </w:r>
          </w:p>
        </w:tc>
        <w:tc>
          <w:tcPr>
            <w:tcW w:w="42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w:t>
            </w:r>
          </w:p>
        </w:tc>
      </w:tr>
      <w:tr w:rsidR="00623CDF">
        <w:trPr>
          <w:trHeight w:val="460"/>
          <w:jc w:val="center"/>
        </w:trPr>
        <w:tc>
          <w:tcPr>
            <w:tcW w:w="85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w:t>
            </w:r>
            <w:r>
              <w:rPr>
                <w:sz w:val="24"/>
                <w:szCs w:val="24"/>
              </w:rPr>
              <w:t>□</w:t>
            </w:r>
            <w:r>
              <w:rPr>
                <w:sz w:val="24"/>
                <w:szCs w:val="24"/>
              </w:rPr>
              <w:t>是</w:t>
            </w:r>
            <w:r>
              <w:rPr>
                <w:sz w:val="24"/>
                <w:szCs w:val="24"/>
              </w:rPr>
              <w:t>/□</w:t>
            </w:r>
            <w:r>
              <w:rPr>
                <w:sz w:val="24"/>
                <w:szCs w:val="24"/>
              </w:rPr>
              <w:t>否）设置封顶价格</w:t>
            </w:r>
          </w:p>
        </w:tc>
      </w:tr>
      <w:tr w:rsidR="00623CDF">
        <w:trPr>
          <w:trHeight w:val="460"/>
          <w:jc w:val="center"/>
        </w:trPr>
        <w:tc>
          <w:tcPr>
            <w:tcW w:w="85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861DFB">
            <w:pPr>
              <w:spacing w:line="680" w:lineRule="exact"/>
              <w:jc w:val="center"/>
              <w:rPr>
                <w:sz w:val="24"/>
                <w:szCs w:val="24"/>
              </w:rPr>
            </w:pPr>
            <w:r>
              <w:rPr>
                <w:sz w:val="24"/>
                <w:szCs w:val="24"/>
              </w:rPr>
              <w:t>封顶价格</w:t>
            </w:r>
          </w:p>
          <w:p w:rsidR="00623CDF" w:rsidRDefault="00861DFB">
            <w:pPr>
              <w:spacing w:line="680" w:lineRule="exact"/>
              <w:jc w:val="center"/>
              <w:rPr>
                <w:sz w:val="24"/>
                <w:szCs w:val="24"/>
              </w:rPr>
            </w:pPr>
            <w:r>
              <w:rPr>
                <w:sz w:val="24"/>
                <w:szCs w:val="24"/>
              </w:rPr>
              <w:t>（元</w:t>
            </w:r>
            <w:r>
              <w:rPr>
                <w:sz w:val="24"/>
                <w:szCs w:val="24"/>
              </w:rPr>
              <w:t>/</w:t>
            </w:r>
            <w:r>
              <w:rPr>
                <w:sz w:val="24"/>
                <w:szCs w:val="24"/>
              </w:rPr>
              <w:t>千瓦时）</w:t>
            </w:r>
          </w:p>
        </w:tc>
      </w:tr>
      <w:tr w:rsidR="00623CDF">
        <w:trPr>
          <w:trHeight w:val="460"/>
          <w:jc w:val="center"/>
        </w:trPr>
        <w:tc>
          <w:tcPr>
            <w:tcW w:w="85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23CDF" w:rsidRDefault="00623CDF">
            <w:pPr>
              <w:spacing w:line="680" w:lineRule="exact"/>
              <w:rPr>
                <w:sz w:val="24"/>
                <w:szCs w:val="24"/>
              </w:rPr>
            </w:pPr>
          </w:p>
        </w:tc>
      </w:tr>
    </w:tbl>
    <w:p w:rsidR="00623CDF" w:rsidRDefault="00623CDF">
      <w:pPr>
        <w:rPr>
          <w:b/>
          <w:bCs/>
          <w:sz w:val="24"/>
          <w:szCs w:val="24"/>
        </w:rPr>
      </w:pPr>
    </w:p>
    <w:p w:rsidR="00623CDF" w:rsidRDefault="00623CDF">
      <w:pPr>
        <w:rPr>
          <w:b/>
          <w:bCs/>
          <w:sz w:val="24"/>
          <w:szCs w:val="24"/>
        </w:rPr>
      </w:pPr>
    </w:p>
    <w:p w:rsidR="00623CDF" w:rsidRDefault="00623CDF">
      <w:pPr>
        <w:rPr>
          <w:b/>
          <w:bCs/>
          <w:sz w:val="24"/>
          <w:szCs w:val="24"/>
        </w:rPr>
      </w:pPr>
    </w:p>
    <w:p w:rsidR="00623CDF" w:rsidRDefault="00623CDF">
      <w:pPr>
        <w:pStyle w:val="a0"/>
        <w:ind w:firstLine="458"/>
        <w:rPr>
          <w:rFonts w:ascii="Times New Roman" w:hAnsi="Times New Roman"/>
          <w:b/>
          <w:bCs/>
          <w:sz w:val="24"/>
          <w:szCs w:val="24"/>
        </w:rPr>
      </w:pPr>
    </w:p>
    <w:p w:rsidR="00623CDF" w:rsidRDefault="00861DFB">
      <w:pPr>
        <w:pageBreakBefore/>
        <w:rPr>
          <w:rFonts w:eastAsia="黑体"/>
          <w:szCs w:val="32"/>
        </w:rPr>
      </w:pPr>
      <w:r>
        <w:rPr>
          <w:rFonts w:eastAsia="黑体"/>
          <w:szCs w:val="32"/>
        </w:rPr>
        <w:lastRenderedPageBreak/>
        <w:t>三、市场价格联动套餐</w:t>
      </w:r>
    </w:p>
    <w:tbl>
      <w:tblPr>
        <w:tblW w:w="0" w:type="auto"/>
        <w:jc w:val="center"/>
        <w:tblLayout w:type="fixed"/>
        <w:tblLook w:val="04A0" w:firstRow="1" w:lastRow="0" w:firstColumn="1" w:lastColumn="0" w:noHBand="0" w:noVBand="1"/>
      </w:tblPr>
      <w:tblGrid>
        <w:gridCol w:w="1677"/>
        <w:gridCol w:w="1149"/>
        <w:gridCol w:w="1936"/>
        <w:gridCol w:w="1454"/>
        <w:gridCol w:w="1026"/>
        <w:gridCol w:w="1262"/>
      </w:tblGrid>
      <w:tr w:rsidR="00623CDF">
        <w:trPr>
          <w:trHeight w:val="460"/>
          <w:jc w:val="center"/>
        </w:trPr>
        <w:tc>
          <w:tcPr>
            <w:tcW w:w="1677" w:type="dxa"/>
            <w:tcBorders>
              <w:top w:val="single" w:sz="4" w:space="0" w:color="auto"/>
              <w:left w:val="single" w:sz="4" w:space="0" w:color="auto"/>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用户户号</w:t>
            </w:r>
          </w:p>
        </w:tc>
        <w:tc>
          <w:tcPr>
            <w:tcW w:w="3085" w:type="dxa"/>
            <w:gridSpan w:val="2"/>
            <w:tcBorders>
              <w:top w:val="single" w:sz="4" w:space="0" w:color="auto"/>
              <w:left w:val="nil"/>
              <w:bottom w:val="single" w:sz="4" w:space="0" w:color="auto"/>
              <w:right w:val="single" w:sz="4" w:space="0" w:color="000000"/>
            </w:tcBorders>
            <w:vAlign w:val="center"/>
          </w:tcPr>
          <w:p w:rsidR="00623CDF" w:rsidRDefault="00861DFB">
            <w:pPr>
              <w:spacing w:line="600" w:lineRule="exact"/>
              <w:jc w:val="center"/>
              <w:rPr>
                <w:sz w:val="24"/>
                <w:szCs w:val="24"/>
              </w:rPr>
            </w:pPr>
            <w:r>
              <w:rPr>
                <w:sz w:val="24"/>
                <w:szCs w:val="24"/>
              </w:rPr>
              <w:t>自动生成</w:t>
            </w:r>
            <w:r>
              <w:rPr>
                <w:sz w:val="24"/>
                <w:szCs w:val="24"/>
              </w:rPr>
              <w:t xml:space="preserve">　</w:t>
            </w:r>
          </w:p>
        </w:tc>
        <w:tc>
          <w:tcPr>
            <w:tcW w:w="1454" w:type="dxa"/>
            <w:tcBorders>
              <w:top w:val="single" w:sz="4" w:space="0" w:color="auto"/>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用户名称</w:t>
            </w:r>
          </w:p>
        </w:tc>
        <w:tc>
          <w:tcPr>
            <w:tcW w:w="2288" w:type="dxa"/>
            <w:gridSpan w:val="2"/>
            <w:tcBorders>
              <w:top w:val="single" w:sz="4" w:space="0" w:color="auto"/>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623CDF" w:rsidRDefault="00861DFB">
            <w:pPr>
              <w:spacing w:line="600" w:lineRule="exact"/>
              <w:jc w:val="center"/>
              <w:rPr>
                <w:sz w:val="24"/>
                <w:szCs w:val="24"/>
              </w:rPr>
            </w:pPr>
            <w:r>
              <w:rPr>
                <w:spacing w:val="-17"/>
                <w:sz w:val="24"/>
                <w:szCs w:val="24"/>
              </w:rPr>
              <w:t>售电企业统一社会信用代码</w:t>
            </w:r>
          </w:p>
        </w:tc>
        <w:tc>
          <w:tcPr>
            <w:tcW w:w="5678" w:type="dxa"/>
            <w:gridSpan w:val="4"/>
            <w:tcBorders>
              <w:top w:val="single" w:sz="4" w:space="0" w:color="auto"/>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售电企业联系人电话</w:t>
            </w:r>
          </w:p>
        </w:tc>
        <w:tc>
          <w:tcPr>
            <w:tcW w:w="5678" w:type="dxa"/>
            <w:gridSpan w:val="4"/>
            <w:tcBorders>
              <w:top w:val="single" w:sz="4" w:space="0" w:color="auto"/>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自动生成</w:t>
            </w:r>
            <w:r>
              <w:rPr>
                <w:sz w:val="24"/>
                <w:szCs w:val="24"/>
              </w:rPr>
              <w:t xml:space="preserve">　</w:t>
            </w:r>
          </w:p>
        </w:tc>
      </w:tr>
      <w:tr w:rsidR="00623CDF">
        <w:trPr>
          <w:trHeight w:val="460"/>
          <w:jc w:val="center"/>
        </w:trPr>
        <w:tc>
          <w:tcPr>
            <w:tcW w:w="2826" w:type="dxa"/>
            <w:gridSpan w:val="2"/>
            <w:tcBorders>
              <w:top w:val="nil"/>
              <w:left w:val="single" w:sz="4" w:space="0" w:color="auto"/>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起始月份</w:t>
            </w:r>
          </w:p>
        </w:tc>
        <w:tc>
          <w:tcPr>
            <w:tcW w:w="1936" w:type="dxa"/>
            <w:tcBorders>
              <w:top w:val="single" w:sz="4" w:space="0" w:color="auto"/>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 xml:space="preserve">　</w:t>
            </w:r>
          </w:p>
        </w:tc>
        <w:tc>
          <w:tcPr>
            <w:tcW w:w="2480" w:type="dxa"/>
            <w:gridSpan w:val="2"/>
            <w:tcBorders>
              <w:top w:val="nil"/>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终止月份</w:t>
            </w:r>
          </w:p>
        </w:tc>
        <w:tc>
          <w:tcPr>
            <w:tcW w:w="1262" w:type="dxa"/>
            <w:tcBorders>
              <w:top w:val="nil"/>
              <w:left w:val="nil"/>
              <w:bottom w:val="single" w:sz="4" w:space="0" w:color="auto"/>
              <w:right w:val="single" w:sz="4" w:space="0" w:color="auto"/>
            </w:tcBorders>
            <w:vAlign w:val="center"/>
          </w:tcPr>
          <w:p w:rsidR="00623CDF" w:rsidRDefault="00861DFB">
            <w:pPr>
              <w:spacing w:line="600" w:lineRule="exact"/>
              <w:jc w:val="center"/>
              <w:rPr>
                <w:sz w:val="24"/>
                <w:szCs w:val="24"/>
              </w:rPr>
            </w:pPr>
            <w:r>
              <w:rPr>
                <w:sz w:val="24"/>
                <w:szCs w:val="24"/>
              </w:rPr>
              <w:t xml:space="preserve">　</w:t>
            </w:r>
          </w:p>
        </w:tc>
      </w:tr>
      <w:tr w:rsidR="00623CDF">
        <w:trPr>
          <w:trHeight w:val="460"/>
          <w:jc w:val="center"/>
        </w:trPr>
        <w:tc>
          <w:tcPr>
            <w:tcW w:w="2826" w:type="dxa"/>
            <w:gridSpan w:val="2"/>
            <w:tcBorders>
              <w:top w:val="nil"/>
              <w:left w:val="single" w:sz="4" w:space="0" w:color="auto"/>
              <w:bottom w:val="single" w:sz="4" w:space="0" w:color="auto"/>
              <w:right w:val="single" w:sz="4" w:space="0" w:color="auto"/>
            </w:tcBorders>
            <w:vAlign w:val="center"/>
          </w:tcPr>
          <w:p w:rsidR="00623CDF" w:rsidRDefault="00861DFB">
            <w:pPr>
              <w:spacing w:line="600" w:lineRule="exact"/>
              <w:jc w:val="center"/>
              <w:rPr>
                <w:spacing w:val="-17"/>
                <w:sz w:val="24"/>
                <w:szCs w:val="24"/>
              </w:rPr>
            </w:pPr>
            <w:r>
              <w:rPr>
                <w:spacing w:val="-17"/>
                <w:sz w:val="24"/>
                <w:szCs w:val="24"/>
              </w:rPr>
              <w:t>在</w:t>
            </w:r>
            <w:r>
              <w:rPr>
                <w:rFonts w:hint="eastAsia"/>
                <w:sz w:val="24"/>
                <w:szCs w:val="24"/>
              </w:rPr>
              <w:t>零售市场参考价格</w:t>
            </w:r>
            <w:r>
              <w:rPr>
                <w:spacing w:val="-17"/>
                <w:sz w:val="24"/>
                <w:szCs w:val="24"/>
              </w:rPr>
              <w:t>基础上</w:t>
            </w:r>
            <w:r>
              <w:rPr>
                <w:spacing w:val="-17"/>
                <w:sz w:val="24"/>
                <w:szCs w:val="24"/>
              </w:rPr>
              <w:t>□</w:t>
            </w:r>
            <w:r>
              <w:rPr>
                <w:spacing w:val="-17"/>
                <w:sz w:val="24"/>
                <w:szCs w:val="24"/>
              </w:rPr>
              <w:t>上浮</w:t>
            </w:r>
            <w:r>
              <w:rPr>
                <w:spacing w:val="-17"/>
                <w:sz w:val="24"/>
                <w:szCs w:val="24"/>
              </w:rPr>
              <w:t>/□</w:t>
            </w:r>
            <w:r>
              <w:rPr>
                <w:spacing w:val="-17"/>
                <w:sz w:val="24"/>
                <w:szCs w:val="24"/>
              </w:rPr>
              <w:t>下浮</w:t>
            </w:r>
            <w:r>
              <w:rPr>
                <w:spacing w:val="-17"/>
                <w:sz w:val="24"/>
                <w:szCs w:val="24"/>
              </w:rPr>
              <w:t>价格</w:t>
            </w:r>
          </w:p>
          <w:p w:rsidR="00623CDF" w:rsidRDefault="00861DFB">
            <w:pPr>
              <w:spacing w:line="600" w:lineRule="exact"/>
              <w:jc w:val="center"/>
              <w:rPr>
                <w:sz w:val="24"/>
                <w:szCs w:val="24"/>
              </w:rPr>
            </w:pPr>
            <w:r>
              <w:rPr>
                <w:rFonts w:hint="eastAsia"/>
                <w:spacing w:val="-17"/>
                <w:sz w:val="24"/>
                <w:szCs w:val="24"/>
              </w:rPr>
              <w:t>（</w:t>
            </w:r>
            <w:r>
              <w:rPr>
                <w:spacing w:val="-17"/>
                <w:sz w:val="24"/>
                <w:szCs w:val="24"/>
              </w:rPr>
              <w:t>元</w:t>
            </w:r>
            <w:r>
              <w:rPr>
                <w:spacing w:val="-17"/>
                <w:sz w:val="24"/>
                <w:szCs w:val="24"/>
              </w:rPr>
              <w:t>/</w:t>
            </w:r>
            <w:r>
              <w:rPr>
                <w:spacing w:val="-17"/>
                <w:sz w:val="24"/>
                <w:szCs w:val="24"/>
              </w:rPr>
              <w:t>千瓦时</w:t>
            </w:r>
            <w:r>
              <w:rPr>
                <w:rFonts w:hint="eastAsia"/>
                <w:spacing w:val="-17"/>
                <w:sz w:val="24"/>
                <w:szCs w:val="24"/>
              </w:rPr>
              <w:t>）</w:t>
            </w:r>
          </w:p>
        </w:tc>
        <w:tc>
          <w:tcPr>
            <w:tcW w:w="5678" w:type="dxa"/>
            <w:gridSpan w:val="4"/>
            <w:tcBorders>
              <w:top w:val="single" w:sz="4" w:space="0" w:color="auto"/>
              <w:left w:val="nil"/>
              <w:bottom w:val="single" w:sz="4" w:space="0" w:color="auto"/>
              <w:right w:val="single" w:sz="4" w:space="0" w:color="auto"/>
            </w:tcBorders>
            <w:vAlign w:val="center"/>
          </w:tcPr>
          <w:p w:rsidR="00623CDF" w:rsidRDefault="00623CDF">
            <w:pPr>
              <w:spacing w:line="600" w:lineRule="exact"/>
              <w:jc w:val="center"/>
              <w:rPr>
                <w:sz w:val="24"/>
                <w:szCs w:val="24"/>
              </w:rPr>
            </w:pPr>
          </w:p>
        </w:tc>
      </w:tr>
    </w:tbl>
    <w:p w:rsidR="00623CDF" w:rsidRDefault="00623CDF"/>
    <w:sectPr w:rsidR="00623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FB" w:rsidRDefault="00861DFB">
      <w:pPr>
        <w:spacing w:line="240" w:lineRule="auto"/>
      </w:pPr>
      <w:r>
        <w:separator/>
      </w:r>
    </w:p>
  </w:endnote>
  <w:endnote w:type="continuationSeparator" w:id="0">
    <w:p w:rsidR="00861DFB" w:rsidRDefault="00861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DF" w:rsidRDefault="00861DF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23CDF" w:rsidRDefault="00861DFB">
                          <w:pPr>
                            <w:pStyle w:val="a4"/>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779FF">
                            <w:rPr>
                              <w:noProof/>
                              <w:sz w:val="28"/>
                              <w:szCs w:val="28"/>
                            </w:rPr>
                            <w:t>3</w:t>
                          </w:r>
                          <w:r>
                            <w:rPr>
                              <w:sz w:val="28"/>
                              <w:szCs w:val="28"/>
                            </w:rPr>
                            <w:fldChar w:fldCharType="end"/>
                          </w:r>
                          <w:r>
                            <w:rPr>
                              <w:rFonts w:hint="eastAsia"/>
                              <w:sz w:val="28"/>
                              <w:szCs w:val="28"/>
                            </w:rPr>
                            <w:t xml:space="preserve">  </w:t>
                          </w:r>
                          <w:r>
                            <w:rPr>
                              <w:rFonts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623CDF" w:rsidRDefault="00861DFB">
                    <w:pPr>
                      <w:pStyle w:val="a4"/>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779FF">
                      <w:rPr>
                        <w:noProof/>
                        <w:sz w:val="28"/>
                        <w:szCs w:val="28"/>
                      </w:rPr>
                      <w:t>3</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FB" w:rsidRDefault="00861DFB">
      <w:pPr>
        <w:spacing w:line="240" w:lineRule="auto"/>
      </w:pPr>
      <w:r>
        <w:separator/>
      </w:r>
    </w:p>
  </w:footnote>
  <w:footnote w:type="continuationSeparator" w:id="0">
    <w:p w:rsidR="00861DFB" w:rsidRDefault="00861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6E40573E"/>
    <w:rsid w:val="C5B7A9C1"/>
    <w:rsid w:val="F7DAB195"/>
    <w:rsid w:val="FD8EF04D"/>
    <w:rsid w:val="FEEE310B"/>
    <w:rsid w:val="005779FF"/>
    <w:rsid w:val="00623CDF"/>
    <w:rsid w:val="00861DFB"/>
    <w:rsid w:val="05C66F89"/>
    <w:rsid w:val="06190A85"/>
    <w:rsid w:val="099334DA"/>
    <w:rsid w:val="13E25D3D"/>
    <w:rsid w:val="17A805B0"/>
    <w:rsid w:val="18FE560D"/>
    <w:rsid w:val="21BC70DF"/>
    <w:rsid w:val="22C46825"/>
    <w:rsid w:val="335155FB"/>
    <w:rsid w:val="365F40C1"/>
    <w:rsid w:val="4018011B"/>
    <w:rsid w:val="41833605"/>
    <w:rsid w:val="44D34DBD"/>
    <w:rsid w:val="499D25DE"/>
    <w:rsid w:val="4E3629D9"/>
    <w:rsid w:val="4F6325C6"/>
    <w:rsid w:val="4FFFF607"/>
    <w:rsid w:val="51502FFB"/>
    <w:rsid w:val="53455429"/>
    <w:rsid w:val="5A742C2F"/>
    <w:rsid w:val="6E40573E"/>
    <w:rsid w:val="708F41BE"/>
    <w:rsid w:val="71E56DE8"/>
    <w:rsid w:val="776C16FD"/>
    <w:rsid w:val="B3BB9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3B54B0-8FE8-4003-AEA9-81CC4FF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240" w:lineRule="atLeast"/>
      <w:jc w:val="both"/>
    </w:pPr>
    <w:rPr>
      <w:rFonts w:ascii="Times New Roman" w:eastAsia="仿宋_GB2312" w:hAnsi="Times New Roman" w:cs="Times New Roman"/>
      <w:spacing w:val="-6"/>
      <w:kern w:val="2"/>
      <w:sz w:val="32"/>
    </w:rPr>
  </w:style>
  <w:style w:type="paragraph" w:styleId="1">
    <w:name w:val="heading 1"/>
    <w:basedOn w:val="a"/>
    <w:next w:val="a"/>
    <w:qFormat/>
    <w:pPr>
      <w:keepNext/>
      <w:keepLines/>
      <w:spacing w:before="340" w:after="330" w:line="576" w:lineRule="auto"/>
      <w:outlineLvl w:val="0"/>
    </w:pPr>
    <w:rPr>
      <w:rFonts w:ascii="Calibri" w:eastAsia="宋体" w:hAnsi="Calibri" w:cs="宋体"/>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Calibri" w:eastAsia="宋体" w:hAnsi="Calibri"/>
      <w:sz w:val="21"/>
      <w:szCs w:val="21"/>
    </w:rPr>
  </w:style>
  <w:style w:type="paragraph" w:styleId="a4">
    <w:name w:val="footer"/>
    <w:basedOn w:val="a"/>
    <w:qFormat/>
    <w:pPr>
      <w:tabs>
        <w:tab w:val="center" w:pos="4153"/>
        <w:tab w:val="right" w:pos="8306"/>
      </w:tabs>
      <w:overflowPunct w:val="0"/>
      <w:autoSpaceDE w:val="0"/>
      <w:autoSpaceDN w:val="0"/>
      <w:adjustRightInd w:val="0"/>
      <w:textAlignment w:val="baseline"/>
    </w:pPr>
    <w:rPr>
      <w:sz w:val="20"/>
    </w:rPr>
  </w:style>
  <w:style w:type="paragraph" w:customStyle="1" w:styleId="2">
    <w:name w:val="列出段落2"/>
    <w:basedOn w:val="a"/>
    <w:uiPriority w:val="34"/>
    <w:qFormat/>
    <w:pPr>
      <w:spacing w:line="240" w:lineRule="auto"/>
      <w:ind w:firstLineChars="200" w:firstLine="420"/>
    </w:pPr>
    <w:rPr>
      <w:rFonts w:ascii="Calibri" w:eastAsia="宋体" w:hAnsi="Calibri"/>
    </w:rPr>
  </w:style>
  <w:style w:type="paragraph" w:styleId="a5">
    <w:name w:val="Balloon Text"/>
    <w:basedOn w:val="a"/>
    <w:link w:val="Char"/>
    <w:rsid w:val="005779FF"/>
    <w:pPr>
      <w:spacing w:line="240" w:lineRule="auto"/>
    </w:pPr>
    <w:rPr>
      <w:sz w:val="18"/>
      <w:szCs w:val="18"/>
    </w:rPr>
  </w:style>
  <w:style w:type="character" w:customStyle="1" w:styleId="Char">
    <w:name w:val="批注框文本 Char"/>
    <w:basedOn w:val="a1"/>
    <w:link w:val="a5"/>
    <w:rsid w:val="005779FF"/>
    <w:rPr>
      <w:rFonts w:ascii="Times New Roman" w:eastAsia="仿宋_GB2312" w:hAnsi="Times New Roman"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戴洁芬</cp:lastModifiedBy>
  <cp:revision>2</cp:revision>
  <dcterms:created xsi:type="dcterms:W3CDTF">2022-12-07T23:06:00Z</dcterms:created>
  <dcterms:modified xsi:type="dcterms:W3CDTF">2023-10-13T08:47:00Z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FE67A83479264B62B0D014135D522654</vt:lpwstr>
  </property>
</Properties>
</file>