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lang w:eastAsia="zh-CN"/>
        </w:rPr>
      </w:pPr>
      <w:r>
        <w:rPr>
          <w:rFonts w:hint="eastAsia" w:ascii="方正小标宋简体" w:hAnsi="宋体" w:eastAsia="方正小标宋简体" w:cs="仿宋"/>
          <w:kern w:val="0"/>
          <w:sz w:val="44"/>
          <w:szCs w:val="44"/>
          <w:lang w:val="en-US" w:eastAsia="zh-CN"/>
        </w:rPr>
        <w:t>关于《瓯海区(各渎河、长浃河、半塘河)河道管理范围划界通告》的起草说明</w:t>
      </w:r>
    </w:p>
    <w:p>
      <w:pPr>
        <w:numPr>
          <w:ilvl w:val="0"/>
          <w:numId w:val="0"/>
        </w:numPr>
        <w:spacing w:line="220" w:lineRule="atLeast"/>
        <w:ind w:firstLine="640" w:firstLineChars="200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</w:t>
      </w:r>
      <w:r>
        <w:rPr>
          <w:rFonts w:hint="eastAsia" w:ascii="黑体" w:hAnsi="黑体" w:eastAsia="黑体" w:cs="仿宋"/>
          <w:kern w:val="0"/>
          <w:sz w:val="32"/>
          <w:szCs w:val="32"/>
        </w:rPr>
        <w:t>背景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《浙江省水域保护办法》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（省人民政府令第375号）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《浙江省水利厅关于印发2023年水利重点工作清单的通知》（浙水办〔2023〕5 号）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《浙江省河道管理条例》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文件要求，结合我区实际，完成《瓯海区（各渎河、长浃河、半塘河）河道划界调整技术报告》编制，现将发布《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瓯海区(各渎河、长浃河、半塘河)河道管理范围划界通告》。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二、起草参考依据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1.《中华人民共和国河道管理条例》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《浙江省河道管理条例》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《浙江省水利工程安全管理条例》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《浙江省温瑞塘河保护管理条例》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温州市人民政府办公室关于公布温瑞塘河流域河道等级名录的通知》；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《温州市温瑞平原防洪排涝规划报告》；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《国土空间详细规划》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为依法实施河道管理，保障水域功能完善，同时有效、有序的进行水域管理，对水域管理范围进行划界后，须对其河道管理范围内管理要求进行通告。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三、主要内容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《瓯海区(各渎河、长浃河、半塘河)河道管理范围划界通告》主要明确各渎河、长浃河、半塘河的河道管理范围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管理要求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/>
          <w:sz w:val="28"/>
          <w:szCs w:val="36"/>
          <w:lang w:eastAsia="zh-CN"/>
        </w:rPr>
      </w:pPr>
    </w:p>
    <w:p>
      <w:pPr>
        <w:spacing w:line="360" w:lineRule="auto"/>
        <w:ind w:firstLine="56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37E2693"/>
    <w:rsid w:val="04E65804"/>
    <w:rsid w:val="0B373267"/>
    <w:rsid w:val="0E4C6641"/>
    <w:rsid w:val="13AA28E5"/>
    <w:rsid w:val="14E468F0"/>
    <w:rsid w:val="16DE02C1"/>
    <w:rsid w:val="1CCF7178"/>
    <w:rsid w:val="208F7231"/>
    <w:rsid w:val="20A86C5B"/>
    <w:rsid w:val="23314400"/>
    <w:rsid w:val="27F7456F"/>
    <w:rsid w:val="3A785254"/>
    <w:rsid w:val="47800119"/>
    <w:rsid w:val="4A03351C"/>
    <w:rsid w:val="4D5B1C3B"/>
    <w:rsid w:val="4E9B4B1A"/>
    <w:rsid w:val="608A02AB"/>
    <w:rsid w:val="61412C9E"/>
    <w:rsid w:val="74FF37C2"/>
    <w:rsid w:val="7AE5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632"/>
      </w:tabs>
      <w:spacing w:after="0"/>
      <w:ind w:left="111" w:firstLine="420" w:firstLineChars="100"/>
    </w:pPr>
    <w:rPr>
      <w:rFonts w:ascii="Calibri" w:hAnsi="Calibri"/>
      <w:sz w:val="32"/>
      <w:lang w:val="zh-CN" w:bidi="zh-CN"/>
    </w:rPr>
  </w:style>
  <w:style w:type="paragraph" w:styleId="3">
    <w:name w:val="Body Text"/>
    <w:basedOn w:val="1"/>
    <w:qFormat/>
    <w:uiPriority w:val="0"/>
    <w:pPr>
      <w:tabs>
        <w:tab w:val="left" w:pos="632"/>
      </w:tabs>
    </w:pPr>
    <w:rPr>
      <w:rFonts w:ascii="Arial" w:hAnsi="Arial"/>
      <w:bCs/>
      <w:sz w:val="24"/>
    </w:rPr>
  </w:style>
  <w:style w:type="paragraph" w:styleId="4">
    <w:name w:val="Normal Indent"/>
    <w:basedOn w:val="1"/>
    <w:next w:val="1"/>
    <w:qFormat/>
    <w:uiPriority w:val="0"/>
    <w:pPr>
      <w:ind w:firstLine="567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Administrator.User-2024TIOCLQ</dc:creator>
  <cp:lastModifiedBy>周佩佩</cp:lastModifiedBy>
  <dcterms:modified xsi:type="dcterms:W3CDTF">2025-05-19T07:58:03Z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