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pacing w:val="0"/>
        </w:rPr>
      </w:pPr>
      <w:r>
        <w:rPr>
          <w:rFonts w:hint="eastAsia" w:eastAsia="方正小标宋简体" w:cs="Times New Roman"/>
          <w:spacing w:val="0"/>
          <w:sz w:val="44"/>
          <w:szCs w:val="44"/>
          <w:lang w:eastAsia="zh-CN"/>
        </w:rPr>
        <w:t>关于印发《</w:t>
      </w:r>
      <w:r>
        <w:rPr>
          <w:rFonts w:hint="eastAsia" w:eastAsia="方正小标宋简体" w:cs="Times New Roman"/>
          <w:spacing w:val="0"/>
          <w:sz w:val="44"/>
          <w:szCs w:val="44"/>
          <w:lang w:val="en-US" w:eastAsia="zh-CN"/>
        </w:rPr>
        <w:t>金华市婺城区</w:t>
      </w:r>
      <w:r>
        <w:rPr>
          <w:rFonts w:hint="default" w:ascii="Times New Roman" w:hAnsi="Times New Roman" w:eastAsia="方正小标宋简体" w:cs="Times New Roman"/>
          <w:spacing w:val="0"/>
          <w:sz w:val="44"/>
          <w:szCs w:val="44"/>
        </w:rPr>
        <w:t>生活垃圾分类收运服务单位</w:t>
      </w:r>
      <w:r>
        <w:rPr>
          <w:rFonts w:hint="eastAsia" w:eastAsia="方正小标宋简体" w:cs="Times New Roman"/>
          <w:spacing w:val="0"/>
          <w:sz w:val="44"/>
          <w:szCs w:val="44"/>
          <w:lang w:eastAsia="zh-CN"/>
        </w:rPr>
        <w:t>、</w:t>
      </w:r>
      <w:r>
        <w:rPr>
          <w:rFonts w:hint="eastAsia" w:eastAsia="方正小标宋简体" w:cs="Times New Roman"/>
          <w:spacing w:val="0"/>
          <w:sz w:val="44"/>
          <w:szCs w:val="44"/>
          <w:lang w:val="en-US" w:eastAsia="zh-CN"/>
        </w:rPr>
        <w:t>企业</w:t>
      </w:r>
      <w:r>
        <w:rPr>
          <w:rFonts w:hint="default" w:ascii="Times New Roman" w:hAnsi="Times New Roman" w:eastAsia="方正小标宋简体" w:cs="Times New Roman"/>
          <w:spacing w:val="0"/>
          <w:sz w:val="44"/>
          <w:szCs w:val="44"/>
        </w:rPr>
        <w:t>管理办法</w:t>
      </w:r>
      <w:r>
        <w:rPr>
          <w:rFonts w:hint="eastAsia" w:eastAsia="方正小标宋简体" w:cs="Times New Roman"/>
          <w:spacing w:val="0"/>
          <w:sz w:val="44"/>
          <w:szCs w:val="44"/>
          <w:lang w:eastAsia="zh-CN"/>
        </w:rPr>
        <w:t>》的通知</w:t>
      </w:r>
    </w:p>
    <w:p>
      <w:pPr>
        <w:keepNext w:val="0"/>
        <w:keepLines w:val="0"/>
        <w:pageBreakBefore w:val="0"/>
        <w:widowControl w:val="0"/>
        <w:kinsoku/>
        <w:wordWrap/>
        <w:overflowPunct/>
        <w:topLinePunct w:val="0"/>
        <w:bidi w:val="0"/>
        <w:snapToGrid/>
        <w:spacing w:after="0" w:line="560" w:lineRule="exact"/>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bidi w:val="0"/>
        <w:snapToGrid/>
        <w:spacing w:after="0" w:line="560" w:lineRule="exact"/>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z w:val="32"/>
          <w:szCs w:val="32"/>
        </w:rPr>
        <w:t>婺城区各环卫经营</w:t>
      </w:r>
      <w:r>
        <w:rPr>
          <w:rFonts w:hint="eastAsia" w:ascii="仿宋_GB2312" w:hAnsi="仿宋_GB2312" w:eastAsia="仿宋_GB2312" w:cs="仿宋_GB2312"/>
          <w:color w:val="000000" w:themeColor="text1"/>
          <w:sz w:val="32"/>
          <w:szCs w:val="32"/>
          <w:lang w:val="en-US" w:eastAsia="zh-CN"/>
        </w:rPr>
        <w:t>单位、</w:t>
      </w:r>
      <w:r>
        <w:rPr>
          <w:rFonts w:hint="eastAsia" w:ascii="仿宋_GB2312" w:hAnsi="仿宋_GB2312" w:eastAsia="仿宋_GB2312" w:cs="仿宋_GB2312"/>
          <w:color w:val="000000" w:themeColor="text1"/>
          <w:sz w:val="32"/>
          <w:szCs w:val="32"/>
        </w:rPr>
        <w:t>企业：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为进一步加强</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生活垃圾分类收集运输管理，规范生活垃圾分类收集运输服务，美化城市环境，根据</w:t>
      </w:r>
      <w:r>
        <w:rPr>
          <w:rFonts w:hint="eastAsia" w:ascii="仿宋_GB2312" w:hAnsi="仿宋_GB2312" w:eastAsia="仿宋_GB2312" w:cs="仿宋_GB2312"/>
          <w:color w:val="000000" w:themeColor="text1"/>
          <w:spacing w:val="0"/>
          <w:sz w:val="32"/>
          <w:szCs w:val="32"/>
          <w:lang w:eastAsia="zh-CN"/>
        </w:rPr>
        <w:t>《城市市容和环境卫生管理条例》《城市生活垃圾管理办法》</w:t>
      </w:r>
      <w:r>
        <w:rPr>
          <w:rFonts w:hint="eastAsia" w:ascii="仿宋_GB2312" w:hAnsi="仿宋_GB2312" w:eastAsia="仿宋_GB2312" w:cs="仿宋_GB2312"/>
          <w:color w:val="000000" w:themeColor="text1"/>
          <w:spacing w:val="0"/>
          <w:sz w:val="32"/>
          <w:szCs w:val="32"/>
        </w:rPr>
        <w:t>《浙江省城市市容和环境卫生管理条例》《浙江省生活垃圾</w:t>
      </w:r>
      <w:r>
        <w:rPr>
          <w:rFonts w:hint="eastAsia" w:ascii="仿宋_GB2312" w:hAnsi="仿宋_GB2312" w:eastAsia="仿宋_GB2312" w:cs="仿宋_GB2312"/>
          <w:color w:val="000000" w:themeColor="text1"/>
          <w:spacing w:val="0"/>
          <w:sz w:val="32"/>
          <w:szCs w:val="32"/>
          <w:lang w:eastAsia="zh-CN"/>
        </w:rPr>
        <w:t>管理条例</w:t>
      </w:r>
      <w:r>
        <w:rPr>
          <w:rFonts w:hint="eastAsia" w:ascii="仿宋_GB2312" w:hAnsi="仿宋_GB2312" w:eastAsia="仿宋_GB2312" w:cs="仿宋_GB2312"/>
          <w:color w:val="000000" w:themeColor="text1"/>
          <w:spacing w:val="0"/>
          <w:sz w:val="32"/>
          <w:szCs w:val="32"/>
        </w:rPr>
        <w:t>》《金华市城市市容和环境卫生管理规定》等法规规章和《生活垃圾分类标志》（GB/T19095-2019）、《城镇生活垃圾分类标志》（DB33/T 1166-2019）、《生活垃圾收运技术规程》（CJJ 205-2013）等标准，以及创建全国文明城市和“垃圾革命”试点城市建设需要，依照浙江省住房和城乡建设厅《关于进一步规范浙江省城市生活垃圾经营性服务管理的实施意见》，结合</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实际，制定本办法</w:t>
      </w:r>
      <w:r>
        <w:rPr>
          <w:rFonts w:hint="eastAsia" w:ascii="仿宋_GB2312" w:hAnsi="仿宋_GB2312" w:eastAsia="仿宋_GB2312" w:cs="仿宋_GB2312"/>
          <w:color w:val="000000" w:themeColor="text1"/>
          <w:spacing w:val="0"/>
          <w:sz w:val="32"/>
          <w:szCs w:val="32"/>
          <w:lang w:eastAsia="zh-CN"/>
        </w:rPr>
        <w:t>，原</w:t>
      </w:r>
      <w:r>
        <w:rPr>
          <w:rFonts w:hint="eastAsia" w:ascii="仿宋_GB2312" w:hAnsi="仿宋_GB2312" w:eastAsia="仿宋_GB2312" w:cs="仿宋_GB2312"/>
          <w:color w:val="auto"/>
          <w:spacing w:val="0"/>
          <w:sz w:val="32"/>
          <w:szCs w:val="32"/>
        </w:rPr>
        <w:t>金市建〔202</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217</w:t>
      </w:r>
      <w:r>
        <w:rPr>
          <w:rFonts w:hint="eastAsia" w:ascii="仿宋_GB2312" w:hAnsi="仿宋_GB2312" w:eastAsia="仿宋_GB2312" w:cs="仿宋_GB2312"/>
          <w:color w:val="auto"/>
          <w:spacing w:val="0"/>
          <w:sz w:val="32"/>
          <w:szCs w:val="32"/>
        </w:rPr>
        <w:t>号</w:t>
      </w:r>
      <w:r>
        <w:rPr>
          <w:rFonts w:hint="eastAsia" w:ascii="仿宋_GB2312" w:hAnsi="仿宋_GB2312" w:eastAsia="仿宋_GB2312" w:cs="仿宋_GB2312"/>
          <w:color w:val="auto"/>
          <w:spacing w:val="0"/>
          <w:sz w:val="32"/>
          <w:szCs w:val="32"/>
          <w:lang w:eastAsia="zh-CN"/>
        </w:rPr>
        <w:t>文件废止</w:t>
      </w:r>
      <w:r>
        <w:rPr>
          <w:rFonts w:hint="eastAsia" w:ascii="仿宋_GB2312" w:hAnsi="仿宋_GB2312" w:eastAsia="仿宋_GB2312" w:cs="仿宋_GB2312"/>
          <w:color w:val="000000" w:themeColor="text1"/>
          <w:spacing w:val="0"/>
          <w:sz w:val="32"/>
          <w:szCs w:val="32"/>
        </w:rPr>
        <w:t>。</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黑体" w:hAnsi="黑体" w:eastAsia="黑体" w:cs="黑体"/>
          <w:color w:val="000000" w:themeColor="text1"/>
          <w:spacing w:val="0"/>
          <w:sz w:val="32"/>
          <w:szCs w:val="32"/>
        </w:rPr>
      </w:pPr>
      <w:r>
        <w:rPr>
          <w:rFonts w:hint="eastAsia" w:ascii="黑体" w:hAnsi="黑体" w:eastAsia="黑体" w:cs="黑体"/>
          <w:color w:val="000000" w:themeColor="text1"/>
          <w:spacing w:val="0"/>
          <w:sz w:val="32"/>
          <w:szCs w:val="32"/>
        </w:rPr>
        <w:t>一、总则</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生活垃圾分类收集运输服务实行服务许可制度，</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住房和城乡建设局负责制定生活垃圾分类收集运输服务许可和考核标准以及审核发证。</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黑体" w:hAnsi="黑体" w:eastAsia="黑体" w:cs="黑体"/>
          <w:color w:val="000000" w:themeColor="text1"/>
          <w:spacing w:val="0"/>
          <w:sz w:val="32"/>
          <w:szCs w:val="32"/>
        </w:rPr>
      </w:pPr>
      <w:r>
        <w:rPr>
          <w:rFonts w:hint="eastAsia" w:ascii="黑体" w:hAnsi="黑体" w:eastAsia="黑体" w:cs="黑体"/>
          <w:color w:val="000000" w:themeColor="text1"/>
          <w:spacing w:val="0"/>
          <w:sz w:val="32"/>
          <w:szCs w:val="32"/>
        </w:rPr>
        <w:t>二、适用范围</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本办法适用于</w:t>
      </w:r>
      <w:r>
        <w:rPr>
          <w:rFonts w:hint="eastAsia" w:ascii="仿宋_GB2312" w:hAnsi="仿宋_GB2312" w:eastAsia="仿宋_GB2312" w:cs="仿宋_GB2312"/>
          <w:color w:val="000000" w:themeColor="text1"/>
          <w:spacing w:val="0"/>
          <w:sz w:val="32"/>
          <w:szCs w:val="32"/>
          <w:lang w:val="en-US" w:eastAsia="zh-CN"/>
        </w:rPr>
        <w:t>婺城区范围</w:t>
      </w:r>
      <w:r>
        <w:rPr>
          <w:rFonts w:hint="eastAsia" w:ascii="仿宋_GB2312" w:hAnsi="仿宋_GB2312" w:eastAsia="仿宋_GB2312" w:cs="仿宋_GB2312"/>
          <w:color w:val="000000" w:themeColor="text1"/>
          <w:spacing w:val="0"/>
          <w:sz w:val="32"/>
          <w:szCs w:val="32"/>
        </w:rPr>
        <w:t>。</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黑体" w:hAnsi="黑体" w:eastAsia="黑体" w:cs="黑体"/>
          <w:color w:val="000000" w:themeColor="text1"/>
          <w:spacing w:val="0"/>
          <w:sz w:val="32"/>
          <w:szCs w:val="32"/>
        </w:rPr>
      </w:pPr>
      <w:r>
        <w:rPr>
          <w:rFonts w:hint="eastAsia" w:ascii="黑体" w:hAnsi="黑体" w:eastAsia="黑体" w:cs="黑体"/>
          <w:color w:val="000000" w:themeColor="text1"/>
          <w:spacing w:val="0"/>
          <w:sz w:val="32"/>
          <w:szCs w:val="32"/>
        </w:rPr>
        <w:t>三、具备条件</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申请从事生活垃圾分类收集运输服务的单位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，应当具备以下条件：</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楷体_GB2312" w:hAnsi="楷体_GB2312" w:eastAsia="楷体_GB2312" w:cs="楷体_GB2312"/>
          <w:b w:val="0"/>
          <w:bCs w:val="0"/>
          <w:color w:val="000000" w:themeColor="text1"/>
          <w:spacing w:val="0"/>
          <w:sz w:val="32"/>
          <w:szCs w:val="32"/>
        </w:rPr>
      </w:pPr>
      <w:r>
        <w:rPr>
          <w:rFonts w:hint="eastAsia" w:ascii="楷体_GB2312" w:hAnsi="楷体_GB2312" w:eastAsia="楷体_GB2312" w:cs="楷体_GB2312"/>
          <w:b w:val="0"/>
          <w:bCs w:val="0"/>
          <w:color w:val="000000" w:themeColor="text1"/>
          <w:spacing w:val="0"/>
          <w:sz w:val="32"/>
          <w:szCs w:val="32"/>
        </w:rPr>
        <w:t>（一）一般要求</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1.在市场监督管理局注册，取得《营业执照》，经营范围包含城市生活垃圾经营性收集、运输服务项目。</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2.具有固定的封闭停车场，</w:t>
      </w:r>
      <w:r>
        <w:rPr>
          <w:rFonts w:hint="eastAsia" w:ascii="仿宋_GB2312" w:hAnsi="仿宋_GB2312" w:eastAsia="仿宋_GB2312" w:cs="仿宋_GB2312"/>
          <w:color w:val="000000" w:themeColor="text1"/>
          <w:spacing w:val="0"/>
          <w:sz w:val="32"/>
          <w:szCs w:val="32"/>
          <w:lang w:val="en-US" w:eastAsia="zh-CN"/>
        </w:rPr>
        <w:t>停车场</w:t>
      </w:r>
      <w:r>
        <w:rPr>
          <w:rFonts w:hint="eastAsia" w:ascii="仿宋_GB2312" w:hAnsi="仿宋_GB2312" w:eastAsia="仿宋_GB2312" w:cs="仿宋_GB2312"/>
          <w:color w:val="000000" w:themeColor="text1"/>
          <w:spacing w:val="0"/>
          <w:sz w:val="32"/>
          <w:szCs w:val="32"/>
        </w:rPr>
        <w:t>可租赁，租赁期限满足合同服务年限要求。</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lang w:eastAsia="zh-CN"/>
        </w:rPr>
      </w:pPr>
      <w:r>
        <w:rPr>
          <w:rFonts w:hint="eastAsia" w:ascii="仿宋_GB2312" w:hAnsi="仿宋_GB2312" w:eastAsia="仿宋_GB2312" w:cs="仿宋_GB2312"/>
          <w:color w:val="000000" w:themeColor="text1"/>
          <w:spacing w:val="0"/>
          <w:sz w:val="32"/>
          <w:szCs w:val="32"/>
        </w:rPr>
        <w:t>3.与经营规模相匹配的办公场所、停车场</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rPr>
        <w:t>办公场所、停车场可租赁，租赁期限满足合同服务年限要求。</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4.具备完善的行政</w:t>
      </w:r>
      <w:r>
        <w:rPr>
          <w:rFonts w:hint="eastAsia" w:ascii="仿宋_GB2312" w:hAnsi="仿宋_GB2312" w:eastAsia="仿宋_GB2312" w:cs="仿宋_GB2312"/>
          <w:color w:val="000000" w:themeColor="text1"/>
          <w:spacing w:val="0"/>
          <w:sz w:val="32"/>
          <w:szCs w:val="32"/>
          <w:lang w:val="en-US" w:eastAsia="zh-CN"/>
        </w:rPr>
        <w:t>制度</w:t>
      </w:r>
      <w:r>
        <w:rPr>
          <w:rFonts w:hint="eastAsia" w:ascii="仿宋_GB2312" w:hAnsi="仿宋_GB2312" w:eastAsia="仿宋_GB2312" w:cs="仿宋_GB2312"/>
          <w:color w:val="000000" w:themeColor="text1"/>
          <w:spacing w:val="0"/>
          <w:sz w:val="32"/>
          <w:szCs w:val="32"/>
        </w:rPr>
        <w:t>、安全生产、质量管理、车辆设备及教育培训等管理制度及相应岗位人员。</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5.制定有科学合理的应对特殊天气、重大事故或自然灾害应急预案。</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6.法律、法规规定的其他条件。</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楷体_GB2312" w:hAnsi="楷体_GB2312" w:eastAsia="楷体_GB2312" w:cs="楷体_GB2312"/>
          <w:b w:val="0"/>
          <w:bCs w:val="0"/>
          <w:color w:val="000000" w:themeColor="text1"/>
          <w:spacing w:val="0"/>
          <w:sz w:val="32"/>
          <w:szCs w:val="32"/>
        </w:rPr>
      </w:pPr>
      <w:r>
        <w:rPr>
          <w:rFonts w:hint="eastAsia" w:ascii="楷体_GB2312" w:hAnsi="楷体_GB2312" w:eastAsia="楷体_GB2312" w:cs="楷体_GB2312"/>
          <w:b w:val="0"/>
          <w:bCs w:val="0"/>
          <w:color w:val="000000" w:themeColor="text1"/>
          <w:spacing w:val="0"/>
          <w:sz w:val="32"/>
          <w:szCs w:val="32"/>
        </w:rPr>
        <w:t>（二）车辆及设备基本要求</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1.机动车辆</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（1）</w:t>
      </w:r>
      <w:r>
        <w:rPr>
          <w:rFonts w:hint="eastAsia" w:ascii="仿宋_GB2312" w:hAnsi="仿宋_GB2312" w:eastAsia="仿宋_GB2312" w:cs="仿宋_GB2312"/>
          <w:color w:val="000000" w:themeColor="text1"/>
          <w:spacing w:val="0"/>
          <w:sz w:val="32"/>
          <w:szCs w:val="32"/>
          <w:lang w:val="en-US" w:eastAsia="zh-CN"/>
        </w:rPr>
        <w:t>按《</w:t>
      </w:r>
      <w:r>
        <w:rPr>
          <w:rFonts w:hint="eastAsia" w:ascii="仿宋_GB2312" w:hAnsi="仿宋_GB2312" w:eastAsia="仿宋_GB2312" w:cs="仿宋_GB2312"/>
          <w:color w:val="000000" w:themeColor="text1"/>
          <w:spacing w:val="0"/>
          <w:sz w:val="32"/>
          <w:szCs w:val="32"/>
        </w:rPr>
        <w:t>金华市城乡生活垃圾治理工作实施方案</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要求</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rPr>
        <w:t>生活垃圾分类收集运输机动车辆须满足</w:t>
      </w:r>
      <w:r>
        <w:rPr>
          <w:rFonts w:hint="eastAsia" w:ascii="仿宋_GB2312" w:hAnsi="仿宋_GB2312" w:eastAsia="仿宋_GB2312" w:cs="仿宋_GB2312"/>
          <w:color w:val="000000" w:themeColor="text1"/>
          <w:spacing w:val="0"/>
          <w:sz w:val="32"/>
          <w:szCs w:val="32"/>
          <w:lang w:val="en-US" w:eastAsia="zh-CN"/>
        </w:rPr>
        <w:t>垃圾分类</w:t>
      </w:r>
      <w:r>
        <w:rPr>
          <w:rFonts w:hint="eastAsia" w:ascii="仿宋_GB2312" w:hAnsi="仿宋_GB2312" w:eastAsia="仿宋_GB2312" w:cs="仿宋_GB2312"/>
          <w:color w:val="000000" w:themeColor="text1"/>
          <w:spacing w:val="0"/>
          <w:sz w:val="32"/>
          <w:szCs w:val="32"/>
        </w:rPr>
        <w:t>需求，符合专业车辆要求。</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（2）所属机动车辆、设备必须注册在本单位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名下，并在金华市辖区公安、交通等部门取得相应证照。</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（3）机动车辆属于生活垃圾分类密闭运输的专用车辆，具有防臭味扩散、防遗撒、防渗滤液滴漏等功能。</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（4）机动车辆外观应与垃圾类别、分类容器颜色及标志对应，按照城镇生活垃圾分类要求，统一喷印单位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名称、车辆编号、分类标志、监督电话（</w:t>
      </w:r>
      <w:r>
        <w:rPr>
          <w:rFonts w:hint="eastAsia" w:ascii="仿宋_GB2312" w:hAnsi="仿宋_GB2312" w:eastAsia="仿宋_GB2312" w:cs="仿宋_GB2312"/>
          <w:color w:val="000000" w:themeColor="text1"/>
          <w:spacing w:val="0"/>
          <w:sz w:val="32"/>
          <w:szCs w:val="32"/>
          <w:lang w:val="en-US" w:eastAsia="zh-CN"/>
        </w:rPr>
        <w:t>婺城区环境卫生服务中心业务科83020182</w:t>
      </w:r>
      <w:r>
        <w:rPr>
          <w:rFonts w:hint="eastAsia" w:ascii="仿宋_GB2312" w:hAnsi="仿宋_GB2312" w:eastAsia="仿宋_GB2312" w:cs="仿宋_GB2312"/>
          <w:color w:val="000000" w:themeColor="text1"/>
          <w:spacing w:val="0"/>
          <w:sz w:val="32"/>
          <w:szCs w:val="32"/>
        </w:rPr>
        <w:t>）和金华城市标志，分类标志的样式和颜色符合现行国家生活垃圾分类标志（GB/T19095－2019）和浙江省城镇生活垃圾分类标准（DB33/T1166－2019）的规定。</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金华城市标志规格颜色按规定设置，定位在车厢前上角。</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分类运输车辆箱</w:t>
      </w:r>
      <w:r>
        <w:rPr>
          <w:rFonts w:hint="eastAsia" w:ascii="仿宋_GB2312" w:hAnsi="仿宋_GB2312" w:eastAsia="仿宋_GB2312" w:cs="仿宋_GB2312"/>
          <w:b w:val="0"/>
          <w:bCs w:val="0"/>
          <w:color w:val="000000" w:themeColor="text1"/>
          <w:spacing w:val="0"/>
          <w:sz w:val="32"/>
          <w:szCs w:val="32"/>
        </w:rPr>
        <w:t>体上标志框外箱体颜色：其他垃圾采用灰色、易腐垃圾采用绿色，有害垃圾采用红色，可回收物采用蓝色；标志框内颜色：统一采用</w:t>
      </w:r>
      <w:r>
        <w:rPr>
          <w:rFonts w:hint="eastAsia" w:ascii="仿宋_GB2312" w:hAnsi="仿宋_GB2312" w:eastAsia="仿宋_GB2312" w:cs="仿宋_GB2312"/>
          <w:color w:val="000000" w:themeColor="text1"/>
          <w:spacing w:val="0"/>
          <w:sz w:val="32"/>
          <w:szCs w:val="32"/>
        </w:rPr>
        <w:t>国家标准规定的标志色和白底配色方案。</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分类运输车辆标志采用横式图文组合，标志尺寸按国家标准执行，具体详见附件2。</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（5）机动车辆粘贴反光标贴，安装具有反光功能的放大号牌。安装符合国家标准的卫星定位系统、行车及装卸记录仪等设备，相应数据信息接入</w:t>
      </w:r>
      <w:r>
        <w:rPr>
          <w:rFonts w:hint="eastAsia" w:ascii="仿宋_GB2312" w:hAnsi="仿宋_GB2312" w:eastAsia="仿宋_GB2312" w:cs="仿宋_GB2312"/>
          <w:color w:val="000000" w:themeColor="text1"/>
          <w:spacing w:val="0"/>
          <w:sz w:val="32"/>
          <w:szCs w:val="32"/>
          <w:lang w:val="en-US" w:eastAsia="zh-CN"/>
        </w:rPr>
        <w:t>婺城区环卫</w:t>
      </w:r>
      <w:r>
        <w:rPr>
          <w:rFonts w:hint="eastAsia" w:ascii="仿宋_GB2312" w:hAnsi="仿宋_GB2312" w:eastAsia="仿宋_GB2312" w:cs="仿宋_GB2312"/>
          <w:color w:val="000000" w:themeColor="text1"/>
          <w:spacing w:val="0"/>
          <w:sz w:val="32"/>
          <w:szCs w:val="32"/>
        </w:rPr>
        <w:t>智慧监管平台。</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2.非机动车辆</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（1）生活垃圾分类收集车辆须满足</w:t>
      </w:r>
      <w:r>
        <w:rPr>
          <w:rFonts w:hint="eastAsia" w:ascii="仿宋_GB2312" w:hAnsi="仿宋_GB2312" w:eastAsia="仿宋_GB2312" w:cs="仿宋_GB2312"/>
          <w:color w:val="000000" w:themeColor="text1"/>
          <w:spacing w:val="0"/>
          <w:sz w:val="32"/>
          <w:szCs w:val="32"/>
          <w:lang w:val="en-US" w:eastAsia="zh-CN"/>
        </w:rPr>
        <w:t>垃圾分类</w:t>
      </w:r>
      <w:r>
        <w:rPr>
          <w:rFonts w:hint="eastAsia" w:ascii="仿宋_GB2312" w:hAnsi="仿宋_GB2312" w:eastAsia="仿宋_GB2312" w:cs="仿宋_GB2312"/>
          <w:color w:val="000000" w:themeColor="text1"/>
          <w:spacing w:val="0"/>
          <w:sz w:val="32"/>
          <w:szCs w:val="32"/>
        </w:rPr>
        <w:t>需求。</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（2）收集车辆必须具有防臭味扩散、防遗撒、防渗滤液滴漏等功能。</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（3）非机动车辆外观应与垃圾类别、分类容器颜色及标志对应，按照城镇生活垃圾分类要求，统一喷印单位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名称、车辆编号、分类标志、监督电话（</w:t>
      </w:r>
      <w:r>
        <w:rPr>
          <w:rFonts w:hint="eastAsia" w:ascii="仿宋_GB2312" w:hAnsi="仿宋_GB2312" w:eastAsia="仿宋_GB2312" w:cs="仿宋_GB2312"/>
          <w:color w:val="000000" w:themeColor="text1"/>
          <w:spacing w:val="0"/>
          <w:sz w:val="32"/>
          <w:szCs w:val="32"/>
          <w:lang w:val="en-US" w:eastAsia="zh-CN"/>
        </w:rPr>
        <w:t>婺城区环境卫生服务中心业务科83020182</w:t>
      </w:r>
      <w:r>
        <w:rPr>
          <w:rFonts w:hint="eastAsia" w:ascii="仿宋_GB2312" w:hAnsi="仿宋_GB2312" w:eastAsia="仿宋_GB2312" w:cs="仿宋_GB2312"/>
          <w:color w:val="000000" w:themeColor="text1"/>
          <w:spacing w:val="0"/>
          <w:sz w:val="32"/>
          <w:szCs w:val="32"/>
        </w:rPr>
        <w:t>）和金华城市标志，分类标志的样式和颜色符合现行国家生活垃圾分类标志（GB/T19095－2019）和浙江省城镇生活垃圾分类标准（DB33/T1166－2019）的规定。具体详见附件2。</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（4）车身粘贴反光标贴。</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（三）对服务单位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机构和人员的要求：</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1.经营管理体系健全，组织结构设置合理，有专业的经营管理队伍。</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2.驾驶、操作人员数量与车辆、设备至少按1:1的比例配置。</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黑体" w:hAnsi="黑体" w:eastAsia="黑体" w:cs="黑体"/>
          <w:color w:val="000000" w:themeColor="text1"/>
          <w:spacing w:val="0"/>
          <w:sz w:val="32"/>
          <w:szCs w:val="32"/>
        </w:rPr>
      </w:pPr>
      <w:r>
        <w:rPr>
          <w:rFonts w:hint="eastAsia" w:ascii="黑体" w:hAnsi="黑体" w:eastAsia="黑体" w:cs="黑体"/>
          <w:color w:val="000000" w:themeColor="text1"/>
          <w:spacing w:val="0"/>
          <w:sz w:val="32"/>
          <w:szCs w:val="32"/>
        </w:rPr>
        <w:t>四、申报材料</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 xml:space="preserve">（一）《城市生活垃圾经营性清扫、收集、运输服务许可申请表》。 </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（二）《营业执照》、《法人身份证复印件》、《道路运输经营许可证》（只限于企业）。</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（三）《机动车车辆行驶证》、《驾驶证》。</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（四）劳动合同复印件、社会保险凭证。</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（五）办公场所、停车场所产权或租赁相关材料。</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（六）管理制度及应急预案。</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黑体" w:hAnsi="黑体" w:eastAsia="黑体" w:cs="黑体"/>
          <w:color w:val="000000" w:themeColor="text1"/>
          <w:spacing w:val="0"/>
          <w:sz w:val="32"/>
          <w:szCs w:val="32"/>
        </w:rPr>
      </w:pPr>
      <w:r>
        <w:rPr>
          <w:rFonts w:hint="eastAsia" w:ascii="黑体" w:hAnsi="黑体" w:eastAsia="黑体" w:cs="黑体"/>
          <w:color w:val="000000" w:themeColor="text1"/>
          <w:spacing w:val="0"/>
          <w:sz w:val="32"/>
          <w:szCs w:val="32"/>
        </w:rPr>
        <w:t>五、核准程序</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（一）提交申请材料：服务单位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持申报材料的书面和电子文档，向</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住房和城乡建设局提出申请。</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（二）受理和审查核准：由</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住房和城乡建设局审批处负责受理和审查核准，</w:t>
      </w:r>
      <w:r>
        <w:rPr>
          <w:rFonts w:hint="eastAsia" w:ascii="仿宋_GB2312" w:hAnsi="仿宋_GB2312" w:eastAsia="仿宋_GB2312" w:cs="仿宋_GB2312"/>
          <w:color w:val="000000" w:themeColor="text1"/>
          <w:spacing w:val="0"/>
          <w:sz w:val="32"/>
          <w:szCs w:val="32"/>
          <w:highlight w:val="none"/>
          <w:lang w:val="en-US" w:eastAsia="zh-CN"/>
        </w:rPr>
        <w:t>婺城区环境卫生</w:t>
      </w:r>
      <w:r>
        <w:rPr>
          <w:rFonts w:hint="eastAsia" w:ascii="仿宋_GB2312" w:hAnsi="仿宋_GB2312" w:eastAsia="仿宋_GB2312" w:cs="仿宋_GB2312"/>
          <w:color w:val="000000" w:themeColor="text1"/>
          <w:spacing w:val="0"/>
          <w:sz w:val="32"/>
          <w:szCs w:val="32"/>
          <w:highlight w:val="none"/>
        </w:rPr>
        <w:t>服务中心</w:t>
      </w:r>
      <w:r>
        <w:rPr>
          <w:rFonts w:hint="eastAsia" w:ascii="仿宋_GB2312" w:hAnsi="仿宋_GB2312" w:eastAsia="仿宋_GB2312" w:cs="仿宋_GB2312"/>
          <w:color w:val="000000" w:themeColor="text1"/>
          <w:spacing w:val="0"/>
          <w:sz w:val="32"/>
          <w:szCs w:val="32"/>
          <w:highlight w:val="none"/>
          <w:lang w:val="en-US" w:eastAsia="zh-CN"/>
        </w:rPr>
        <w:t>受理</w:t>
      </w:r>
      <w:r>
        <w:rPr>
          <w:rFonts w:hint="eastAsia" w:ascii="仿宋_GB2312" w:hAnsi="仿宋_GB2312" w:eastAsia="仿宋_GB2312" w:cs="仿宋_GB2312"/>
          <w:color w:val="000000" w:themeColor="text1"/>
          <w:spacing w:val="0"/>
          <w:sz w:val="32"/>
          <w:szCs w:val="32"/>
          <w:highlight w:val="none"/>
        </w:rPr>
        <w:t>书面审查及现场核实，受理地点为</w:t>
      </w:r>
      <w:r>
        <w:rPr>
          <w:rFonts w:hint="eastAsia" w:ascii="仿宋_GB2312" w:hAnsi="仿宋_GB2312" w:eastAsia="仿宋_GB2312" w:cs="仿宋_GB2312"/>
          <w:color w:val="000000" w:themeColor="text1"/>
          <w:spacing w:val="0"/>
          <w:sz w:val="32"/>
          <w:szCs w:val="32"/>
          <w:highlight w:val="none"/>
          <w:lang w:val="en-US" w:eastAsia="zh-CN"/>
        </w:rPr>
        <w:t>婺城区环境卫生服务中心。</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（三）审批核准时限：自确认受理后5个工作日内完成审批。</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（四）发证：</w:t>
      </w:r>
      <w:r>
        <w:rPr>
          <w:rFonts w:hint="eastAsia" w:ascii="仿宋_GB2312" w:hAnsi="仿宋_GB2312" w:eastAsia="仿宋_GB2312" w:cs="仿宋_GB2312"/>
          <w:color w:val="000000" w:themeColor="text1"/>
          <w:spacing w:val="0"/>
          <w:sz w:val="32"/>
          <w:szCs w:val="32"/>
          <w:lang w:val="en-US" w:eastAsia="zh-CN"/>
        </w:rPr>
        <w:t>婺城区环境卫生中心</w:t>
      </w:r>
      <w:r>
        <w:rPr>
          <w:rFonts w:hint="eastAsia" w:ascii="仿宋_GB2312" w:hAnsi="仿宋_GB2312" w:eastAsia="仿宋_GB2312" w:cs="仿宋_GB2312"/>
          <w:color w:val="000000" w:themeColor="text1"/>
          <w:spacing w:val="0"/>
          <w:sz w:val="32"/>
          <w:szCs w:val="32"/>
        </w:rPr>
        <w:t>领取或由</w:t>
      </w:r>
      <w:r>
        <w:rPr>
          <w:rFonts w:hint="eastAsia" w:ascii="仿宋_GB2312" w:hAnsi="仿宋_GB2312" w:eastAsia="仿宋_GB2312" w:cs="仿宋_GB2312"/>
          <w:color w:val="000000" w:themeColor="text1"/>
          <w:spacing w:val="0"/>
          <w:sz w:val="32"/>
          <w:szCs w:val="32"/>
          <w:lang w:val="en-US" w:eastAsia="zh-CN"/>
        </w:rPr>
        <w:t>婺城区环境卫生中心</w:t>
      </w:r>
      <w:r>
        <w:rPr>
          <w:rFonts w:hint="eastAsia" w:ascii="仿宋_GB2312" w:hAnsi="仿宋_GB2312" w:eastAsia="仿宋_GB2312" w:cs="仿宋_GB2312"/>
          <w:color w:val="000000" w:themeColor="text1"/>
          <w:spacing w:val="0"/>
          <w:sz w:val="32"/>
          <w:szCs w:val="32"/>
        </w:rPr>
        <w:t>人员邮寄送达。</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黑体" w:hAnsi="黑体" w:eastAsia="黑体" w:cs="黑体"/>
          <w:color w:val="000000" w:themeColor="text1"/>
          <w:spacing w:val="0"/>
          <w:sz w:val="32"/>
          <w:szCs w:val="32"/>
        </w:rPr>
      </w:pPr>
      <w:r>
        <w:rPr>
          <w:rFonts w:hint="eastAsia" w:ascii="黑体" w:hAnsi="黑体" w:eastAsia="黑体" w:cs="黑体"/>
          <w:color w:val="000000" w:themeColor="text1"/>
          <w:spacing w:val="0"/>
          <w:sz w:val="32"/>
          <w:szCs w:val="32"/>
        </w:rPr>
        <w:t>六、考核管理</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（一）按照《金华市</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生活垃圾分类收集运输服务单位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考核细则》对服务单位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实施年度考核。</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年度考核实行评分制，分值为100分，考核周期为一个日历年。年度考核扣减至一定分值时，由主管部门</w:t>
      </w:r>
      <w:r>
        <w:rPr>
          <w:rFonts w:hint="eastAsia" w:ascii="仿宋_GB2312" w:hAnsi="仿宋_GB2312" w:eastAsia="仿宋_GB2312" w:cs="仿宋_GB2312"/>
          <w:color w:val="000000" w:themeColor="text1"/>
          <w:spacing w:val="0"/>
          <w:sz w:val="32"/>
          <w:szCs w:val="32"/>
          <w:lang w:eastAsia="zh-CN"/>
        </w:rPr>
        <w:t>给予相应处理</w:t>
      </w:r>
      <w:r>
        <w:rPr>
          <w:rFonts w:hint="eastAsia" w:ascii="仿宋_GB2312" w:hAnsi="仿宋_GB2312" w:eastAsia="仿宋_GB2312" w:cs="仿宋_GB2312"/>
          <w:color w:val="000000" w:themeColor="text1"/>
          <w:spacing w:val="0"/>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1.年度评分在70-79分的，由主管部门约谈服务单位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负责人；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2.年度评分在60-69分的，由主管部门</w:t>
      </w:r>
      <w:r>
        <w:rPr>
          <w:rFonts w:hint="eastAsia" w:ascii="仿宋_GB2312" w:hAnsi="仿宋_GB2312" w:eastAsia="仿宋_GB2312" w:cs="仿宋_GB2312"/>
          <w:color w:val="000000" w:themeColor="text1"/>
          <w:spacing w:val="0"/>
          <w:sz w:val="32"/>
          <w:szCs w:val="32"/>
          <w:lang w:eastAsia="zh-CN"/>
        </w:rPr>
        <w:t>责令</w:t>
      </w:r>
      <w:r>
        <w:rPr>
          <w:rFonts w:hint="eastAsia" w:ascii="仿宋_GB2312" w:hAnsi="仿宋_GB2312" w:eastAsia="仿宋_GB2312" w:cs="仿宋_GB2312"/>
          <w:color w:val="000000" w:themeColor="text1"/>
          <w:spacing w:val="0"/>
          <w:sz w:val="32"/>
          <w:szCs w:val="32"/>
        </w:rPr>
        <w:t>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组织内部学习</w:t>
      </w:r>
      <w:r>
        <w:rPr>
          <w:rFonts w:hint="eastAsia" w:ascii="仿宋_GB2312" w:hAnsi="仿宋_GB2312" w:eastAsia="仿宋_GB2312" w:cs="仿宋_GB2312"/>
          <w:color w:val="000000" w:themeColor="text1"/>
          <w:spacing w:val="0"/>
          <w:sz w:val="32"/>
          <w:szCs w:val="32"/>
          <w:lang w:eastAsia="zh-CN"/>
        </w:rPr>
        <w:t>，组织学习情况须报备</w:t>
      </w:r>
      <w:r>
        <w:rPr>
          <w:rFonts w:hint="eastAsia" w:ascii="仿宋_GB2312" w:hAnsi="仿宋_GB2312" w:eastAsia="仿宋_GB2312" w:cs="仿宋_GB2312"/>
          <w:color w:val="000000" w:themeColor="text1"/>
          <w:spacing w:val="0"/>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3.年度评分低于60分的，由</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住房和城乡建设局责令服务单位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整改，整改期间不得承接新的生活垃圾分类收集运输项目，已承接的项目继续完成</w:t>
      </w:r>
      <w:r>
        <w:rPr>
          <w:rFonts w:hint="eastAsia" w:ascii="仿宋_GB2312" w:hAnsi="仿宋_GB2312" w:eastAsia="仿宋_GB2312" w:cs="仿宋_GB2312"/>
          <w:color w:val="000000" w:themeColor="text1"/>
          <w:spacing w:val="0"/>
          <w:sz w:val="32"/>
          <w:szCs w:val="32"/>
          <w:lang w:eastAsia="zh-CN"/>
        </w:rPr>
        <w:t>，整改完成后须形成整改报告并报主管部门查验，合格后可恢复正常经营</w:t>
      </w:r>
      <w:r>
        <w:rPr>
          <w:rFonts w:hint="eastAsia" w:ascii="仿宋_GB2312" w:hAnsi="仿宋_GB2312" w:eastAsia="仿宋_GB2312" w:cs="仿宋_GB2312"/>
          <w:color w:val="000000" w:themeColor="text1"/>
          <w:spacing w:val="0"/>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lang w:eastAsia="zh-CN"/>
        </w:rPr>
      </w:pPr>
      <w:r>
        <w:rPr>
          <w:rFonts w:hint="eastAsia" w:ascii="仿宋_GB2312" w:hAnsi="仿宋_GB2312" w:eastAsia="仿宋_GB2312" w:cs="仿宋_GB2312"/>
          <w:color w:val="000000" w:themeColor="text1"/>
          <w:spacing w:val="0"/>
          <w:sz w:val="32"/>
          <w:szCs w:val="32"/>
        </w:rPr>
        <w:t>（三）年度考核分为优秀、合格、不合格三类。考核成绩在90分以上的为优秀；考核成绩在60分至89分之间的为合格；考核成绩在60分以下的为不合格，由</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住房和城乡建设局责令服务单位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整改，规定期限内整改仍未达到条件，</w:t>
      </w:r>
      <w:r>
        <w:rPr>
          <w:rFonts w:hint="eastAsia" w:ascii="仿宋_GB2312" w:hAnsi="仿宋_GB2312" w:eastAsia="仿宋_GB2312" w:cs="仿宋_GB2312"/>
          <w:color w:val="000000" w:themeColor="text1"/>
          <w:spacing w:val="0"/>
          <w:sz w:val="32"/>
          <w:szCs w:val="32"/>
          <w:lang w:eastAsia="zh-CN"/>
        </w:rPr>
        <w:t>且有未履行《城市生活垃圾管理办法》二十条义务的，按照《城市生活垃圾管理办法》第四十五条的规定予以行政处罚，并对经营协议期满后参与生活垃圾收运项目招投标等公平竞争活动产生影响</w:t>
      </w:r>
      <w:r>
        <w:rPr>
          <w:rFonts w:hint="eastAsia" w:ascii="仿宋_GB2312" w:hAnsi="仿宋_GB2312" w:eastAsia="仿宋_GB2312" w:cs="仿宋_GB2312"/>
          <w:color w:val="000000" w:themeColor="text1"/>
          <w:spacing w:val="0"/>
          <w:sz w:val="32"/>
          <w:szCs w:val="32"/>
        </w:rPr>
        <w:t>。</w:t>
      </w:r>
      <w:r>
        <w:rPr>
          <w:rFonts w:hint="eastAsia" w:ascii="仿宋_GB2312" w:hAnsi="仿宋_GB2312" w:eastAsia="仿宋_GB2312" w:cs="仿宋_GB2312"/>
          <w:color w:val="000000" w:themeColor="text1"/>
          <w:spacing w:val="0"/>
          <w:sz w:val="32"/>
          <w:szCs w:val="32"/>
          <w:lang w:eastAsia="zh-CN"/>
        </w:rPr>
        <w:t>”</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生活垃圾分类收集运输发包主体包括区政府、街道（乡镇）办事处、社区、物业企业，要求在标书编制阶段将收集运输要求报</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住房和城乡建设局审核，</w:t>
      </w:r>
      <w:r>
        <w:rPr>
          <w:rFonts w:hint="eastAsia" w:ascii="仿宋_GB2312" w:hAnsi="仿宋_GB2312" w:eastAsia="仿宋_GB2312" w:cs="仿宋_GB2312"/>
          <w:color w:val="000000" w:themeColor="text1"/>
          <w:spacing w:val="0"/>
          <w:sz w:val="32"/>
          <w:szCs w:val="32"/>
          <w:lang w:val="en-US" w:eastAsia="zh-CN"/>
        </w:rPr>
        <w:t>婺城区环境卫生</w:t>
      </w:r>
      <w:r>
        <w:rPr>
          <w:rFonts w:hint="eastAsia" w:ascii="仿宋_GB2312" w:hAnsi="仿宋_GB2312" w:eastAsia="仿宋_GB2312" w:cs="仿宋_GB2312"/>
          <w:color w:val="000000" w:themeColor="text1"/>
          <w:spacing w:val="0"/>
          <w:sz w:val="32"/>
          <w:szCs w:val="32"/>
        </w:rPr>
        <w:t>服务中心受委托具体实施，主要内容包括生活垃圾运输处置去向（转运站、焚烧厂</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厨余处理中心等</w:t>
      </w:r>
      <w:r>
        <w:rPr>
          <w:rFonts w:hint="eastAsia" w:ascii="仿宋_GB2312" w:hAnsi="仿宋_GB2312" w:eastAsia="仿宋_GB2312" w:cs="仿宋_GB2312"/>
          <w:color w:val="000000" w:themeColor="text1"/>
          <w:spacing w:val="0"/>
          <w:sz w:val="32"/>
          <w:szCs w:val="32"/>
        </w:rPr>
        <w:t>）、清运次数、车辆配置（分类收运、标志标识、车身颜色）等。发包项目分类运输执行情况将纳入</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环境卫生管理考评。</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黑体" w:hAnsi="黑体" w:eastAsia="黑体" w:cs="黑体"/>
          <w:color w:val="000000" w:themeColor="text1"/>
          <w:spacing w:val="0"/>
          <w:sz w:val="32"/>
          <w:szCs w:val="32"/>
        </w:rPr>
      </w:pPr>
      <w:r>
        <w:rPr>
          <w:rFonts w:hint="eastAsia" w:ascii="黑体" w:hAnsi="黑体" w:eastAsia="黑体" w:cs="黑体"/>
          <w:color w:val="000000" w:themeColor="text1"/>
          <w:spacing w:val="0"/>
          <w:sz w:val="32"/>
          <w:szCs w:val="32"/>
          <w:lang w:eastAsia="zh-CN"/>
        </w:rPr>
        <w:t>七</w:t>
      </w:r>
      <w:r>
        <w:rPr>
          <w:rFonts w:hint="eastAsia" w:ascii="黑体" w:hAnsi="黑体" w:eastAsia="黑体" w:cs="黑体"/>
          <w:color w:val="000000" w:themeColor="text1"/>
          <w:spacing w:val="0"/>
          <w:sz w:val="32"/>
          <w:szCs w:val="32"/>
        </w:rPr>
        <w:t>、附则</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原招标确定的生活垃圾分类收集运输服务单位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参照本办法执行。</w:t>
      </w:r>
    </w:p>
    <w:p>
      <w:pPr>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本办法自2</w:t>
      </w:r>
      <w:bookmarkStart w:id="0" w:name="_GoBack"/>
      <w:bookmarkEnd w:id="0"/>
      <w:r>
        <w:rPr>
          <w:rFonts w:hint="eastAsia" w:ascii="仿宋_GB2312" w:hAnsi="仿宋_GB2312" w:eastAsia="仿宋_GB2312" w:cs="仿宋_GB2312"/>
          <w:color w:val="000000" w:themeColor="text1"/>
          <w:spacing w:val="0"/>
          <w:sz w:val="32"/>
          <w:szCs w:val="32"/>
        </w:rPr>
        <w:t>02</w:t>
      </w:r>
      <w:r>
        <w:rPr>
          <w:rFonts w:hint="eastAsia" w:ascii="仿宋_GB2312" w:hAnsi="仿宋_GB2312" w:eastAsia="仿宋_GB2312" w:cs="仿宋_GB2312"/>
          <w:color w:val="000000" w:themeColor="text1"/>
          <w:spacing w:val="0"/>
          <w:sz w:val="32"/>
          <w:szCs w:val="32"/>
          <w:lang w:val="en-US" w:eastAsia="zh-CN"/>
        </w:rPr>
        <w:t>3</w:t>
      </w:r>
      <w:r>
        <w:rPr>
          <w:rFonts w:hint="eastAsia" w:ascii="仿宋_GB2312" w:hAnsi="仿宋_GB2312" w:eastAsia="仿宋_GB2312" w:cs="仿宋_GB2312"/>
          <w:color w:val="000000" w:themeColor="text1"/>
          <w:spacing w:val="0"/>
          <w:sz w:val="32"/>
          <w:szCs w:val="32"/>
        </w:rPr>
        <w:t>年</w:t>
      </w:r>
      <w:r>
        <w:rPr>
          <w:rFonts w:hint="eastAsia" w:ascii="仿宋_GB2312" w:hAnsi="仿宋_GB2312" w:eastAsia="仿宋_GB2312" w:cs="仿宋_GB2312"/>
          <w:color w:val="000000" w:themeColor="text1"/>
          <w:spacing w:val="0"/>
          <w:sz w:val="32"/>
          <w:szCs w:val="32"/>
          <w:lang w:val="en-US" w:eastAsia="zh-CN"/>
        </w:rPr>
        <w:t>8</w:t>
      </w:r>
      <w:r>
        <w:rPr>
          <w:rFonts w:hint="eastAsia" w:ascii="仿宋_GB2312" w:hAnsi="仿宋_GB2312" w:eastAsia="仿宋_GB2312" w:cs="仿宋_GB2312"/>
          <w:color w:val="000000" w:themeColor="text1"/>
          <w:spacing w:val="0"/>
          <w:sz w:val="32"/>
          <w:szCs w:val="32"/>
        </w:rPr>
        <w:t>月</w:t>
      </w:r>
      <w:r>
        <w:rPr>
          <w:rFonts w:hint="eastAsia" w:ascii="仿宋_GB2312" w:hAnsi="仿宋_GB2312" w:eastAsia="仿宋_GB2312" w:cs="仿宋_GB2312"/>
          <w:color w:val="000000" w:themeColor="text1"/>
          <w:spacing w:val="0"/>
          <w:sz w:val="32"/>
          <w:szCs w:val="32"/>
          <w:lang w:val="en-US" w:eastAsia="zh-CN"/>
        </w:rPr>
        <w:t>20</w:t>
      </w:r>
      <w:r>
        <w:rPr>
          <w:rFonts w:hint="eastAsia" w:ascii="仿宋_GB2312" w:hAnsi="仿宋_GB2312" w:eastAsia="仿宋_GB2312" w:cs="仿宋_GB2312"/>
          <w:color w:val="000000" w:themeColor="text1"/>
          <w:spacing w:val="0"/>
          <w:sz w:val="32"/>
          <w:szCs w:val="32"/>
        </w:rPr>
        <w:t>日起实施。</w:t>
      </w:r>
    </w:p>
    <w:p>
      <w:pPr>
        <w:keepNext w:val="0"/>
        <w:keepLines w:val="0"/>
        <w:pageBreakBefore w:val="0"/>
        <w:widowControl w:val="0"/>
        <w:kinsoku/>
        <w:wordWrap/>
        <w:overflowPunct/>
        <w:topLinePunct w:val="0"/>
        <w:bidi w:val="0"/>
        <w:snapToGrid/>
        <w:spacing w:after="0" w:line="560" w:lineRule="exact"/>
        <w:ind w:left="1755" w:leftChars="216" w:hanging="1280" w:hangingChars="400"/>
        <w:jc w:val="left"/>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bidi w:val="0"/>
        <w:snapToGrid/>
        <w:spacing w:after="0" w:line="560" w:lineRule="exact"/>
        <w:ind w:firstLine="640" w:firstLineChars="200"/>
        <w:jc w:val="left"/>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附件：</w:t>
      </w:r>
      <w:r>
        <w:rPr>
          <w:rFonts w:hint="eastAsia" w:ascii="仿宋_GB2312" w:hAnsi="仿宋_GB2312" w:eastAsia="仿宋_GB2312" w:cs="仿宋_GB2312"/>
          <w:color w:val="000000" w:themeColor="text1"/>
          <w:spacing w:val="0"/>
          <w:sz w:val="32"/>
          <w:szCs w:val="32"/>
          <w:lang w:val="en-US" w:eastAsia="zh-CN"/>
        </w:rPr>
        <w:t>1.</w:t>
      </w:r>
      <w:r>
        <w:rPr>
          <w:rFonts w:hint="eastAsia" w:ascii="仿宋_GB2312" w:hAnsi="仿宋_GB2312" w:eastAsia="仿宋_GB2312" w:cs="仿宋_GB2312"/>
          <w:color w:val="000000" w:themeColor="text1"/>
          <w:spacing w:val="0"/>
          <w:sz w:val="32"/>
          <w:szCs w:val="32"/>
        </w:rPr>
        <w:t>金华市</w:t>
      </w:r>
      <w:r>
        <w:rPr>
          <w:rFonts w:hint="eastAsia" w:ascii="仿宋_GB2312" w:hAnsi="仿宋_GB2312" w:eastAsia="仿宋_GB2312" w:cs="仿宋_GB2312"/>
          <w:color w:val="000000" w:themeColor="text1"/>
          <w:spacing w:val="0"/>
          <w:sz w:val="32"/>
          <w:szCs w:val="32"/>
          <w:lang w:val="en-US" w:eastAsia="zh-CN"/>
        </w:rPr>
        <w:t>婺城区</w:t>
      </w:r>
      <w:r>
        <w:rPr>
          <w:rFonts w:hint="eastAsia" w:ascii="仿宋_GB2312" w:hAnsi="仿宋_GB2312" w:eastAsia="仿宋_GB2312" w:cs="仿宋_GB2312"/>
          <w:color w:val="000000" w:themeColor="text1"/>
          <w:spacing w:val="0"/>
          <w:sz w:val="32"/>
          <w:szCs w:val="32"/>
        </w:rPr>
        <w:t>生活垃圾分类收集运输服务单位</w:t>
      </w:r>
      <w:r>
        <w:rPr>
          <w:rFonts w:hint="eastAsia" w:ascii="仿宋_GB2312" w:hAnsi="仿宋_GB2312" w:eastAsia="仿宋_GB2312" w:cs="仿宋_GB2312"/>
          <w:color w:val="000000" w:themeColor="text1"/>
          <w:spacing w:val="0"/>
          <w:sz w:val="32"/>
          <w:szCs w:val="32"/>
          <w:lang w:eastAsia="zh-CN"/>
        </w:rPr>
        <w:t>、</w:t>
      </w:r>
      <w:r>
        <w:rPr>
          <w:rFonts w:hint="eastAsia" w:ascii="仿宋_GB2312" w:hAnsi="仿宋_GB2312" w:eastAsia="仿宋_GB2312" w:cs="仿宋_GB2312"/>
          <w:color w:val="000000" w:themeColor="text1"/>
          <w:spacing w:val="0"/>
          <w:sz w:val="32"/>
          <w:szCs w:val="32"/>
          <w:lang w:val="en-US" w:eastAsia="zh-CN"/>
        </w:rPr>
        <w:t>企业</w:t>
      </w:r>
      <w:r>
        <w:rPr>
          <w:rFonts w:hint="eastAsia" w:ascii="仿宋_GB2312" w:hAnsi="仿宋_GB2312" w:eastAsia="仿宋_GB2312" w:cs="仿宋_GB2312"/>
          <w:color w:val="000000" w:themeColor="text1"/>
          <w:spacing w:val="0"/>
          <w:sz w:val="32"/>
          <w:szCs w:val="32"/>
        </w:rPr>
        <w:t>考核细则</w:t>
      </w:r>
    </w:p>
    <w:p>
      <w:pPr>
        <w:keepNext w:val="0"/>
        <w:keepLines w:val="0"/>
        <w:pageBreakBefore w:val="0"/>
        <w:widowControl w:val="0"/>
        <w:kinsoku/>
        <w:wordWrap/>
        <w:overflowPunct/>
        <w:topLinePunct w:val="0"/>
        <w:bidi w:val="0"/>
        <w:snapToGrid/>
        <w:spacing w:after="0" w:line="560" w:lineRule="exact"/>
        <w:ind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pacing w:val="0"/>
          <w:sz w:val="32"/>
          <w:szCs w:val="32"/>
          <w:lang w:val="en-US" w:eastAsia="zh-CN"/>
        </w:rPr>
        <w:t>2.</w:t>
      </w:r>
      <w:r>
        <w:rPr>
          <w:rFonts w:hint="eastAsia" w:ascii="仿宋_GB2312" w:hAnsi="仿宋_GB2312" w:eastAsia="仿宋_GB2312" w:cs="仿宋_GB2312"/>
          <w:color w:val="000000" w:themeColor="text1"/>
          <w:spacing w:val="0"/>
          <w:sz w:val="32"/>
          <w:szCs w:val="32"/>
        </w:rPr>
        <w:t>生活垃圾分类标志设置规则</w:t>
      </w:r>
    </w:p>
    <w:p>
      <w:pPr>
        <w:keepNext w:val="0"/>
        <w:keepLines w:val="0"/>
        <w:pageBreakBefore w:val="0"/>
        <w:kinsoku/>
        <w:wordWrap/>
        <w:overflowPunct/>
        <w:topLinePunct w:val="0"/>
        <w:bidi w:val="0"/>
        <w:spacing w:after="0" w:line="560" w:lineRule="exact"/>
        <w:textAlignment w:val="auto"/>
        <w:rPr>
          <w:rFonts w:hint="eastAsia"/>
          <w:lang w:val="en-US" w:eastAsia="zh-CN"/>
        </w:rPr>
      </w:pPr>
    </w:p>
    <w:p>
      <w:pPr>
        <w:keepNext w:val="0"/>
        <w:keepLines w:val="0"/>
        <w:pageBreakBefore w:val="0"/>
        <w:kinsoku/>
        <w:wordWrap/>
        <w:overflowPunct/>
        <w:topLinePunct w:val="0"/>
        <w:bidi w:val="0"/>
        <w:spacing w:after="0"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金华市婺城区住房和城乡建设局</w:t>
      </w:r>
    </w:p>
    <w:p>
      <w:pPr>
        <w:keepNext w:val="0"/>
        <w:keepLines w:val="0"/>
        <w:pageBreakBefore w:val="0"/>
        <w:kinsoku/>
        <w:wordWrap/>
        <w:overflowPunct/>
        <w:topLinePunct w:val="0"/>
        <w:bidi w:val="0"/>
        <w:spacing w:after="0"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2023年12月12日</w:t>
      </w:r>
    </w:p>
    <w:p>
      <w:pPr>
        <w:spacing w:line="220" w:lineRule="atLeast"/>
        <w:rPr>
          <w:rFonts w:hint="eastAsia" w:ascii="黑体" w:hAnsi="黑体" w:eastAsia="黑体" w:cs="黑体"/>
          <w:sz w:val="28"/>
          <w:szCs w:val="28"/>
        </w:rPr>
      </w:pPr>
    </w:p>
    <w:p>
      <w:pPr>
        <w:spacing w:line="220" w:lineRule="atLeast"/>
        <w:rPr>
          <w:rFonts w:hint="eastAsia" w:ascii="黑体" w:hAnsi="黑体" w:eastAsia="黑体" w:cs="黑体"/>
          <w:sz w:val="28"/>
          <w:szCs w:val="28"/>
        </w:rPr>
      </w:pPr>
    </w:p>
    <w:p>
      <w:pPr>
        <w:spacing w:line="220" w:lineRule="atLeast"/>
        <w:rPr>
          <w:rFonts w:hint="eastAsia" w:ascii="仿宋_GB2312" w:hAnsi="仿宋_GB2312" w:cs="仿宋_GB2312"/>
          <w:sz w:val="28"/>
          <w:szCs w:val="28"/>
        </w:rPr>
      </w:pPr>
      <w:r>
        <w:rPr>
          <w:rFonts w:hint="eastAsia" w:ascii="黑体" w:hAnsi="黑体" w:eastAsia="黑体" w:cs="黑体"/>
          <w:sz w:val="28"/>
          <w:szCs w:val="28"/>
        </w:rPr>
        <w:t>附件1</w:t>
      </w:r>
    </w:p>
    <w:p>
      <w:pPr>
        <w:spacing w:line="220" w:lineRule="atLeast"/>
        <w:jc w:val="center"/>
        <w:rPr>
          <w:rFonts w:ascii="黑体" w:hAnsi="黑体" w:eastAsia="黑体" w:cs="仿宋_GB2312"/>
          <w:b/>
          <w:sz w:val="36"/>
          <w:szCs w:val="36"/>
        </w:rPr>
      </w:pPr>
      <w:r>
        <w:rPr>
          <w:rFonts w:hint="eastAsia" w:ascii="黑体" w:hAnsi="黑体" w:eastAsia="黑体" w:cs="仿宋_GB2312"/>
          <w:b/>
          <w:sz w:val="36"/>
          <w:szCs w:val="36"/>
        </w:rPr>
        <w:t>金华市</w:t>
      </w:r>
      <w:r>
        <w:rPr>
          <w:rFonts w:hint="eastAsia" w:ascii="黑体" w:hAnsi="黑体" w:eastAsia="黑体" w:cs="仿宋_GB2312"/>
          <w:b/>
          <w:sz w:val="36"/>
          <w:szCs w:val="36"/>
          <w:lang w:val="en-US" w:eastAsia="zh-CN"/>
        </w:rPr>
        <w:t>婺城区</w:t>
      </w:r>
      <w:r>
        <w:rPr>
          <w:rFonts w:hint="eastAsia" w:ascii="黑体" w:hAnsi="黑体" w:eastAsia="黑体" w:cs="仿宋_GB2312"/>
          <w:b/>
          <w:sz w:val="36"/>
          <w:szCs w:val="36"/>
        </w:rPr>
        <w:t>生活垃圾分类收集运输服务单位</w:t>
      </w:r>
      <w:r>
        <w:rPr>
          <w:rFonts w:hint="eastAsia" w:ascii="黑体" w:hAnsi="黑体" w:eastAsia="黑体" w:cs="仿宋_GB2312"/>
          <w:b/>
          <w:sz w:val="36"/>
          <w:szCs w:val="36"/>
          <w:lang w:eastAsia="zh-CN"/>
        </w:rPr>
        <w:t>、</w:t>
      </w:r>
      <w:r>
        <w:rPr>
          <w:rFonts w:hint="eastAsia" w:ascii="黑体" w:hAnsi="黑体" w:eastAsia="黑体" w:cs="仿宋_GB2312"/>
          <w:b/>
          <w:sz w:val="36"/>
          <w:szCs w:val="36"/>
          <w:lang w:val="en-US" w:eastAsia="zh-CN"/>
        </w:rPr>
        <w:t>企业</w:t>
      </w:r>
      <w:r>
        <w:rPr>
          <w:rFonts w:hint="eastAsia" w:ascii="黑体" w:hAnsi="黑体" w:eastAsia="黑体" w:cs="仿宋_GB2312"/>
          <w:b/>
          <w:sz w:val="36"/>
          <w:szCs w:val="36"/>
        </w:rPr>
        <w:t>考核细则</w:t>
      </w:r>
    </w:p>
    <w:tbl>
      <w:tblPr>
        <w:tblStyle w:val="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96"/>
        <w:gridCol w:w="3366"/>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Align w:val="center"/>
          </w:tcPr>
          <w:p>
            <w:pPr>
              <w:jc w:val="center"/>
              <w:rPr>
                <w:rFonts w:ascii="仿宋_GB2312"/>
                <w:sz w:val="24"/>
              </w:rPr>
            </w:pPr>
            <w:r>
              <w:rPr>
                <w:rFonts w:hint="eastAsia" w:ascii="仿宋_GB2312"/>
                <w:sz w:val="24"/>
              </w:rPr>
              <w:t>序号</w:t>
            </w:r>
          </w:p>
        </w:tc>
        <w:tc>
          <w:tcPr>
            <w:tcW w:w="1596" w:type="dxa"/>
            <w:vAlign w:val="center"/>
          </w:tcPr>
          <w:p>
            <w:pPr>
              <w:jc w:val="center"/>
              <w:rPr>
                <w:rFonts w:ascii="仿宋_GB2312"/>
                <w:sz w:val="24"/>
              </w:rPr>
            </w:pPr>
            <w:r>
              <w:rPr>
                <w:rFonts w:hint="eastAsia" w:ascii="仿宋_GB2312"/>
                <w:sz w:val="24"/>
              </w:rPr>
              <w:t>检查项目</w:t>
            </w:r>
          </w:p>
        </w:tc>
        <w:tc>
          <w:tcPr>
            <w:tcW w:w="3366" w:type="dxa"/>
            <w:vAlign w:val="center"/>
          </w:tcPr>
          <w:p>
            <w:pPr>
              <w:jc w:val="center"/>
              <w:rPr>
                <w:rFonts w:ascii="仿宋_GB2312"/>
                <w:sz w:val="24"/>
              </w:rPr>
            </w:pPr>
            <w:r>
              <w:rPr>
                <w:rFonts w:hint="eastAsia" w:ascii="仿宋_GB2312"/>
                <w:sz w:val="24"/>
              </w:rPr>
              <w:t>标准</w:t>
            </w:r>
          </w:p>
        </w:tc>
        <w:tc>
          <w:tcPr>
            <w:tcW w:w="3618" w:type="dxa"/>
            <w:vAlign w:val="center"/>
          </w:tcPr>
          <w:p>
            <w:pPr>
              <w:jc w:val="center"/>
              <w:rPr>
                <w:rFonts w:ascii="仿宋_GB2312"/>
                <w:sz w:val="24"/>
              </w:rPr>
            </w:pPr>
            <w:r>
              <w:rPr>
                <w:rFonts w:hint="eastAsia" w:ascii="仿宋_GB2312"/>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Align w:val="center"/>
          </w:tcPr>
          <w:p>
            <w:pPr>
              <w:jc w:val="center"/>
              <w:rPr>
                <w:rFonts w:ascii="仿宋_GB2312"/>
                <w:sz w:val="24"/>
              </w:rPr>
            </w:pPr>
            <w:r>
              <w:rPr>
                <w:rFonts w:hint="eastAsia" w:ascii="仿宋_GB2312"/>
                <w:sz w:val="24"/>
              </w:rPr>
              <w:t>一</w:t>
            </w:r>
          </w:p>
        </w:tc>
        <w:tc>
          <w:tcPr>
            <w:tcW w:w="1596" w:type="dxa"/>
            <w:vAlign w:val="center"/>
          </w:tcPr>
          <w:p>
            <w:pPr>
              <w:jc w:val="center"/>
              <w:rPr>
                <w:rFonts w:ascii="仿宋_GB2312"/>
                <w:sz w:val="24"/>
              </w:rPr>
            </w:pPr>
            <w:r>
              <w:rPr>
                <w:rFonts w:hint="eastAsia" w:ascii="仿宋_GB2312"/>
                <w:sz w:val="24"/>
              </w:rPr>
              <w:t>制度台账</w:t>
            </w:r>
          </w:p>
        </w:tc>
        <w:tc>
          <w:tcPr>
            <w:tcW w:w="3366" w:type="dxa"/>
            <w:vAlign w:val="center"/>
          </w:tcPr>
          <w:p>
            <w:pPr>
              <w:jc w:val="center"/>
              <w:rPr>
                <w:rFonts w:ascii="仿宋_GB2312"/>
                <w:sz w:val="24"/>
              </w:rPr>
            </w:pPr>
            <w:r>
              <w:rPr>
                <w:rFonts w:hint="eastAsia" w:ascii="仿宋_GB2312"/>
                <w:sz w:val="24"/>
              </w:rPr>
              <w:t>行政、安全生产、车辆设备及保洁、教育培训等内部管理制度；日常作业台账。</w:t>
            </w:r>
          </w:p>
        </w:tc>
        <w:tc>
          <w:tcPr>
            <w:tcW w:w="3618" w:type="dxa"/>
            <w:vAlign w:val="center"/>
          </w:tcPr>
          <w:p>
            <w:pPr>
              <w:jc w:val="center"/>
              <w:rPr>
                <w:rFonts w:ascii="仿宋_GB2312"/>
                <w:sz w:val="24"/>
              </w:rPr>
            </w:pPr>
            <w:r>
              <w:rPr>
                <w:rFonts w:hint="eastAsia" w:ascii="仿宋_GB2312"/>
                <w:sz w:val="24"/>
              </w:rPr>
              <w:t>未制定或完善企业内部相应管理制度的，每项扣2分；未做好日常作业台账的，扣2分。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restart"/>
            <w:vAlign w:val="center"/>
          </w:tcPr>
          <w:p>
            <w:pPr>
              <w:jc w:val="center"/>
              <w:rPr>
                <w:rFonts w:ascii="仿宋_GB2312"/>
                <w:sz w:val="24"/>
              </w:rPr>
            </w:pPr>
            <w:r>
              <w:rPr>
                <w:rFonts w:hint="eastAsia" w:ascii="仿宋_GB2312"/>
                <w:sz w:val="24"/>
              </w:rPr>
              <w:t>二</w:t>
            </w:r>
          </w:p>
        </w:tc>
        <w:tc>
          <w:tcPr>
            <w:tcW w:w="1596" w:type="dxa"/>
            <w:vMerge w:val="restart"/>
            <w:vAlign w:val="center"/>
          </w:tcPr>
          <w:p>
            <w:pPr>
              <w:jc w:val="center"/>
              <w:rPr>
                <w:rFonts w:ascii="仿宋_GB2312"/>
                <w:sz w:val="24"/>
              </w:rPr>
            </w:pPr>
            <w:r>
              <w:rPr>
                <w:rFonts w:hint="eastAsia" w:ascii="仿宋_GB2312"/>
                <w:sz w:val="24"/>
              </w:rPr>
              <w:t>车辆设备</w:t>
            </w:r>
          </w:p>
        </w:tc>
        <w:tc>
          <w:tcPr>
            <w:tcW w:w="3366" w:type="dxa"/>
            <w:vAlign w:val="center"/>
          </w:tcPr>
          <w:p>
            <w:pPr>
              <w:jc w:val="center"/>
              <w:rPr>
                <w:rFonts w:hint="eastAsia" w:ascii="仿宋_GB2312" w:eastAsia="仿宋_GB2312"/>
                <w:sz w:val="24"/>
                <w:lang w:val="en-US" w:eastAsia="zh-CN"/>
              </w:rPr>
            </w:pPr>
            <w:r>
              <w:rPr>
                <w:rFonts w:hint="eastAsia" w:ascii="仿宋_GB2312"/>
                <w:sz w:val="24"/>
              </w:rPr>
              <w:t>车辆严禁挂靠，必须在服务区域内作业。</w:t>
            </w:r>
          </w:p>
        </w:tc>
        <w:tc>
          <w:tcPr>
            <w:tcW w:w="3618" w:type="dxa"/>
            <w:vAlign w:val="center"/>
          </w:tcPr>
          <w:p>
            <w:pPr>
              <w:jc w:val="center"/>
              <w:rPr>
                <w:rFonts w:ascii="仿宋_GB2312"/>
                <w:sz w:val="24"/>
              </w:rPr>
            </w:pPr>
            <w:r>
              <w:rPr>
                <w:rFonts w:hint="eastAsia" w:ascii="仿宋_GB2312"/>
                <w:sz w:val="24"/>
              </w:rPr>
              <w:t>挂靠车辆和跨区域作业，每发现</w:t>
            </w:r>
            <w:r>
              <w:rPr>
                <w:rFonts w:hint="eastAsia" w:ascii="仿宋_GB2312"/>
                <w:sz w:val="24"/>
                <w:lang w:val="en-US" w:eastAsia="zh-CN"/>
              </w:rPr>
              <w:t>一辆一次</w:t>
            </w:r>
            <w:r>
              <w:rPr>
                <w:rFonts w:hint="eastAsia" w:ascii="仿宋_GB2312"/>
                <w:sz w:val="24"/>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hint="eastAsia" w:ascii="仿宋_GB2312"/>
                <w:sz w:val="24"/>
              </w:rPr>
            </w:pPr>
          </w:p>
        </w:tc>
        <w:tc>
          <w:tcPr>
            <w:tcW w:w="1596" w:type="dxa"/>
            <w:vMerge w:val="continue"/>
            <w:vAlign w:val="center"/>
          </w:tcPr>
          <w:p>
            <w:pPr>
              <w:jc w:val="center"/>
              <w:rPr>
                <w:rFonts w:hint="eastAsia" w:ascii="仿宋_GB2312"/>
                <w:sz w:val="24"/>
              </w:rPr>
            </w:pPr>
          </w:p>
        </w:tc>
        <w:tc>
          <w:tcPr>
            <w:tcW w:w="3366" w:type="dxa"/>
            <w:vAlign w:val="center"/>
          </w:tcPr>
          <w:p>
            <w:pPr>
              <w:jc w:val="center"/>
              <w:rPr>
                <w:rFonts w:hint="eastAsia" w:ascii="仿宋_GB2312"/>
                <w:sz w:val="24"/>
              </w:rPr>
            </w:pPr>
            <w:r>
              <w:rPr>
                <w:rFonts w:hint="eastAsia" w:ascii="仿宋_GB2312"/>
                <w:sz w:val="24"/>
              </w:rPr>
              <w:t>车辆变化情况及时报区环卫主管部门备案登记。</w:t>
            </w:r>
          </w:p>
        </w:tc>
        <w:tc>
          <w:tcPr>
            <w:tcW w:w="3618" w:type="dxa"/>
            <w:vAlign w:val="center"/>
          </w:tcPr>
          <w:p>
            <w:pPr>
              <w:jc w:val="center"/>
              <w:rPr>
                <w:rFonts w:hint="eastAsia" w:ascii="仿宋_GB2312"/>
                <w:sz w:val="24"/>
              </w:rPr>
            </w:pPr>
            <w:r>
              <w:rPr>
                <w:rFonts w:hint="eastAsia" w:ascii="仿宋_GB2312"/>
                <w:sz w:val="24"/>
              </w:rPr>
              <w:t>未及时备案登记的，每发现一辆</w:t>
            </w:r>
            <w:r>
              <w:rPr>
                <w:rFonts w:hint="eastAsia" w:ascii="仿宋_GB2312"/>
                <w:sz w:val="24"/>
                <w:lang w:val="en-US" w:eastAsia="zh-CN"/>
              </w:rPr>
              <w:t>一次</w:t>
            </w:r>
            <w:r>
              <w:rPr>
                <w:rFonts w:hint="eastAsia" w:ascii="仿宋_GB2312"/>
                <w:sz w:val="24"/>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ascii="仿宋_GB2312"/>
                <w:sz w:val="24"/>
              </w:rPr>
            </w:pPr>
          </w:p>
        </w:tc>
        <w:tc>
          <w:tcPr>
            <w:tcW w:w="1596" w:type="dxa"/>
            <w:vMerge w:val="continue"/>
            <w:vAlign w:val="center"/>
          </w:tcPr>
          <w:p>
            <w:pPr>
              <w:jc w:val="center"/>
              <w:rPr>
                <w:rFonts w:ascii="仿宋_GB2312"/>
                <w:sz w:val="24"/>
              </w:rPr>
            </w:pPr>
          </w:p>
        </w:tc>
        <w:tc>
          <w:tcPr>
            <w:tcW w:w="3366" w:type="dxa"/>
            <w:vAlign w:val="center"/>
          </w:tcPr>
          <w:p>
            <w:pPr>
              <w:jc w:val="center"/>
              <w:rPr>
                <w:rFonts w:ascii="仿宋_GB2312"/>
                <w:sz w:val="24"/>
              </w:rPr>
            </w:pPr>
            <w:r>
              <w:rPr>
                <w:rFonts w:ascii="仿宋_GB2312"/>
                <w:sz w:val="24"/>
              </w:rPr>
              <w:t>生活垃圾分类密闭运输专用车辆，</w:t>
            </w:r>
            <w:r>
              <w:rPr>
                <w:rFonts w:hint="eastAsia" w:ascii="仿宋_GB2312"/>
                <w:sz w:val="24"/>
              </w:rPr>
              <w:t>严禁私自改装。</w:t>
            </w:r>
          </w:p>
        </w:tc>
        <w:tc>
          <w:tcPr>
            <w:tcW w:w="3618" w:type="dxa"/>
            <w:vAlign w:val="center"/>
          </w:tcPr>
          <w:p>
            <w:pPr>
              <w:jc w:val="center"/>
              <w:rPr>
                <w:rFonts w:ascii="仿宋_GB2312"/>
                <w:sz w:val="24"/>
              </w:rPr>
            </w:pPr>
            <w:r>
              <w:rPr>
                <w:rFonts w:hint="eastAsia" w:ascii="仿宋_GB2312"/>
                <w:sz w:val="24"/>
              </w:rPr>
              <w:t>非专用车辆或私自改装，每发现一辆</w:t>
            </w:r>
            <w:r>
              <w:rPr>
                <w:rFonts w:hint="eastAsia" w:ascii="仿宋_GB2312"/>
                <w:sz w:val="24"/>
                <w:lang w:val="en-US" w:eastAsia="zh-CN"/>
              </w:rPr>
              <w:t>一次</w:t>
            </w:r>
            <w:r>
              <w:rPr>
                <w:rFonts w:hint="eastAsia" w:ascii="仿宋_GB2312"/>
                <w:sz w:val="24"/>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ascii="仿宋_GB2312"/>
                <w:sz w:val="24"/>
              </w:rPr>
            </w:pPr>
          </w:p>
        </w:tc>
        <w:tc>
          <w:tcPr>
            <w:tcW w:w="1596" w:type="dxa"/>
            <w:vMerge w:val="continue"/>
            <w:vAlign w:val="center"/>
          </w:tcPr>
          <w:p>
            <w:pPr>
              <w:jc w:val="center"/>
              <w:rPr>
                <w:rFonts w:ascii="仿宋_GB2312"/>
                <w:sz w:val="24"/>
              </w:rPr>
            </w:pPr>
          </w:p>
        </w:tc>
        <w:tc>
          <w:tcPr>
            <w:tcW w:w="3366" w:type="dxa"/>
            <w:vAlign w:val="center"/>
          </w:tcPr>
          <w:p>
            <w:pPr>
              <w:jc w:val="center"/>
              <w:rPr>
                <w:rFonts w:ascii="仿宋_GB2312"/>
                <w:sz w:val="24"/>
              </w:rPr>
            </w:pPr>
            <w:r>
              <w:rPr>
                <w:rFonts w:hint="eastAsia" w:ascii="仿宋_GB2312"/>
                <w:sz w:val="24"/>
              </w:rPr>
              <w:t>运输车辆</w:t>
            </w:r>
            <w:r>
              <w:rPr>
                <w:rFonts w:ascii="仿宋_GB2312"/>
                <w:sz w:val="24"/>
              </w:rPr>
              <w:t>按照垃圾分类要求</w:t>
            </w:r>
            <w:r>
              <w:rPr>
                <w:rFonts w:hint="eastAsia" w:ascii="仿宋_GB2312"/>
                <w:sz w:val="24"/>
              </w:rPr>
              <w:t>，</w:t>
            </w:r>
            <w:r>
              <w:rPr>
                <w:rFonts w:ascii="仿宋_GB2312"/>
                <w:sz w:val="24"/>
              </w:rPr>
              <w:t>统一喷印</w:t>
            </w:r>
            <w:r>
              <w:rPr>
                <w:rFonts w:hint="eastAsia" w:ascii="仿宋_GB2312"/>
                <w:sz w:val="24"/>
              </w:rPr>
              <w:t>单位</w:t>
            </w:r>
            <w:r>
              <w:rPr>
                <w:rFonts w:hint="eastAsia" w:ascii="仿宋_GB2312"/>
                <w:sz w:val="24"/>
                <w:lang w:eastAsia="zh-CN"/>
              </w:rPr>
              <w:t>、</w:t>
            </w:r>
            <w:r>
              <w:rPr>
                <w:rFonts w:hint="eastAsia" w:ascii="仿宋_GB2312"/>
                <w:sz w:val="24"/>
                <w:lang w:val="en-US" w:eastAsia="zh-CN"/>
              </w:rPr>
              <w:t>企业</w:t>
            </w:r>
            <w:r>
              <w:rPr>
                <w:rFonts w:ascii="仿宋_GB2312"/>
                <w:sz w:val="24"/>
              </w:rPr>
              <w:t>名称、</w:t>
            </w:r>
            <w:r>
              <w:rPr>
                <w:rFonts w:hint="eastAsia" w:ascii="仿宋_GB2312"/>
                <w:sz w:val="24"/>
              </w:rPr>
              <w:t>车辆</w:t>
            </w:r>
            <w:r>
              <w:rPr>
                <w:rFonts w:ascii="仿宋_GB2312"/>
                <w:sz w:val="24"/>
              </w:rPr>
              <w:t>编号</w:t>
            </w:r>
            <w:r>
              <w:rPr>
                <w:rFonts w:hint="eastAsia" w:ascii="仿宋_GB2312"/>
                <w:sz w:val="24"/>
              </w:rPr>
              <w:t>、</w:t>
            </w:r>
            <w:r>
              <w:rPr>
                <w:rFonts w:ascii="仿宋_GB2312"/>
                <w:sz w:val="24"/>
              </w:rPr>
              <w:t>分类</w:t>
            </w:r>
            <w:r>
              <w:rPr>
                <w:rFonts w:hint="eastAsia" w:ascii="仿宋_GB2312"/>
                <w:sz w:val="24"/>
              </w:rPr>
              <w:t>标志，粘贴反光标贴，安装具有反光功能的放大号牌。</w:t>
            </w:r>
          </w:p>
        </w:tc>
        <w:tc>
          <w:tcPr>
            <w:tcW w:w="3618" w:type="dxa"/>
            <w:vAlign w:val="center"/>
          </w:tcPr>
          <w:p>
            <w:pPr>
              <w:jc w:val="center"/>
              <w:rPr>
                <w:rFonts w:ascii="仿宋_GB2312"/>
                <w:sz w:val="24"/>
              </w:rPr>
            </w:pPr>
            <w:r>
              <w:rPr>
                <w:rFonts w:hint="eastAsia" w:ascii="仿宋_GB2312"/>
                <w:sz w:val="24"/>
              </w:rPr>
              <w:t>未</w:t>
            </w:r>
            <w:r>
              <w:rPr>
                <w:rFonts w:ascii="仿宋_GB2312"/>
                <w:sz w:val="24"/>
              </w:rPr>
              <w:t>统一喷印</w:t>
            </w:r>
            <w:r>
              <w:rPr>
                <w:rFonts w:hint="eastAsia" w:ascii="仿宋_GB2312"/>
                <w:sz w:val="24"/>
              </w:rPr>
              <w:t>单位</w:t>
            </w:r>
            <w:r>
              <w:rPr>
                <w:rFonts w:hint="eastAsia" w:ascii="仿宋_GB2312"/>
                <w:sz w:val="24"/>
                <w:lang w:eastAsia="zh-CN"/>
              </w:rPr>
              <w:t>、</w:t>
            </w:r>
            <w:r>
              <w:rPr>
                <w:rFonts w:hint="eastAsia" w:ascii="仿宋_GB2312"/>
                <w:sz w:val="24"/>
                <w:lang w:val="en-US" w:eastAsia="zh-CN"/>
              </w:rPr>
              <w:t>企业</w:t>
            </w:r>
            <w:r>
              <w:rPr>
                <w:rFonts w:ascii="仿宋_GB2312"/>
                <w:sz w:val="24"/>
              </w:rPr>
              <w:t>名称、</w:t>
            </w:r>
            <w:r>
              <w:rPr>
                <w:rFonts w:hint="eastAsia" w:ascii="仿宋_GB2312"/>
                <w:sz w:val="24"/>
              </w:rPr>
              <w:t>车辆</w:t>
            </w:r>
            <w:r>
              <w:rPr>
                <w:rFonts w:ascii="仿宋_GB2312"/>
                <w:sz w:val="24"/>
              </w:rPr>
              <w:t>编号</w:t>
            </w:r>
            <w:r>
              <w:rPr>
                <w:rFonts w:hint="eastAsia" w:ascii="仿宋_GB2312"/>
                <w:sz w:val="24"/>
              </w:rPr>
              <w:t>、</w:t>
            </w:r>
            <w:r>
              <w:rPr>
                <w:rFonts w:ascii="仿宋_GB2312"/>
                <w:sz w:val="24"/>
              </w:rPr>
              <w:t>分类</w:t>
            </w:r>
            <w:r>
              <w:rPr>
                <w:rFonts w:hint="eastAsia" w:ascii="仿宋_GB2312"/>
                <w:sz w:val="24"/>
              </w:rPr>
              <w:t>标志，粘贴反光标贴，安装具有反光功能的放大号牌的，每发现一辆</w:t>
            </w:r>
            <w:r>
              <w:rPr>
                <w:rFonts w:hint="eastAsia" w:ascii="仿宋_GB2312"/>
                <w:sz w:val="24"/>
                <w:lang w:val="en-US" w:eastAsia="zh-CN"/>
              </w:rPr>
              <w:t>一次</w:t>
            </w:r>
            <w:r>
              <w:rPr>
                <w:rFonts w:hint="eastAsia" w:ascii="仿宋_GB2312"/>
                <w:sz w:val="24"/>
              </w:rPr>
              <w:t>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ascii="仿宋_GB2312"/>
                <w:sz w:val="24"/>
              </w:rPr>
            </w:pPr>
          </w:p>
        </w:tc>
        <w:tc>
          <w:tcPr>
            <w:tcW w:w="1596" w:type="dxa"/>
            <w:vMerge w:val="continue"/>
            <w:vAlign w:val="center"/>
          </w:tcPr>
          <w:p>
            <w:pPr>
              <w:jc w:val="center"/>
              <w:rPr>
                <w:rFonts w:ascii="仿宋_GB2312"/>
                <w:sz w:val="24"/>
              </w:rPr>
            </w:pPr>
          </w:p>
        </w:tc>
        <w:tc>
          <w:tcPr>
            <w:tcW w:w="3366" w:type="dxa"/>
            <w:vAlign w:val="center"/>
          </w:tcPr>
          <w:p>
            <w:pPr>
              <w:jc w:val="center"/>
              <w:rPr>
                <w:rFonts w:ascii="仿宋_GB2312"/>
                <w:sz w:val="24"/>
              </w:rPr>
            </w:pPr>
            <w:r>
              <w:rPr>
                <w:rFonts w:hint="eastAsia" w:ascii="仿宋_GB2312"/>
                <w:sz w:val="24"/>
              </w:rPr>
              <w:t>安装符合国家标准的卫星定位系统、行车及装卸记录仪等设备，相应数据信息接入</w:t>
            </w:r>
            <w:r>
              <w:rPr>
                <w:rFonts w:hint="eastAsia" w:ascii="仿宋_GB2312"/>
                <w:sz w:val="24"/>
                <w:lang w:val="en-US" w:eastAsia="zh-CN"/>
              </w:rPr>
              <w:t>婺城区环卫</w:t>
            </w:r>
            <w:r>
              <w:rPr>
                <w:rFonts w:hint="eastAsia" w:ascii="仿宋_GB2312"/>
                <w:sz w:val="24"/>
              </w:rPr>
              <w:t>智慧监管平台。</w:t>
            </w:r>
          </w:p>
        </w:tc>
        <w:tc>
          <w:tcPr>
            <w:tcW w:w="3618" w:type="dxa"/>
            <w:vAlign w:val="center"/>
          </w:tcPr>
          <w:p>
            <w:pPr>
              <w:jc w:val="center"/>
              <w:rPr>
                <w:rFonts w:ascii="仿宋_GB2312"/>
                <w:sz w:val="24"/>
              </w:rPr>
            </w:pPr>
            <w:r>
              <w:rPr>
                <w:rFonts w:hint="eastAsia" w:ascii="仿宋_GB2312"/>
                <w:sz w:val="24"/>
              </w:rPr>
              <w:t>未安装卫星定位系统、行车及装卸记录仪的，每发现一辆</w:t>
            </w:r>
            <w:r>
              <w:rPr>
                <w:rFonts w:hint="eastAsia" w:ascii="仿宋_GB2312"/>
                <w:sz w:val="24"/>
                <w:lang w:val="en-US" w:eastAsia="zh-CN"/>
              </w:rPr>
              <w:t>一次</w:t>
            </w:r>
            <w:r>
              <w:rPr>
                <w:rFonts w:hint="eastAsia" w:ascii="仿宋_GB2312"/>
                <w:sz w:val="24"/>
              </w:rPr>
              <w:t>扣1分；未接入</w:t>
            </w:r>
            <w:r>
              <w:rPr>
                <w:rFonts w:hint="eastAsia" w:ascii="仿宋_GB2312"/>
                <w:sz w:val="24"/>
                <w:lang w:val="en-US" w:eastAsia="zh-CN"/>
              </w:rPr>
              <w:t>婺城区环卫</w:t>
            </w:r>
            <w:r>
              <w:rPr>
                <w:rFonts w:hint="eastAsia" w:ascii="仿宋_GB2312"/>
                <w:sz w:val="24"/>
              </w:rPr>
              <w:t>智慧监管平台，每发现一辆</w:t>
            </w:r>
            <w:r>
              <w:rPr>
                <w:rFonts w:hint="eastAsia" w:ascii="仿宋_GB2312"/>
                <w:sz w:val="24"/>
                <w:lang w:val="en-US" w:eastAsia="zh-CN"/>
              </w:rPr>
              <w:t>一次</w:t>
            </w:r>
            <w:r>
              <w:rPr>
                <w:rFonts w:hint="eastAsia" w:ascii="仿宋_GB2312"/>
                <w:sz w:val="24"/>
              </w:rPr>
              <w:t>扣2</w:t>
            </w:r>
            <w:r>
              <w:rPr>
                <w:rFonts w:hint="eastAsia" w:ascii="仿宋_GB2312"/>
                <w:sz w:val="24"/>
                <w:lang w:val="en-US" w:eastAsia="zh-CN"/>
              </w:rPr>
              <w:t>分；人为修改GPS信号数据，每发现一辆一次扣5分。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restart"/>
            <w:vAlign w:val="center"/>
          </w:tcPr>
          <w:p>
            <w:pPr>
              <w:jc w:val="center"/>
              <w:rPr>
                <w:rFonts w:ascii="仿宋_GB2312"/>
                <w:sz w:val="24"/>
              </w:rPr>
            </w:pPr>
            <w:r>
              <w:rPr>
                <w:rFonts w:hint="eastAsia" w:ascii="仿宋_GB2312"/>
                <w:sz w:val="24"/>
              </w:rPr>
              <w:t>三</w:t>
            </w:r>
          </w:p>
        </w:tc>
        <w:tc>
          <w:tcPr>
            <w:tcW w:w="1596" w:type="dxa"/>
            <w:vMerge w:val="restart"/>
            <w:vAlign w:val="center"/>
          </w:tcPr>
          <w:p>
            <w:pPr>
              <w:jc w:val="center"/>
              <w:rPr>
                <w:rFonts w:ascii="仿宋_GB2312"/>
                <w:sz w:val="24"/>
              </w:rPr>
            </w:pPr>
            <w:r>
              <w:rPr>
                <w:rFonts w:hint="eastAsia" w:ascii="仿宋_GB2312"/>
                <w:sz w:val="24"/>
              </w:rPr>
              <w:t>运行作业</w:t>
            </w:r>
          </w:p>
        </w:tc>
        <w:tc>
          <w:tcPr>
            <w:tcW w:w="3366" w:type="dxa"/>
            <w:vAlign w:val="center"/>
          </w:tcPr>
          <w:p>
            <w:pPr>
              <w:jc w:val="center"/>
              <w:rPr>
                <w:rFonts w:ascii="仿宋_GB2312"/>
                <w:sz w:val="24"/>
              </w:rPr>
            </w:pPr>
            <w:r>
              <w:rPr>
                <w:rFonts w:hint="eastAsia" w:ascii="仿宋_GB2312"/>
                <w:sz w:val="24"/>
              </w:rPr>
              <w:t>按规定时间、路线收集运输所属责任范围内的垃圾，做到不漏点、不漏倒、不混装，做到垃圾日产日清，不堆积。</w:t>
            </w:r>
          </w:p>
        </w:tc>
        <w:tc>
          <w:tcPr>
            <w:tcW w:w="3618" w:type="dxa"/>
            <w:vAlign w:val="center"/>
          </w:tcPr>
          <w:p>
            <w:pPr>
              <w:jc w:val="center"/>
              <w:rPr>
                <w:rFonts w:ascii="仿宋_GB2312"/>
                <w:sz w:val="24"/>
              </w:rPr>
            </w:pPr>
            <w:r>
              <w:rPr>
                <w:rFonts w:hint="eastAsia" w:ascii="仿宋_GB2312"/>
                <w:sz w:val="24"/>
              </w:rPr>
              <w:t>未按规定时间、路线收集运输所属责任范围内垃圾的，每发现一车次扣0.5分；</w:t>
            </w:r>
          </w:p>
          <w:p>
            <w:pPr>
              <w:jc w:val="center"/>
              <w:rPr>
                <w:rFonts w:ascii="仿宋_GB2312"/>
                <w:sz w:val="24"/>
              </w:rPr>
            </w:pPr>
            <w:r>
              <w:rPr>
                <w:rFonts w:hint="eastAsia" w:ascii="仿宋_GB2312"/>
                <w:sz w:val="24"/>
              </w:rPr>
              <w:t>收运车辆作业</w:t>
            </w:r>
            <w:r>
              <w:rPr>
                <w:rFonts w:hint="eastAsia" w:ascii="仿宋_GB2312"/>
                <w:sz w:val="24"/>
                <w:lang w:val="en-US" w:eastAsia="zh-CN"/>
              </w:rPr>
              <w:t>时</w:t>
            </w:r>
            <w:r>
              <w:rPr>
                <w:rFonts w:hint="eastAsia" w:ascii="仿宋_GB2312"/>
                <w:sz w:val="24"/>
              </w:rPr>
              <w:t>漏点、漏倒、混装的，每项扣0.5分；</w:t>
            </w:r>
          </w:p>
          <w:p>
            <w:pPr>
              <w:jc w:val="center"/>
              <w:rPr>
                <w:rFonts w:ascii="仿宋_GB2312"/>
                <w:sz w:val="24"/>
              </w:rPr>
            </w:pPr>
            <w:r>
              <w:rPr>
                <w:rFonts w:hint="eastAsia" w:ascii="仿宋_GB2312"/>
                <w:sz w:val="24"/>
              </w:rPr>
              <w:t>垃圾集收点未做到垃圾日产日清，有堆积，每发现一次扣1分。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ascii="仿宋_GB2312"/>
                <w:sz w:val="24"/>
              </w:rPr>
            </w:pPr>
          </w:p>
        </w:tc>
        <w:tc>
          <w:tcPr>
            <w:tcW w:w="1596" w:type="dxa"/>
            <w:vMerge w:val="continue"/>
            <w:vAlign w:val="center"/>
          </w:tcPr>
          <w:p>
            <w:pPr>
              <w:jc w:val="center"/>
              <w:rPr>
                <w:rFonts w:ascii="仿宋_GB2312"/>
                <w:sz w:val="24"/>
              </w:rPr>
            </w:pPr>
          </w:p>
        </w:tc>
        <w:tc>
          <w:tcPr>
            <w:tcW w:w="3366" w:type="dxa"/>
            <w:vAlign w:val="center"/>
          </w:tcPr>
          <w:p>
            <w:pPr>
              <w:jc w:val="center"/>
              <w:rPr>
                <w:rFonts w:ascii="仿宋_GB2312"/>
                <w:sz w:val="24"/>
              </w:rPr>
            </w:pPr>
            <w:r>
              <w:rPr>
                <w:rFonts w:hint="eastAsia" w:ascii="仿宋_GB2312"/>
                <w:sz w:val="24"/>
              </w:rPr>
              <w:t>做好车辆外观整洁，密闭化运输，做到无垃圾抛洒、无污水滴漏，车箱外无吊挂。</w:t>
            </w:r>
          </w:p>
        </w:tc>
        <w:tc>
          <w:tcPr>
            <w:tcW w:w="3618" w:type="dxa"/>
            <w:vAlign w:val="center"/>
          </w:tcPr>
          <w:p>
            <w:pPr>
              <w:jc w:val="center"/>
              <w:rPr>
                <w:rFonts w:ascii="仿宋_GB2312"/>
                <w:sz w:val="24"/>
              </w:rPr>
            </w:pPr>
            <w:r>
              <w:rPr>
                <w:rFonts w:hint="eastAsia" w:ascii="仿宋_GB2312"/>
                <w:sz w:val="24"/>
              </w:rPr>
              <w:t>未密闭化运输，每发现一次扣2分；车辆外观不整洁，车上外挂或跑冒滴漏，每发现一次扣1分。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ascii="仿宋_GB2312"/>
                <w:sz w:val="24"/>
              </w:rPr>
            </w:pPr>
          </w:p>
        </w:tc>
        <w:tc>
          <w:tcPr>
            <w:tcW w:w="1596" w:type="dxa"/>
            <w:vMerge w:val="continue"/>
            <w:vAlign w:val="center"/>
          </w:tcPr>
          <w:p>
            <w:pPr>
              <w:jc w:val="center"/>
              <w:rPr>
                <w:rFonts w:ascii="仿宋_GB2312"/>
                <w:sz w:val="24"/>
              </w:rPr>
            </w:pPr>
          </w:p>
        </w:tc>
        <w:tc>
          <w:tcPr>
            <w:tcW w:w="3366" w:type="dxa"/>
            <w:vAlign w:val="center"/>
          </w:tcPr>
          <w:p>
            <w:pPr>
              <w:jc w:val="center"/>
              <w:rPr>
                <w:rFonts w:ascii="仿宋_GB2312"/>
                <w:sz w:val="24"/>
              </w:rPr>
            </w:pPr>
            <w:r>
              <w:rPr>
                <w:rFonts w:hint="eastAsia" w:ascii="仿宋_GB2312"/>
                <w:sz w:val="24"/>
              </w:rPr>
              <w:t>服从转运站、垃圾焚烧厂的管理。</w:t>
            </w:r>
          </w:p>
        </w:tc>
        <w:tc>
          <w:tcPr>
            <w:tcW w:w="3618" w:type="dxa"/>
            <w:vAlign w:val="center"/>
          </w:tcPr>
          <w:p>
            <w:pPr>
              <w:jc w:val="center"/>
              <w:rPr>
                <w:rFonts w:ascii="仿宋_GB2312"/>
                <w:sz w:val="24"/>
              </w:rPr>
            </w:pPr>
            <w:r>
              <w:rPr>
                <w:rFonts w:hint="eastAsia" w:ascii="仿宋_GB2312"/>
                <w:sz w:val="24"/>
              </w:rPr>
              <w:t>未按现场管理人员要求装载、倾倒垃圾的，每次扣2分。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Align w:val="center"/>
          </w:tcPr>
          <w:p>
            <w:pPr>
              <w:jc w:val="center"/>
              <w:rPr>
                <w:rFonts w:ascii="仿宋_GB2312"/>
                <w:sz w:val="24"/>
              </w:rPr>
            </w:pPr>
            <w:r>
              <w:rPr>
                <w:rFonts w:hint="eastAsia" w:ascii="仿宋_GB2312"/>
                <w:sz w:val="24"/>
              </w:rPr>
              <w:t>四</w:t>
            </w:r>
          </w:p>
        </w:tc>
        <w:tc>
          <w:tcPr>
            <w:tcW w:w="1596" w:type="dxa"/>
            <w:vAlign w:val="center"/>
          </w:tcPr>
          <w:p>
            <w:pPr>
              <w:jc w:val="center"/>
              <w:rPr>
                <w:rFonts w:ascii="仿宋_GB2312"/>
                <w:sz w:val="24"/>
              </w:rPr>
            </w:pPr>
            <w:r>
              <w:rPr>
                <w:rFonts w:hint="eastAsia" w:ascii="仿宋_GB2312"/>
                <w:sz w:val="24"/>
              </w:rPr>
              <w:t>应急抢险</w:t>
            </w:r>
          </w:p>
        </w:tc>
        <w:tc>
          <w:tcPr>
            <w:tcW w:w="3366" w:type="dxa"/>
            <w:vAlign w:val="center"/>
          </w:tcPr>
          <w:p>
            <w:pPr>
              <w:jc w:val="center"/>
              <w:rPr>
                <w:rFonts w:ascii="仿宋_GB2312"/>
                <w:sz w:val="24"/>
              </w:rPr>
            </w:pPr>
            <w:r>
              <w:rPr>
                <w:rFonts w:hint="eastAsia" w:ascii="仿宋_GB2312"/>
                <w:sz w:val="24"/>
              </w:rPr>
              <w:t>事故应急预案和事故抢险抢修预案。</w:t>
            </w:r>
          </w:p>
        </w:tc>
        <w:tc>
          <w:tcPr>
            <w:tcW w:w="3618" w:type="dxa"/>
            <w:vAlign w:val="center"/>
          </w:tcPr>
          <w:p>
            <w:pPr>
              <w:jc w:val="center"/>
              <w:rPr>
                <w:rFonts w:ascii="仿宋_GB2312"/>
                <w:sz w:val="24"/>
              </w:rPr>
            </w:pPr>
            <w:r>
              <w:rPr>
                <w:rFonts w:hint="eastAsia" w:ascii="仿宋_GB2312"/>
                <w:sz w:val="24"/>
              </w:rPr>
              <w:t>未制定事故应急预案和事故抢险抢修预案的，每项扣2分。</w:t>
            </w:r>
          </w:p>
        </w:tc>
      </w:tr>
    </w:tbl>
    <w:p>
      <w:pPr>
        <w:spacing w:line="220" w:lineRule="atLeast"/>
        <w:ind w:firstLine="560" w:firstLineChars="200"/>
        <w:rPr>
          <w:rFonts w:hint="eastAsia"/>
          <w:sz w:val="28"/>
          <w:szCs w:val="28"/>
        </w:rPr>
        <w:sectPr>
          <w:pgSz w:w="11906" w:h="16838"/>
          <w:pgMar w:top="1440" w:right="1800" w:bottom="1440" w:left="1800" w:header="851" w:footer="992" w:gutter="0"/>
          <w:cols w:space="425" w:num="1"/>
          <w:docGrid w:type="lines" w:linePitch="312" w:charSpace="0"/>
        </w:sectPr>
      </w:pPr>
    </w:p>
    <w:p>
      <w:pPr>
        <w:spacing w:line="220" w:lineRule="atLeast"/>
        <w:rPr>
          <w:rFonts w:hint="eastAsia" w:ascii="黑体" w:hAnsi="黑体" w:eastAsia="黑体" w:cs="黑体"/>
          <w:sz w:val="28"/>
          <w:szCs w:val="28"/>
        </w:rPr>
      </w:pPr>
      <w:r>
        <w:rPr>
          <w:rFonts w:hint="eastAsia" w:ascii="黑体" w:hAnsi="黑体" w:eastAsia="黑体" w:cs="黑体"/>
          <w:sz w:val="28"/>
          <w:szCs w:val="28"/>
        </w:rPr>
        <w:t>附件2</w:t>
      </w:r>
    </w:p>
    <w:p>
      <w:pPr>
        <w:spacing w:line="220" w:lineRule="atLeast"/>
        <w:jc w:val="center"/>
        <w:rPr>
          <w:rFonts w:hint="eastAsia" w:ascii="黑体" w:hAnsi="黑体" w:eastAsia="黑体" w:cs="黑体"/>
          <w:szCs w:val="32"/>
        </w:rPr>
      </w:pPr>
      <w:r>
        <w:rPr>
          <w:rFonts w:hint="eastAsia" w:ascii="黑体" w:hAnsi="黑体" w:eastAsia="黑体" w:cs="黑体"/>
          <w:szCs w:val="32"/>
        </w:rPr>
        <w:t>生活垃圾分类标志设置规则</w:t>
      </w:r>
    </w:p>
    <w:p>
      <w:pPr>
        <w:spacing w:line="220" w:lineRule="atLeast"/>
        <w:ind w:firstLine="440" w:firstLineChars="200"/>
        <w:rPr>
          <w:sz w:val="28"/>
          <w:szCs w:val="28"/>
        </w:rPr>
      </w:pPr>
      <w:r>
        <w:rPr>
          <w:rFonts w:hint="eastAsia" w:ascii="仿宋_GB2312" w:hAnsi="Tahoma"/>
          <w:szCs w:val="32"/>
        </w:rPr>
        <w:t>以《生活垃圾分类标志》（GB/T19095-2019）为主，</w:t>
      </w:r>
      <w:r>
        <w:rPr>
          <w:rFonts w:hint="eastAsia" w:ascii="仿宋_GB2312"/>
          <w:szCs w:val="32"/>
        </w:rPr>
        <w:t>结合</w:t>
      </w:r>
      <w:r>
        <w:rPr>
          <w:rFonts w:hint="eastAsia" w:ascii="仿宋_GB2312" w:hAnsi="Tahoma"/>
          <w:szCs w:val="32"/>
        </w:rPr>
        <w:t>《城镇生活垃圾分类标志》（DB33/T 1166-2019）。</w:t>
      </w:r>
    </w:p>
    <w:p>
      <w:pPr>
        <w:spacing w:line="220" w:lineRule="atLeast"/>
        <w:jc w:val="center"/>
      </w:pPr>
      <w:r>
        <w:drawing>
          <wp:inline distT="0" distB="0" distL="114300" distR="114300">
            <wp:extent cx="5189855" cy="6155055"/>
            <wp:effectExtent l="0" t="0" r="6985" b="1905"/>
            <wp:docPr id="2" name="图片 1" descr="C:\Users\123\AppData\Local\Temp\15870254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123\AppData\Local\Temp\1587025448(1).png"/>
                    <pic:cNvPicPr>
                      <a:picLocks noChangeAspect="1"/>
                    </pic:cNvPicPr>
                  </pic:nvPicPr>
                  <pic:blipFill>
                    <a:blip r:embed="rId6"/>
                    <a:stretch>
                      <a:fillRect/>
                    </a:stretch>
                  </pic:blipFill>
                  <pic:spPr>
                    <a:xfrm>
                      <a:off x="0" y="0"/>
                      <a:ext cx="5189855" cy="6155055"/>
                    </a:xfrm>
                    <a:prstGeom prst="rect">
                      <a:avLst/>
                    </a:prstGeom>
                    <a:noFill/>
                    <a:ln w="9525">
                      <a:noFill/>
                    </a:ln>
                  </pic:spPr>
                </pic:pic>
              </a:graphicData>
            </a:graphic>
          </wp:inline>
        </w:drawing>
      </w:r>
    </w:p>
    <w:p>
      <w:pPr>
        <w:tabs>
          <w:tab w:val="left" w:pos="3555"/>
        </w:tabs>
        <w:jc w:val="center"/>
      </w:pPr>
      <w:r>
        <w:drawing>
          <wp:inline distT="0" distB="0" distL="114300" distR="114300">
            <wp:extent cx="5392420" cy="3450590"/>
            <wp:effectExtent l="0" t="0" r="2540" b="8890"/>
            <wp:docPr id="1" name="图片 2" descr="1590542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90542636(1)"/>
                    <pic:cNvPicPr>
                      <a:picLocks noChangeAspect="1"/>
                    </pic:cNvPicPr>
                  </pic:nvPicPr>
                  <pic:blipFill>
                    <a:blip r:embed="rId7"/>
                    <a:stretch>
                      <a:fillRect/>
                    </a:stretch>
                  </pic:blipFill>
                  <pic:spPr>
                    <a:xfrm>
                      <a:off x="0" y="0"/>
                      <a:ext cx="5392420" cy="3450590"/>
                    </a:xfrm>
                    <a:prstGeom prst="rect">
                      <a:avLst/>
                    </a:prstGeom>
                    <a:noFill/>
                    <a:ln w="9525">
                      <a:noFill/>
                    </a:ln>
                  </pic:spPr>
                </pic:pic>
              </a:graphicData>
            </a:graphic>
          </wp:inline>
        </w:drawing>
      </w:r>
      <w:r>
        <w:drawing>
          <wp:inline distT="0" distB="0" distL="114300" distR="114300">
            <wp:extent cx="6036945" cy="3625850"/>
            <wp:effectExtent l="0" t="0" r="13335" b="1270"/>
            <wp:docPr id="6" name="图片 3" descr="1590542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590542661(1)"/>
                    <pic:cNvPicPr>
                      <a:picLocks noChangeAspect="1"/>
                    </pic:cNvPicPr>
                  </pic:nvPicPr>
                  <pic:blipFill>
                    <a:blip r:embed="rId8"/>
                    <a:stretch>
                      <a:fillRect/>
                    </a:stretch>
                  </pic:blipFill>
                  <pic:spPr>
                    <a:xfrm>
                      <a:off x="0" y="0"/>
                      <a:ext cx="6036945" cy="3625850"/>
                    </a:xfrm>
                    <a:prstGeom prst="rect">
                      <a:avLst/>
                    </a:prstGeom>
                    <a:noFill/>
                    <a:ln w="9525">
                      <a:noFill/>
                    </a:ln>
                  </pic:spPr>
                </pic:pic>
              </a:graphicData>
            </a:graphic>
          </wp:inline>
        </w:drawing>
      </w:r>
    </w:p>
    <w:p>
      <w:pPr>
        <w:tabs>
          <w:tab w:val="left" w:pos="3555"/>
        </w:tabs>
        <w:jc w:val="center"/>
      </w:pPr>
    </w:p>
    <w:p>
      <w:pPr>
        <w:tabs>
          <w:tab w:val="left" w:pos="3555"/>
        </w:tabs>
        <w:jc w:val="center"/>
      </w:pPr>
    </w:p>
    <w:p>
      <w:pPr>
        <w:tabs>
          <w:tab w:val="left" w:pos="3555"/>
        </w:tabs>
        <w:jc w:val="center"/>
      </w:pPr>
      <w:r>
        <w:drawing>
          <wp:inline distT="0" distB="0" distL="114300" distR="114300">
            <wp:extent cx="5616575" cy="2580640"/>
            <wp:effectExtent l="0" t="0" r="6985" b="10160"/>
            <wp:docPr id="4" name="图片 4" descr="1590542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0542731(1)"/>
                    <pic:cNvPicPr>
                      <a:picLocks noChangeAspect="1"/>
                    </pic:cNvPicPr>
                  </pic:nvPicPr>
                  <pic:blipFill>
                    <a:blip r:embed="rId9"/>
                    <a:stretch>
                      <a:fillRect/>
                    </a:stretch>
                  </pic:blipFill>
                  <pic:spPr>
                    <a:xfrm>
                      <a:off x="0" y="0"/>
                      <a:ext cx="5616575" cy="2580640"/>
                    </a:xfrm>
                    <a:prstGeom prst="rect">
                      <a:avLst/>
                    </a:prstGeom>
                    <a:noFill/>
                    <a:ln w="9525">
                      <a:noFill/>
                    </a:ln>
                  </pic:spPr>
                </pic:pic>
              </a:graphicData>
            </a:graphic>
          </wp:inline>
        </w:drawing>
      </w:r>
      <w:r>
        <w:drawing>
          <wp:inline distT="0" distB="0" distL="114300" distR="114300">
            <wp:extent cx="5612765" cy="4670425"/>
            <wp:effectExtent l="0" t="0" r="10795" b="8255"/>
            <wp:docPr id="3" name="图片 5" descr="1590542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590542755(1)"/>
                    <pic:cNvPicPr>
                      <a:picLocks noChangeAspect="1"/>
                    </pic:cNvPicPr>
                  </pic:nvPicPr>
                  <pic:blipFill>
                    <a:blip r:embed="rId10"/>
                    <a:stretch>
                      <a:fillRect/>
                    </a:stretch>
                  </pic:blipFill>
                  <pic:spPr>
                    <a:xfrm>
                      <a:off x="0" y="0"/>
                      <a:ext cx="5612765" cy="4670425"/>
                    </a:xfrm>
                    <a:prstGeom prst="rect">
                      <a:avLst/>
                    </a:prstGeom>
                    <a:noFill/>
                    <a:ln w="9525">
                      <a:noFill/>
                    </a:ln>
                  </pic:spPr>
                </pic:pic>
              </a:graphicData>
            </a:graphic>
          </wp:inline>
        </w:drawing>
      </w:r>
    </w:p>
    <w:p>
      <w:pPr>
        <w:tabs>
          <w:tab w:val="left" w:pos="3555"/>
        </w:tabs>
        <w:jc w:val="center"/>
      </w:pPr>
    </w:p>
    <w:p>
      <w:pPr>
        <w:tabs>
          <w:tab w:val="left" w:pos="3555"/>
        </w:tabs>
      </w:pPr>
    </w:p>
    <w:p>
      <w:pPr>
        <w:tabs>
          <w:tab w:val="left" w:pos="3555"/>
        </w:tabs>
        <w:jc w:val="center"/>
      </w:pPr>
      <w:r>
        <w:rPr>
          <w:sz w:val="22"/>
        </w:rPr>
        <w:pict>
          <v:shape id="文本框 20" o:spid="_x0000_s1028" o:spt="202" type="#_x0000_t202" style="position:absolute;left:0pt;margin-left:236.5pt;margin-top:180pt;height:37.95pt;width:60.25pt;z-index:251659264;mso-width-relative:page;mso-height-relative:page;" fillcolor="#404040" filled="t" stroked="f" coordsize="21600,21600" o:gfxdata="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isQ/fbAAAACwEAAA8AAAAAAAAAAQAgAAAA&#10;IgAAAGRycy9kb3ducmV2LnhtbFBLAQIUABQAAAAIAIdO4kAe1a+9zwEAAI4DAAAOAAAAAAAAAAEA&#10;IAAAACoBAABkcnMvZTJvRG9jLnhtbFBLBQYAAAAABgAGAFkBAABrBQAAAAA=&#10;">
            <v:path/>
            <v:fill on="t" focussize="0,0"/>
            <v:stroke on="f"/>
            <v:imagedata o:title=""/>
            <o:lock v:ext="edit" aspectratio="f"/>
            <v:textbox>
              <w:txbxContent>
                <w:p>
                  <w:pPr>
                    <w:widowControl/>
                    <w:spacing w:line="200" w:lineRule="exact"/>
                    <w:rPr>
                      <w:rFonts w:hint="eastAsia"/>
                      <w:color w:val="FFFFFF"/>
                      <w:sz w:val="20"/>
                      <w:szCs w:val="20"/>
                    </w:rPr>
                  </w:pPr>
                  <w:r>
                    <w:rPr>
                      <w:rFonts w:hint="eastAsia"/>
                      <w:color w:val="FFFFFF"/>
                      <w:sz w:val="20"/>
                      <w:szCs w:val="20"/>
                    </w:rPr>
                    <w:t>易腐垃圾</w:t>
                  </w:r>
                </w:p>
                <w:p>
                  <w:pPr>
                    <w:widowControl/>
                    <w:spacing w:line="200" w:lineRule="exact"/>
                    <w:rPr>
                      <w:color w:val="FFFFFF"/>
                      <w:sz w:val="20"/>
                      <w:szCs w:val="20"/>
                    </w:rPr>
                  </w:pPr>
                  <w:r>
                    <w:rPr>
                      <w:rFonts w:hint="eastAsia"/>
                      <w:color w:val="FFFFFF"/>
                      <w:sz w:val="20"/>
                      <w:szCs w:val="20"/>
                    </w:rPr>
                    <w:t>Perishable Waste</w:t>
                  </w:r>
                </w:p>
                <w:p>
                  <w:pPr>
                    <w:widowControl/>
                    <w:rPr>
                      <w:rFonts w:hint="eastAsia"/>
                      <w:sz w:val="20"/>
                      <w:szCs w:val="20"/>
                    </w:rPr>
                  </w:pPr>
                </w:p>
              </w:txbxContent>
            </v:textbox>
          </v:shape>
        </w:pict>
      </w:r>
      <w:r>
        <w:rPr>
          <w:sz w:val="22"/>
        </w:rPr>
        <w:pict>
          <v:shape id="文本框 22" o:spid="_x0000_s1026" o:spt="202" type="#_x0000_t202" style="position:absolute;left:0pt;margin-left:269.5pt;margin-top:459pt;height:18.15pt;width:48.15pt;z-index:251661312;mso-width-relative:page;mso-height-relative:page;" filled="f" stroked="f" coordsize="21600,21600" o:gfxdata="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3njNkAAAALAQAADwAAAAAAAAABACAAAAAiAAAAZHJzL2Rvd25yZXYueG1sUEsBAhQA&#10;FAAAAAgAh07iQGNQEvW4AQAAZQMAAA4AAAAAAAAAAQAgAAAAKAEAAGRycy9lMm9Eb2MueG1sUEsF&#10;BgAAAAAGAAYAWQEAAFIFAAAAAA==&#10;">
            <v:path/>
            <v:fill on="f" focussize="0,0"/>
            <v:stroke on="f"/>
            <v:imagedata o:title=""/>
            <o:lock v:ext="edit" aspectratio="f"/>
            <v:textbox>
              <w:txbxContent>
                <w:p>
                  <w:pPr>
                    <w:rPr>
                      <w:rFonts w:eastAsia="微软雅黑"/>
                      <w:b/>
                      <w:bCs/>
                      <w:sz w:val="16"/>
                      <w:szCs w:val="16"/>
                    </w:rPr>
                  </w:pPr>
                  <w:r>
                    <w:rPr>
                      <w:rFonts w:hint="eastAsia"/>
                      <w:b/>
                      <w:bCs/>
                      <w:sz w:val="16"/>
                      <w:szCs w:val="16"/>
                    </w:rPr>
                    <w:t>监督电话</w:t>
                  </w:r>
                </w:p>
              </w:txbxContent>
            </v:textbox>
          </v:shape>
        </w:pict>
      </w:r>
      <w:r>
        <w:rPr>
          <w:sz w:val="22"/>
        </w:rPr>
        <w:pict>
          <v:shape id="文本框 21" o:spid="_x0000_s1027" o:spt="202" type="#_x0000_t202" style="position:absolute;left:0pt;margin-left:269.5pt;margin-top:351pt;height:18.15pt;width:48.15pt;z-index:251660288;mso-width-relative:page;mso-height-relative:page;" filled="f" stroked="f" coordsize="21600,21600" o:gfxdata="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Jdx02AAAAAsBAAAPAAAAAAAAAAEAIAAAACIAAABkcnMvZG93bnJldi54bWxQSwECFAAU&#10;AAAACACHTuJAiIiGHrgBAABlAwAADgAAAAAAAAABACAAAAAnAQAAZHJzL2Uyb0RvYy54bWxQSwUG&#10;AAAAAAYABgBZAQAAUQUAAAAA&#10;">
            <v:path/>
            <v:fill on="f" focussize="0,0"/>
            <v:stroke on="f"/>
            <v:imagedata o:title=""/>
            <o:lock v:ext="edit" aspectratio="f"/>
            <v:textbox>
              <w:txbxContent>
                <w:p>
                  <w:pPr>
                    <w:rPr>
                      <w:rFonts w:eastAsia="微软雅黑"/>
                      <w:b/>
                      <w:bCs/>
                      <w:sz w:val="16"/>
                      <w:szCs w:val="16"/>
                    </w:rPr>
                  </w:pPr>
                  <w:r>
                    <w:rPr>
                      <w:rFonts w:hint="eastAsia"/>
                      <w:b/>
                      <w:bCs/>
                      <w:sz w:val="16"/>
                      <w:szCs w:val="16"/>
                    </w:rPr>
                    <w:t>监督电话</w:t>
                  </w:r>
                </w:p>
              </w:txbxContent>
            </v:textbox>
          </v:shape>
        </w:pict>
      </w:r>
      <w:r>
        <w:drawing>
          <wp:inline distT="0" distB="0" distL="114300" distR="114300">
            <wp:extent cx="5130165" cy="7249795"/>
            <wp:effectExtent l="0" t="0" r="5715" b="444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1"/>
                    <a:stretch>
                      <a:fillRect/>
                    </a:stretch>
                  </pic:blipFill>
                  <pic:spPr>
                    <a:xfrm>
                      <a:off x="0" y="0"/>
                      <a:ext cx="5130165" cy="7249795"/>
                    </a:xfrm>
                    <a:prstGeom prst="rect">
                      <a:avLst/>
                    </a:prstGeom>
                    <a:noFill/>
                    <a:ln w="9525">
                      <a:noFill/>
                    </a:ln>
                  </pic:spPr>
                </pic:pic>
              </a:graphicData>
            </a:graphic>
          </wp:inline>
        </w:drawing>
      </w:r>
      <w:r>
        <w:rPr>
          <w:rFonts w:hint="eastAsia"/>
        </w:rPr>
        <w:tab/>
      </w:r>
      <w:r>
        <w:drawing>
          <wp:inline distT="0" distB="0" distL="114300" distR="114300">
            <wp:extent cx="4352925" cy="3800475"/>
            <wp:effectExtent l="0" t="0" r="5715"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a:stretch>
                      <a:fillRect/>
                    </a:stretch>
                  </pic:blipFill>
                  <pic:spPr>
                    <a:xfrm>
                      <a:off x="0" y="0"/>
                      <a:ext cx="4352925" cy="3800475"/>
                    </a:xfrm>
                    <a:prstGeom prst="rect">
                      <a:avLst/>
                    </a:prstGeom>
                    <a:noFill/>
                    <a:ln w="9525">
                      <a:noFill/>
                    </a:ln>
                  </pic:spPr>
                </pic:pic>
              </a:graphicData>
            </a:graphic>
          </wp:inline>
        </w:drawing>
      </w:r>
    </w:p>
    <w:p>
      <w:pPr>
        <w:tabs>
          <w:tab w:val="left" w:pos="3555"/>
        </w:tabs>
        <w:jc w:val="center"/>
        <w:rPr>
          <w:rFonts w:hint="eastAsia" w:eastAsia="微软雅黑"/>
        </w:rPr>
      </w:pPr>
      <w:r>
        <w:rPr>
          <w:rFonts w:hint="eastAsia"/>
        </w:rPr>
        <w:t>注：车厢两侧前上角设置金华城市标志</w:t>
      </w:r>
    </w:p>
    <w:p>
      <w:pPr>
        <w:jc w:val="left"/>
        <w:rPr>
          <w:rFonts w:hint="eastAsia" w:ascii="仿宋_GB2312" w:hAnsi="Tahoma"/>
          <w:szCs w:val="32"/>
        </w:rPr>
      </w:pPr>
    </w:p>
    <w:p>
      <w:pPr>
        <w:jc w:val="left"/>
        <w:rPr>
          <w:rFonts w:hint="eastAsia" w:ascii="仿宋_GB2312" w:hAnsi="Tahoma"/>
          <w:szCs w:val="32"/>
        </w:rPr>
      </w:pPr>
    </w:p>
    <w:p/>
    <w:p>
      <w:pPr>
        <w:pStyle w:val="2"/>
        <w:rPr>
          <w:rFonts w:hint="eastAsia" w:ascii="仿宋_GB2312" w:hAnsi="仿宋_GB2312" w:eastAsia="仿宋_GB2312" w:cs="仿宋_GB2312"/>
          <w:sz w:val="32"/>
          <w:szCs w:val="32"/>
          <w:lang w:val="en-US" w:eastAsia="zh-CN"/>
        </w:rPr>
      </w:pPr>
    </w:p>
    <w:p>
      <w:pPr>
        <w:rPr>
          <w:rFonts w:hint="eastAsia"/>
          <w:lang w:val="en-US"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JhengHei UI">
    <w:altName w:val="Microsoft JhengHei"/>
    <w:panose1 w:val="020B06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11840CC7"/>
    <w:rsid w:val="19402C50"/>
    <w:rsid w:val="36990D35"/>
    <w:rsid w:val="4D7D33AF"/>
    <w:rsid w:val="54442DCE"/>
    <w:rsid w:val="5B730F17"/>
    <w:rsid w:val="6A2E3369"/>
    <w:rsid w:val="6D5900B3"/>
    <w:rsid w:val="742D7FA7"/>
    <w:rsid w:val="775C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9"/>
    <w:pPr>
      <w:autoSpaceDE w:val="0"/>
      <w:autoSpaceDN w:val="0"/>
      <w:spacing w:line="610" w:lineRule="exact"/>
      <w:ind w:left="1138"/>
      <w:jc w:val="center"/>
      <w:outlineLvl w:val="0"/>
    </w:pPr>
    <w:rPr>
      <w:rFonts w:ascii="Microsoft JhengHei UI" w:hAnsi="Microsoft JhengHei UI" w:eastAsia="Microsoft JhengHei UI" w:cs="Microsoft JhengHei UI"/>
      <w:b/>
      <w:bCs/>
      <w:kern w:val="0"/>
      <w:sz w:val="36"/>
      <w:szCs w:val="36"/>
      <w:lang w:val="zh-CN"/>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2023-12-12T07:23:52Z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B1C8D0A3E3F943C59746DBAD3FCB6ED4</vt:lpwstr>
  </property>
</Properties>
</file>