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7B7B6">
      <w:pPr>
        <w:ind w:firstLine="640"/>
        <w:rPr>
          <w:rFonts w:ascii="Times New Roman" w:hAnsi="Times New Roman" w:cs="Times New Roman"/>
          <w:lang w:eastAsia="zh-CN"/>
        </w:rPr>
      </w:pPr>
    </w:p>
    <w:p w14:paraId="701F879F">
      <w:pPr>
        <w:ind w:firstLine="640"/>
        <w:rPr>
          <w:rFonts w:ascii="Times New Roman" w:hAnsi="Times New Roman" w:cs="Times New Roman"/>
          <w:lang w:eastAsia="zh-CN"/>
        </w:rPr>
      </w:pPr>
    </w:p>
    <w:p w14:paraId="04A2DC0C">
      <w:pPr>
        <w:ind w:firstLine="640"/>
        <w:rPr>
          <w:rFonts w:ascii="Times New Roman" w:hAnsi="Times New Roman" w:cs="Times New Roman"/>
          <w:lang w:eastAsia="zh-CN"/>
        </w:rPr>
      </w:pPr>
    </w:p>
    <w:p w14:paraId="76E06071">
      <w:pPr>
        <w:spacing w:before="422" w:line="413" w:lineRule="auto"/>
        <w:ind w:firstLine="0" w:firstLineChars="0"/>
        <w:jc w:val="center"/>
        <w:rPr>
          <w:rFonts w:ascii="Times New Roman" w:hAnsi="Times New Roman" w:eastAsia="黑体" w:cs="Times New Roman"/>
          <w:sz w:val="48"/>
          <w:szCs w:val="48"/>
          <w:lang w:eastAsia="zh-CN"/>
        </w:rPr>
      </w:pPr>
      <w:r>
        <w:rPr>
          <w:rFonts w:ascii="Times New Roman" w:hAnsi="Times New Roman" w:eastAsia="黑体" w:cs="Times New Roman"/>
          <w:sz w:val="48"/>
          <w:szCs w:val="48"/>
          <w:lang w:eastAsia="zh-CN"/>
        </w:rPr>
        <w:t>桐乡市2024年度</w:t>
      </w:r>
      <w:r>
        <w:rPr>
          <w:rFonts w:hint="eastAsia" w:ascii="Times New Roman" w:hAnsi="Times New Roman" w:eastAsia="黑体" w:cs="Times New Roman"/>
          <w:sz w:val="48"/>
          <w:szCs w:val="48"/>
          <w:lang w:eastAsia="zh-CN"/>
        </w:rPr>
        <w:t>第二批</w:t>
      </w:r>
      <w:r>
        <w:rPr>
          <w:rFonts w:ascii="Times New Roman" w:hAnsi="Times New Roman" w:eastAsia="黑体" w:cs="Times New Roman"/>
          <w:sz w:val="48"/>
          <w:szCs w:val="48"/>
          <w:lang w:eastAsia="zh-CN"/>
        </w:rPr>
        <w:t>土地征收</w:t>
      </w:r>
    </w:p>
    <w:p w14:paraId="18E0D613">
      <w:pPr>
        <w:spacing w:before="422" w:line="413" w:lineRule="auto"/>
        <w:ind w:firstLine="0" w:firstLineChars="0"/>
        <w:jc w:val="center"/>
        <w:rPr>
          <w:rFonts w:ascii="Times New Roman" w:hAnsi="Times New Roman" w:eastAsia="黑体" w:cs="Times New Roman"/>
          <w:sz w:val="48"/>
          <w:szCs w:val="48"/>
          <w:lang w:eastAsia="zh-CN"/>
        </w:rPr>
      </w:pPr>
      <w:r>
        <w:rPr>
          <w:rFonts w:ascii="Times New Roman" w:hAnsi="Times New Roman" w:eastAsia="黑体" w:cs="Times New Roman"/>
          <w:sz w:val="48"/>
          <w:szCs w:val="48"/>
          <w:lang w:eastAsia="zh-CN"/>
        </w:rPr>
        <w:t>成片开发方案</w:t>
      </w:r>
    </w:p>
    <w:p w14:paraId="048156AC">
      <w:pPr>
        <w:spacing w:line="455" w:lineRule="exact"/>
        <w:ind w:firstLine="0" w:firstLineChars="0"/>
        <w:jc w:val="center"/>
        <w:rPr>
          <w:rFonts w:ascii="Times New Roman" w:hAnsi="Times New Roman" w:eastAsia="楷体" w:cs="Times New Roman"/>
          <w:sz w:val="36"/>
          <w:lang w:eastAsia="zh-CN"/>
        </w:rPr>
      </w:pPr>
    </w:p>
    <w:p w14:paraId="70E6A7B3">
      <w:pPr>
        <w:spacing w:line="455" w:lineRule="exact"/>
        <w:ind w:firstLine="0" w:firstLineChars="0"/>
        <w:jc w:val="center"/>
        <w:rPr>
          <w:rFonts w:ascii="Times New Roman" w:hAnsi="Times New Roman" w:eastAsia="楷体" w:cs="Times New Roman"/>
          <w:sz w:val="36"/>
          <w:lang w:eastAsia="zh-CN"/>
        </w:rPr>
      </w:pPr>
    </w:p>
    <w:p w14:paraId="5BBC661A">
      <w:pPr>
        <w:spacing w:line="455" w:lineRule="exact"/>
        <w:ind w:firstLine="0" w:firstLineChars="0"/>
        <w:jc w:val="center"/>
        <w:rPr>
          <w:rFonts w:ascii="Times New Roman" w:hAnsi="Times New Roman" w:eastAsia="楷体" w:cs="Times New Roman"/>
          <w:sz w:val="36"/>
          <w:lang w:eastAsia="zh-CN"/>
        </w:rPr>
      </w:pPr>
    </w:p>
    <w:p w14:paraId="65A5D8D2">
      <w:pPr>
        <w:spacing w:line="455" w:lineRule="exact"/>
        <w:ind w:firstLine="0" w:firstLineChars="0"/>
        <w:jc w:val="center"/>
        <w:rPr>
          <w:rFonts w:ascii="Times New Roman" w:hAnsi="Times New Roman" w:eastAsia="楷体" w:cs="Times New Roman"/>
          <w:sz w:val="36"/>
          <w:lang w:eastAsia="zh-CN"/>
        </w:rPr>
      </w:pPr>
    </w:p>
    <w:p w14:paraId="267BE747">
      <w:pPr>
        <w:spacing w:line="455" w:lineRule="exact"/>
        <w:ind w:firstLine="0" w:firstLineChars="0"/>
        <w:jc w:val="center"/>
        <w:rPr>
          <w:rFonts w:ascii="Times New Roman" w:hAnsi="Times New Roman" w:eastAsia="楷体" w:cs="Times New Roman"/>
          <w:sz w:val="36"/>
          <w:lang w:eastAsia="zh-CN"/>
        </w:rPr>
      </w:pPr>
    </w:p>
    <w:p w14:paraId="7A645359">
      <w:pPr>
        <w:spacing w:line="455" w:lineRule="exact"/>
        <w:ind w:firstLine="0" w:firstLineChars="0"/>
        <w:jc w:val="center"/>
        <w:rPr>
          <w:rFonts w:ascii="Times New Roman" w:hAnsi="Times New Roman" w:eastAsia="楷体" w:cs="Times New Roman"/>
          <w:sz w:val="36"/>
          <w:lang w:eastAsia="zh-CN"/>
        </w:rPr>
      </w:pPr>
    </w:p>
    <w:p w14:paraId="75DE8540">
      <w:pPr>
        <w:spacing w:line="455" w:lineRule="exact"/>
        <w:ind w:firstLine="0" w:firstLineChars="0"/>
        <w:jc w:val="center"/>
        <w:rPr>
          <w:rFonts w:ascii="Times New Roman" w:hAnsi="Times New Roman" w:eastAsia="楷体" w:cs="Times New Roman"/>
          <w:sz w:val="36"/>
          <w:lang w:eastAsia="zh-CN"/>
        </w:rPr>
      </w:pPr>
    </w:p>
    <w:p w14:paraId="74AAD545">
      <w:pPr>
        <w:spacing w:line="455" w:lineRule="exact"/>
        <w:ind w:firstLine="0" w:firstLineChars="0"/>
        <w:jc w:val="center"/>
        <w:rPr>
          <w:rFonts w:ascii="Times New Roman" w:hAnsi="Times New Roman" w:eastAsia="楷体" w:cs="Times New Roman"/>
          <w:sz w:val="36"/>
          <w:lang w:eastAsia="zh-CN"/>
        </w:rPr>
      </w:pPr>
    </w:p>
    <w:p w14:paraId="58C49CFE">
      <w:pPr>
        <w:spacing w:line="455" w:lineRule="exact"/>
        <w:ind w:firstLine="0" w:firstLineChars="0"/>
        <w:jc w:val="center"/>
        <w:rPr>
          <w:rFonts w:ascii="Times New Roman" w:hAnsi="Times New Roman" w:eastAsia="楷体" w:cs="Times New Roman"/>
          <w:sz w:val="36"/>
          <w:lang w:eastAsia="zh-CN"/>
        </w:rPr>
      </w:pPr>
    </w:p>
    <w:p w14:paraId="09C7AFE4">
      <w:pPr>
        <w:spacing w:line="455" w:lineRule="exact"/>
        <w:ind w:firstLine="0" w:firstLineChars="0"/>
        <w:jc w:val="center"/>
        <w:rPr>
          <w:rFonts w:ascii="Times New Roman" w:hAnsi="Times New Roman" w:eastAsia="楷体" w:cs="Times New Roman"/>
          <w:sz w:val="36"/>
          <w:lang w:eastAsia="zh-CN"/>
        </w:rPr>
      </w:pPr>
    </w:p>
    <w:p w14:paraId="4CB37BB8">
      <w:pPr>
        <w:spacing w:line="455" w:lineRule="exact"/>
        <w:ind w:firstLine="0" w:firstLineChars="0"/>
        <w:jc w:val="center"/>
        <w:rPr>
          <w:rFonts w:ascii="Times New Roman" w:hAnsi="Times New Roman" w:eastAsia="楷体" w:cs="Times New Roman"/>
          <w:sz w:val="36"/>
          <w:lang w:eastAsia="zh-CN"/>
        </w:rPr>
      </w:pPr>
    </w:p>
    <w:p w14:paraId="1C9E1D09">
      <w:pPr>
        <w:spacing w:line="455" w:lineRule="exact"/>
        <w:ind w:firstLine="0" w:firstLineChars="0"/>
        <w:jc w:val="center"/>
        <w:rPr>
          <w:rFonts w:ascii="Times New Roman" w:hAnsi="Times New Roman" w:eastAsia="楷体" w:cs="Times New Roman"/>
          <w:sz w:val="36"/>
          <w:lang w:eastAsia="zh-CN"/>
        </w:rPr>
      </w:pPr>
    </w:p>
    <w:p w14:paraId="78CC97EA">
      <w:pPr>
        <w:spacing w:line="455" w:lineRule="exact"/>
        <w:ind w:firstLine="0" w:firstLineChars="0"/>
        <w:jc w:val="center"/>
        <w:rPr>
          <w:rFonts w:ascii="Times New Roman" w:hAnsi="Times New Roman" w:eastAsia="楷体" w:cs="Times New Roman"/>
          <w:sz w:val="36"/>
          <w:lang w:eastAsia="zh-CN"/>
        </w:rPr>
      </w:pPr>
    </w:p>
    <w:p w14:paraId="5BECEE4F">
      <w:pPr>
        <w:spacing w:line="455" w:lineRule="exact"/>
        <w:ind w:firstLine="0" w:firstLineChars="0"/>
        <w:jc w:val="center"/>
        <w:rPr>
          <w:rFonts w:ascii="Times New Roman" w:hAnsi="Times New Roman" w:eastAsia="楷体" w:cs="Times New Roman"/>
          <w:sz w:val="36"/>
          <w:lang w:eastAsia="zh-CN"/>
        </w:rPr>
      </w:pPr>
    </w:p>
    <w:p w14:paraId="2B7F21BF">
      <w:pPr>
        <w:spacing w:line="455" w:lineRule="exact"/>
        <w:ind w:firstLine="0" w:firstLineChars="0"/>
        <w:rPr>
          <w:rFonts w:ascii="Times New Roman" w:hAnsi="Times New Roman" w:eastAsia="楷体" w:cs="Times New Roman"/>
          <w:sz w:val="36"/>
          <w:lang w:eastAsia="zh-CN"/>
        </w:rPr>
      </w:pPr>
    </w:p>
    <w:p w14:paraId="473E5615">
      <w:pPr>
        <w:spacing w:line="455" w:lineRule="exact"/>
        <w:ind w:firstLine="720"/>
        <w:jc w:val="center"/>
        <w:rPr>
          <w:rFonts w:ascii="Times New Roman" w:hAnsi="Times New Roman" w:eastAsia="楷体" w:cs="Times New Roman"/>
          <w:sz w:val="36"/>
          <w:lang w:eastAsia="zh-CN"/>
        </w:rPr>
      </w:pPr>
    </w:p>
    <w:p w14:paraId="3D793839">
      <w:pPr>
        <w:widowControl/>
        <w:ind w:firstLine="0" w:firstLineChars="0"/>
        <w:jc w:val="center"/>
        <w:rPr>
          <w:lang w:eastAsia="zh-CN"/>
        </w:rPr>
      </w:pPr>
      <w:r>
        <w:rPr>
          <w:rFonts w:ascii="仿宋" w:hAnsi="仿宋" w:cs="仿宋"/>
          <w:color w:val="000000"/>
          <w:sz w:val="31"/>
          <w:szCs w:val="31"/>
          <w:lang w:eastAsia="zh-CN" w:bidi="ar"/>
        </w:rPr>
        <w:t>编制单位：</w:t>
      </w:r>
      <w:r>
        <w:rPr>
          <w:rFonts w:hint="eastAsia" w:ascii="仿宋" w:hAnsi="仿宋" w:cs="仿宋"/>
          <w:color w:val="000000"/>
          <w:sz w:val="31"/>
          <w:szCs w:val="31"/>
          <w:lang w:eastAsia="zh-CN" w:bidi="ar"/>
        </w:rPr>
        <w:t>桐乡市人民政府</w:t>
      </w:r>
    </w:p>
    <w:p w14:paraId="6E6EBF51">
      <w:pPr>
        <w:widowControl/>
        <w:ind w:firstLine="0" w:firstLineChars="0"/>
        <w:jc w:val="center"/>
        <w:rPr>
          <w:rFonts w:eastAsia="宋体"/>
          <w:sz w:val="36"/>
          <w:szCs w:val="36"/>
          <w:lang w:eastAsia="zh-CN"/>
        </w:rPr>
      </w:pPr>
      <w:r>
        <w:rPr>
          <w:rFonts w:hint="eastAsia" w:ascii="仿宋" w:hAnsi="仿宋" w:cs="仿宋"/>
          <w:color w:val="000000"/>
          <w:sz w:val="31"/>
          <w:szCs w:val="31"/>
          <w:lang w:eastAsia="zh-CN" w:bidi="ar"/>
        </w:rPr>
        <w:t>编制时间：</w:t>
      </w:r>
      <w:r>
        <w:rPr>
          <w:rFonts w:hint="eastAsia" w:ascii="Times New Roman" w:hAnsi="Times New Roman" w:eastAsia="宋体" w:cs="Times New Roman"/>
          <w:color w:val="000000"/>
          <w:sz w:val="31"/>
          <w:szCs w:val="31"/>
          <w:lang w:eastAsia="zh-CN" w:bidi="ar"/>
        </w:rPr>
        <w:t>2024</w:t>
      </w:r>
      <w:r>
        <w:rPr>
          <w:rFonts w:hint="eastAsia" w:ascii="仿宋" w:hAnsi="仿宋" w:cs="仿宋"/>
          <w:color w:val="000000"/>
          <w:sz w:val="31"/>
          <w:szCs w:val="31"/>
          <w:lang w:eastAsia="zh-CN" w:bidi="ar"/>
        </w:rPr>
        <w:t>年</w:t>
      </w:r>
      <w:r>
        <w:rPr>
          <w:rFonts w:hint="eastAsia" w:ascii="Times New Roman" w:hAnsi="Times New Roman" w:eastAsia="宋体" w:cs="Times New Roman"/>
          <w:color w:val="000000"/>
          <w:sz w:val="31"/>
          <w:szCs w:val="31"/>
          <w:lang w:eastAsia="zh-CN" w:bidi="ar"/>
        </w:rPr>
        <w:t>6</w:t>
      </w:r>
      <w:r>
        <w:rPr>
          <w:rFonts w:hint="eastAsia" w:ascii="仿宋" w:hAnsi="仿宋" w:cs="仿宋"/>
          <w:color w:val="000000"/>
          <w:sz w:val="31"/>
          <w:szCs w:val="31"/>
          <w:lang w:eastAsia="zh-CN" w:bidi="ar"/>
        </w:rPr>
        <w:t>月</w:t>
      </w:r>
    </w:p>
    <w:p w14:paraId="29AE73BF">
      <w:pPr>
        <w:spacing w:line="455" w:lineRule="exact"/>
        <w:ind w:firstLine="720"/>
        <w:jc w:val="center"/>
        <w:rPr>
          <w:rFonts w:ascii="Times New Roman" w:hAnsi="Times New Roman" w:eastAsia="楷体" w:cs="Times New Roman"/>
          <w:sz w:val="36"/>
          <w:lang w:eastAsia="zh-CN"/>
        </w:rPr>
      </w:pPr>
    </w:p>
    <w:p w14:paraId="249B40D4">
      <w:pPr>
        <w:ind w:firstLine="0" w:firstLineChars="0"/>
        <w:rPr>
          <w:rFonts w:ascii="Times New Roman" w:hAnsi="Times New Roman" w:eastAsia="黑体" w:cs="Times New Roman"/>
          <w:bCs/>
          <w:szCs w:val="32"/>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start="1"/>
          <w:cols w:space="425" w:num="1"/>
          <w:titlePg/>
          <w:docGrid w:linePitch="435" w:charSpace="0"/>
        </w:sectPr>
      </w:pPr>
    </w:p>
    <w:p w14:paraId="7312C1B4">
      <w:pPr>
        <w:ind w:firstLine="640"/>
        <w:rPr>
          <w:rFonts w:ascii="Times New Roman" w:hAnsi="Times New Roman" w:eastAsia="黑体" w:cs="Times New Roman"/>
          <w:bCs/>
          <w:szCs w:val="32"/>
          <w:lang w:eastAsia="zh-CN"/>
        </w:rPr>
      </w:pPr>
      <w:r>
        <w:rPr>
          <w:rFonts w:ascii="Times New Roman" w:hAnsi="Times New Roman" w:eastAsia="黑体" w:cs="Times New Roman"/>
          <w:bCs/>
          <w:szCs w:val="32"/>
          <w:lang w:eastAsia="zh-CN"/>
        </w:rPr>
        <w:t>一、基本情况</w:t>
      </w:r>
    </w:p>
    <w:p w14:paraId="319E1B8A">
      <w:pPr>
        <w:ind w:firstLine="643"/>
        <w:rPr>
          <w:rFonts w:ascii="Times New Roman" w:hAnsi="Times New Roman" w:eastAsia="仿宋_GB2312" w:cs="Times New Roman"/>
          <w:b/>
          <w:bCs/>
          <w:kern w:val="2"/>
          <w:szCs w:val="32"/>
          <w:lang w:eastAsia="zh-CN"/>
        </w:rPr>
      </w:pPr>
      <w:r>
        <w:rPr>
          <w:rFonts w:ascii="Times New Roman" w:hAnsi="Times New Roman" w:eastAsia="仿宋_GB2312" w:cs="Times New Roman"/>
          <w:b/>
          <w:bCs/>
          <w:kern w:val="2"/>
          <w:szCs w:val="32"/>
          <w:lang w:eastAsia="zh-CN"/>
        </w:rPr>
        <w:t>（一）背景与区域概况</w:t>
      </w:r>
    </w:p>
    <w:p w14:paraId="19934E6F">
      <w:pPr>
        <w:ind w:firstLine="596"/>
        <w:rPr>
          <w:rFonts w:ascii="Times New Roman" w:hAnsi="Times New Roman" w:eastAsia="仿宋_GB2312" w:cs="Times New Roman"/>
          <w:szCs w:val="32"/>
          <w:lang w:eastAsia="zh-CN"/>
        </w:rPr>
      </w:pPr>
      <w:r>
        <w:rPr>
          <w:rFonts w:ascii="Times New Roman" w:hAnsi="Times New Roman" w:eastAsia="仿宋_GB2312" w:cs="Times New Roman"/>
          <w:bCs/>
          <w:spacing w:val="-1"/>
          <w:sz w:val="30"/>
          <w:szCs w:val="30"/>
          <w:lang w:eastAsia="zh-CN"/>
        </w:rPr>
        <w:t>1、背景</w:t>
      </w:r>
    </w:p>
    <w:p w14:paraId="4334AEDF">
      <w:pPr>
        <w:pStyle w:val="26"/>
        <w:spacing w:line="360" w:lineRule="auto"/>
        <w:ind w:firstLine="600"/>
        <w:jc w:val="both"/>
        <w:rPr>
          <w:rFonts w:cs="Times New Roman"/>
          <w:sz w:val="30"/>
          <w:szCs w:val="30"/>
        </w:rPr>
      </w:pPr>
      <w:r>
        <w:rPr>
          <w:rFonts w:cs="Times New Roman"/>
          <w:sz w:val="30"/>
          <w:szCs w:val="30"/>
        </w:rPr>
        <w:t>桐乡市位于浙江省北部，长江三角洲的东南部，属杭嘉湖平原水网地带，地理坐标为东经（120°17′40″——120°39′45″），北纬（30°28′18″——30°47′48″），东距上海131公里，北离苏州74公里，西邻杭州65公里，居沪、杭、苏核心区之中，市域总面积为727.49平方千米。境内有沪杭高速公路、沪杭高速铁路、320国道线和京杭大运河等重要交通干线。</w:t>
      </w:r>
    </w:p>
    <w:p w14:paraId="572583D7">
      <w:pPr>
        <w:pStyle w:val="26"/>
        <w:spacing w:line="360" w:lineRule="auto"/>
        <w:ind w:firstLine="600"/>
        <w:jc w:val="both"/>
        <w:rPr>
          <w:rFonts w:cs="Times New Roman"/>
          <w:sz w:val="30"/>
          <w:szCs w:val="30"/>
        </w:rPr>
      </w:pPr>
      <w:r>
        <w:rPr>
          <w:rFonts w:cs="Times New Roman"/>
          <w:sz w:val="30"/>
          <w:szCs w:val="30"/>
        </w:rPr>
        <w:t>桐乡市境为长江三角洲平原的一部分，境内地势低平，无一山丘，大致东南高、西北低，略向太湖倾斜，平均海拔5.3米。境内土壤母质为江、海、湖沼沉积物，包括水稻土和潮土两类，土地肥沃，适宜种植水稻和经济类作物。属典型的亚热带季风气候，温暖湿润、四季分明、雨水丰沛、日照充足，具有春湿、夏热、秋燥、冬冷的气候特点。无破坏性严重的自然灾害。桐乡地处江南水网平原，因水而生，境内河、港、荡、漾纵横交错。境内河流属长江流域太湖运河水系，以京杭古运河为轴线，向两侧逐级分支，纵横交织形成树状分布的河网水系。</w:t>
      </w:r>
    </w:p>
    <w:p w14:paraId="553FBF59">
      <w:pPr>
        <w:pStyle w:val="26"/>
        <w:spacing w:line="360" w:lineRule="auto"/>
        <w:ind w:firstLine="600"/>
        <w:jc w:val="both"/>
        <w:rPr>
          <w:rFonts w:cs="Times New Roman"/>
          <w:sz w:val="30"/>
          <w:szCs w:val="30"/>
        </w:rPr>
      </w:pPr>
      <w:r>
        <w:rPr>
          <w:rFonts w:cs="Times New Roman"/>
          <w:sz w:val="30"/>
          <w:szCs w:val="30"/>
        </w:rPr>
        <w:t>全年实现生产总值(GDP)802.61亿元，在嘉兴市域排名第二位。比上年增长7.1%，其中:第一产业增加值25.68亿元，增长2.2%；第二产业增加值406.05亿元，增长7.4%；第三产业增加值370.89亿元，增长7.2%。三次产业结构比例为3.2：50.6：46.2。高新技术产业增加至49.80亿元，占工业增加值11.96%。第二产业中，主导产业分别为：化学纤维业、非金属矿物制品业、纺织业、计算机/通信和其他电子设备制造业。农业资源丰富，发展态势良好，农业生产发展稳健，现代农业全面发展；工业经济提质增效，传统产业体量大、效益高，形成“一镇一业”的时尚产业分布格局；第三产业稳步增长，高等院校建设有序推进，初步形成“互联网+旅游+健康+商贸物流”产业体系。</w:t>
      </w:r>
    </w:p>
    <w:p w14:paraId="099C96EC">
      <w:pPr>
        <w:ind w:firstLine="596"/>
        <w:rPr>
          <w:rFonts w:ascii="Times New Roman" w:hAnsi="Times New Roman" w:eastAsia="仿宋_GB2312" w:cs="Times New Roman"/>
          <w:b/>
          <w:spacing w:val="-1"/>
          <w:sz w:val="30"/>
          <w:szCs w:val="30"/>
          <w:lang w:eastAsia="zh-CN"/>
        </w:rPr>
      </w:pPr>
      <w:r>
        <w:rPr>
          <w:rFonts w:ascii="Times New Roman" w:hAnsi="Times New Roman" w:eastAsia="仿宋_GB2312" w:cs="Times New Roman"/>
          <w:bCs/>
          <w:spacing w:val="-1"/>
          <w:sz w:val="30"/>
          <w:szCs w:val="30"/>
          <w:lang w:eastAsia="zh-CN"/>
        </w:rPr>
        <w:t>2、编制依据</w:t>
      </w:r>
    </w:p>
    <w:p w14:paraId="57568A30">
      <w:pPr>
        <w:pStyle w:val="26"/>
        <w:spacing w:line="360" w:lineRule="auto"/>
        <w:ind w:firstLine="600"/>
        <w:jc w:val="both"/>
        <w:rPr>
          <w:rFonts w:cs="Times New Roman"/>
          <w:sz w:val="30"/>
          <w:szCs w:val="30"/>
        </w:rPr>
      </w:pPr>
      <w:bookmarkStart w:id="0" w:name="_Toc32263701"/>
      <w:bookmarkStart w:id="1" w:name="_Toc32222423"/>
      <w:r>
        <w:rPr>
          <w:rFonts w:cs="Times New Roman"/>
          <w:sz w:val="30"/>
          <w:szCs w:val="30"/>
        </w:rPr>
        <w:t>（1）《中华人民共和国土地管理法》（2019年）；</w:t>
      </w:r>
    </w:p>
    <w:p w14:paraId="2E0044F5">
      <w:pPr>
        <w:pStyle w:val="26"/>
        <w:spacing w:line="360" w:lineRule="auto"/>
        <w:ind w:firstLine="600"/>
        <w:jc w:val="both"/>
        <w:rPr>
          <w:rFonts w:cs="Times New Roman"/>
          <w:sz w:val="30"/>
          <w:szCs w:val="30"/>
        </w:rPr>
      </w:pPr>
      <w:r>
        <w:rPr>
          <w:rFonts w:cs="Times New Roman"/>
          <w:sz w:val="30"/>
          <w:szCs w:val="30"/>
        </w:rPr>
        <w:t>（2）《中华人民共和国湿地保护法》；</w:t>
      </w:r>
    </w:p>
    <w:p w14:paraId="5B622599">
      <w:pPr>
        <w:pStyle w:val="26"/>
        <w:spacing w:line="360" w:lineRule="auto"/>
        <w:ind w:firstLine="600"/>
        <w:jc w:val="both"/>
        <w:rPr>
          <w:rFonts w:cs="Times New Roman"/>
          <w:sz w:val="30"/>
          <w:szCs w:val="30"/>
        </w:rPr>
      </w:pPr>
      <w:r>
        <w:rPr>
          <w:rFonts w:cs="Times New Roman"/>
          <w:sz w:val="30"/>
          <w:szCs w:val="30"/>
        </w:rPr>
        <w:t>（3）《中华人民共和国森林法》；</w:t>
      </w:r>
    </w:p>
    <w:p w14:paraId="5F493A11">
      <w:pPr>
        <w:pStyle w:val="26"/>
        <w:spacing w:line="360" w:lineRule="auto"/>
        <w:ind w:firstLine="600"/>
        <w:jc w:val="both"/>
        <w:rPr>
          <w:rFonts w:cs="Times New Roman"/>
          <w:sz w:val="30"/>
          <w:szCs w:val="30"/>
        </w:rPr>
      </w:pPr>
      <w:r>
        <w:rPr>
          <w:rFonts w:cs="Times New Roman"/>
          <w:sz w:val="30"/>
          <w:szCs w:val="30"/>
        </w:rPr>
        <w:t>（4）《自然资源部关于印发&lt;土地征收成片开发标准</w:t>
      </w:r>
      <w:r>
        <w:rPr>
          <w:rFonts w:hint="eastAsia" w:cs="Times New Roman"/>
          <w:sz w:val="30"/>
          <w:szCs w:val="30"/>
        </w:rPr>
        <w:t>&gt;</w:t>
      </w:r>
      <w:r>
        <w:rPr>
          <w:rFonts w:cs="Times New Roman"/>
          <w:sz w:val="30"/>
          <w:szCs w:val="30"/>
        </w:rPr>
        <w:t>的通知》（自然资规〔2023〕7号）；</w:t>
      </w:r>
    </w:p>
    <w:p w14:paraId="17459610">
      <w:pPr>
        <w:pStyle w:val="26"/>
        <w:spacing w:line="360" w:lineRule="auto"/>
        <w:ind w:firstLine="600"/>
        <w:jc w:val="both"/>
        <w:rPr>
          <w:rFonts w:cs="Times New Roman"/>
          <w:sz w:val="30"/>
          <w:szCs w:val="30"/>
        </w:rPr>
      </w:pPr>
      <w:r>
        <w:rPr>
          <w:rFonts w:cs="Times New Roman"/>
          <w:sz w:val="30"/>
          <w:szCs w:val="30"/>
        </w:rPr>
        <w:t>（5）</w:t>
      </w:r>
      <w:r>
        <w:rPr>
          <w:rFonts w:cs="Times New Roman"/>
          <w:spacing w:val="-1"/>
          <w:sz w:val="30"/>
          <w:szCs w:val="30"/>
        </w:rPr>
        <w:t>《浙江省自然资源厅关于印发</w:t>
      </w:r>
      <w:r>
        <w:rPr>
          <w:rFonts w:cs="Times New Roman"/>
          <w:sz w:val="30"/>
          <w:szCs w:val="30"/>
        </w:rPr>
        <w:t>&lt;</w:t>
      </w:r>
      <w:r>
        <w:rPr>
          <w:rFonts w:cs="Times New Roman"/>
          <w:spacing w:val="-1"/>
          <w:sz w:val="30"/>
          <w:szCs w:val="30"/>
        </w:rPr>
        <w:t>浙江省土地征收成片开发方案编制与审核办法</w:t>
      </w:r>
      <w:r>
        <w:rPr>
          <w:rFonts w:hint="eastAsia" w:cs="Times New Roman"/>
          <w:spacing w:val="-1"/>
          <w:sz w:val="30"/>
          <w:szCs w:val="30"/>
        </w:rPr>
        <w:t>&gt;的通知</w:t>
      </w:r>
      <w:r>
        <w:rPr>
          <w:rFonts w:cs="Times New Roman"/>
          <w:spacing w:val="-1"/>
          <w:sz w:val="30"/>
          <w:szCs w:val="30"/>
        </w:rPr>
        <w:t>》（浙自然资规〔202</w:t>
      </w:r>
      <w:r>
        <w:rPr>
          <w:rFonts w:hint="eastAsia" w:cs="Times New Roman"/>
          <w:spacing w:val="-1"/>
          <w:sz w:val="30"/>
          <w:szCs w:val="30"/>
        </w:rPr>
        <w:t>4</w:t>
      </w:r>
      <w:r>
        <w:rPr>
          <w:rFonts w:cs="Times New Roman"/>
          <w:spacing w:val="-1"/>
          <w:sz w:val="30"/>
          <w:szCs w:val="30"/>
        </w:rPr>
        <w:t>〕</w:t>
      </w:r>
      <w:r>
        <w:rPr>
          <w:rFonts w:hint="eastAsia" w:cs="Times New Roman"/>
          <w:spacing w:val="-1"/>
          <w:sz w:val="30"/>
          <w:szCs w:val="30"/>
        </w:rPr>
        <w:t>5</w:t>
      </w:r>
      <w:r>
        <w:rPr>
          <w:rFonts w:cs="Times New Roman"/>
          <w:spacing w:val="-1"/>
          <w:sz w:val="30"/>
          <w:szCs w:val="30"/>
        </w:rPr>
        <w:t>号）</w:t>
      </w:r>
      <w:r>
        <w:rPr>
          <w:rFonts w:cs="Times New Roman"/>
          <w:sz w:val="30"/>
          <w:szCs w:val="30"/>
        </w:rPr>
        <w:t>；</w:t>
      </w:r>
    </w:p>
    <w:p w14:paraId="639AAF43">
      <w:pPr>
        <w:pStyle w:val="26"/>
        <w:spacing w:line="360" w:lineRule="auto"/>
        <w:ind w:firstLine="600"/>
        <w:jc w:val="both"/>
        <w:rPr>
          <w:rFonts w:cs="Times New Roman"/>
          <w:sz w:val="30"/>
          <w:szCs w:val="30"/>
        </w:rPr>
      </w:pPr>
      <w:r>
        <w:rPr>
          <w:rFonts w:cs="Times New Roman"/>
          <w:sz w:val="30"/>
          <w:szCs w:val="30"/>
        </w:rPr>
        <w:t>（</w:t>
      </w:r>
      <w:r>
        <w:rPr>
          <w:rFonts w:hint="eastAsia" w:cs="Times New Roman"/>
          <w:sz w:val="30"/>
          <w:szCs w:val="30"/>
        </w:rPr>
        <w:t>6</w:t>
      </w:r>
      <w:r>
        <w:rPr>
          <w:rFonts w:cs="Times New Roman"/>
          <w:sz w:val="30"/>
          <w:szCs w:val="30"/>
        </w:rPr>
        <w:t>）《浙江省自然资源厅关于做好土地征收成片开发方案编制和审核工作的通知》（浙自然资厅函〔2022</w:t>
      </w:r>
      <w:r>
        <w:rPr>
          <w:rFonts w:cs="Times New Roman"/>
          <w:spacing w:val="-1"/>
        </w:rPr>
        <w:t>〕</w:t>
      </w:r>
      <w:r>
        <w:rPr>
          <w:rFonts w:cs="Times New Roman"/>
          <w:sz w:val="30"/>
          <w:szCs w:val="30"/>
        </w:rPr>
        <w:t>299号）；</w:t>
      </w:r>
    </w:p>
    <w:p w14:paraId="40429A2C">
      <w:pPr>
        <w:pStyle w:val="26"/>
        <w:spacing w:line="360" w:lineRule="auto"/>
        <w:ind w:firstLine="600"/>
        <w:jc w:val="both"/>
        <w:rPr>
          <w:rFonts w:cs="Times New Roman"/>
          <w:sz w:val="30"/>
          <w:szCs w:val="30"/>
        </w:rPr>
      </w:pPr>
      <w:r>
        <w:rPr>
          <w:rFonts w:cs="Times New Roman"/>
          <w:sz w:val="30"/>
          <w:szCs w:val="30"/>
        </w:rPr>
        <w:t>（</w:t>
      </w:r>
      <w:r>
        <w:rPr>
          <w:rFonts w:hint="eastAsia" w:cs="Times New Roman"/>
          <w:sz w:val="30"/>
          <w:szCs w:val="30"/>
        </w:rPr>
        <w:t>7</w:t>
      </w:r>
      <w:r>
        <w:rPr>
          <w:rFonts w:cs="Times New Roman"/>
          <w:sz w:val="30"/>
          <w:szCs w:val="30"/>
        </w:rPr>
        <w:t>）《浙江省自然资源厅关于进一步优化土地征收成片开发方案编制和审核工作的通知》（浙自然资厅函〔2023〕281号）；</w:t>
      </w:r>
    </w:p>
    <w:p w14:paraId="562154FD">
      <w:pPr>
        <w:pStyle w:val="26"/>
        <w:spacing w:line="360" w:lineRule="auto"/>
        <w:ind w:firstLine="600"/>
        <w:jc w:val="both"/>
        <w:rPr>
          <w:rFonts w:cs="Times New Roman"/>
          <w:sz w:val="30"/>
          <w:szCs w:val="30"/>
        </w:rPr>
      </w:pPr>
      <w:r>
        <w:rPr>
          <w:rFonts w:cs="Times New Roman"/>
          <w:sz w:val="30"/>
          <w:szCs w:val="30"/>
        </w:rPr>
        <w:t>（</w:t>
      </w:r>
      <w:r>
        <w:rPr>
          <w:rFonts w:hint="eastAsia" w:cs="Times New Roman"/>
          <w:sz w:val="30"/>
          <w:szCs w:val="30"/>
        </w:rPr>
        <w:t>8</w:t>
      </w:r>
      <w:r>
        <w:rPr>
          <w:rFonts w:cs="Times New Roman"/>
          <w:sz w:val="30"/>
          <w:szCs w:val="30"/>
        </w:rPr>
        <w:t>）《桐乡市人民政府关于重新公布征地区片综合地价标准的通知》（桐政发〔2023〕22号）；</w:t>
      </w:r>
    </w:p>
    <w:p w14:paraId="57C640EE">
      <w:pPr>
        <w:pStyle w:val="26"/>
        <w:spacing w:line="360" w:lineRule="auto"/>
        <w:ind w:firstLine="600"/>
        <w:jc w:val="both"/>
        <w:rPr>
          <w:rFonts w:cs="Times New Roman"/>
          <w:sz w:val="30"/>
          <w:szCs w:val="30"/>
        </w:rPr>
      </w:pPr>
      <w:r>
        <w:rPr>
          <w:rFonts w:cs="Times New Roman"/>
          <w:sz w:val="30"/>
          <w:szCs w:val="30"/>
        </w:rPr>
        <w:t>（</w:t>
      </w:r>
      <w:r>
        <w:rPr>
          <w:rFonts w:hint="eastAsia" w:cs="Times New Roman"/>
          <w:sz w:val="30"/>
          <w:szCs w:val="30"/>
        </w:rPr>
        <w:t>9</w:t>
      </w:r>
      <w:r>
        <w:rPr>
          <w:rFonts w:cs="Times New Roman"/>
          <w:sz w:val="30"/>
          <w:szCs w:val="30"/>
        </w:rPr>
        <w:t>）《浙江省自然资源厅关于做好当前城镇开发边界管理有关工作的通知》（浙自然资函〔2023〕49号）；</w:t>
      </w:r>
    </w:p>
    <w:p w14:paraId="6BB5CE30">
      <w:pPr>
        <w:pStyle w:val="26"/>
        <w:spacing w:line="360" w:lineRule="auto"/>
        <w:ind w:firstLine="600"/>
        <w:jc w:val="both"/>
        <w:rPr>
          <w:rFonts w:cs="Times New Roman"/>
          <w:sz w:val="30"/>
          <w:szCs w:val="30"/>
        </w:rPr>
      </w:pPr>
      <w:r>
        <w:rPr>
          <w:rFonts w:cs="Times New Roman"/>
          <w:sz w:val="30"/>
          <w:szCs w:val="30"/>
        </w:rPr>
        <w:t>（1</w:t>
      </w:r>
      <w:r>
        <w:rPr>
          <w:rFonts w:hint="eastAsia" w:cs="Times New Roman"/>
          <w:sz w:val="30"/>
          <w:szCs w:val="30"/>
        </w:rPr>
        <w:t>0</w:t>
      </w:r>
      <w:r>
        <w:rPr>
          <w:rFonts w:cs="Times New Roman"/>
          <w:sz w:val="30"/>
          <w:szCs w:val="30"/>
        </w:rPr>
        <w:t>）桐乡市各镇街控制性详细规划成果；</w:t>
      </w:r>
    </w:p>
    <w:p w14:paraId="38B3FE93">
      <w:pPr>
        <w:pStyle w:val="26"/>
        <w:spacing w:line="360" w:lineRule="auto"/>
        <w:ind w:firstLine="600"/>
        <w:jc w:val="both"/>
        <w:rPr>
          <w:rFonts w:cs="Times New Roman"/>
          <w:sz w:val="30"/>
          <w:szCs w:val="30"/>
        </w:rPr>
      </w:pPr>
      <w:r>
        <w:rPr>
          <w:rFonts w:cs="Times New Roman"/>
          <w:sz w:val="30"/>
          <w:szCs w:val="30"/>
        </w:rPr>
        <w:t>（1</w:t>
      </w:r>
      <w:r>
        <w:rPr>
          <w:rFonts w:hint="eastAsia" w:cs="Times New Roman"/>
          <w:sz w:val="30"/>
          <w:szCs w:val="30"/>
        </w:rPr>
        <w:t>1</w:t>
      </w:r>
      <w:r>
        <w:rPr>
          <w:rFonts w:cs="Times New Roman"/>
          <w:sz w:val="30"/>
          <w:szCs w:val="30"/>
        </w:rPr>
        <w:t>）经部确认启用的桐乡市“三区三线”划定成果；</w:t>
      </w:r>
    </w:p>
    <w:p w14:paraId="6C3A200C">
      <w:pPr>
        <w:pStyle w:val="26"/>
        <w:spacing w:line="360" w:lineRule="auto"/>
        <w:ind w:firstLine="600"/>
        <w:jc w:val="both"/>
        <w:rPr>
          <w:rFonts w:cs="Times New Roman"/>
          <w:sz w:val="30"/>
          <w:szCs w:val="30"/>
        </w:rPr>
      </w:pPr>
      <w:r>
        <w:rPr>
          <w:rFonts w:cs="Times New Roman"/>
          <w:sz w:val="30"/>
          <w:szCs w:val="30"/>
        </w:rPr>
        <w:t>（1</w:t>
      </w:r>
      <w:r>
        <w:rPr>
          <w:rFonts w:hint="eastAsia" w:cs="Times New Roman"/>
          <w:sz w:val="30"/>
          <w:szCs w:val="30"/>
        </w:rPr>
        <w:t>2</w:t>
      </w:r>
      <w:r>
        <w:rPr>
          <w:rFonts w:cs="Times New Roman"/>
          <w:sz w:val="30"/>
          <w:szCs w:val="30"/>
        </w:rPr>
        <w:t>）桐乡市生态保护红线、自然保护地、饮用水源地、公益林等各类法定保护区范围。</w:t>
      </w:r>
      <w:bookmarkEnd w:id="0"/>
      <w:bookmarkEnd w:id="1"/>
    </w:p>
    <w:p w14:paraId="0CEC539D">
      <w:pPr>
        <w:ind w:firstLine="596"/>
        <w:rPr>
          <w:rFonts w:ascii="Times New Roman" w:hAnsi="Times New Roman" w:eastAsia="仿宋_GB2312" w:cs="Times New Roman"/>
          <w:bCs/>
          <w:spacing w:val="-1"/>
          <w:sz w:val="30"/>
          <w:szCs w:val="30"/>
          <w:lang w:eastAsia="zh-CN"/>
        </w:rPr>
      </w:pPr>
      <w:r>
        <w:rPr>
          <w:rFonts w:ascii="Times New Roman" w:hAnsi="Times New Roman" w:eastAsia="仿宋_GB2312" w:cs="Times New Roman"/>
          <w:bCs/>
          <w:spacing w:val="-1"/>
          <w:sz w:val="30"/>
          <w:szCs w:val="30"/>
          <w:lang w:eastAsia="zh-CN"/>
        </w:rPr>
        <w:t>3、土地节约集约利用水平</w:t>
      </w:r>
    </w:p>
    <w:p w14:paraId="61506D33">
      <w:pPr>
        <w:ind w:firstLine="600"/>
        <w:jc w:val="both"/>
        <w:rPr>
          <w:rFonts w:ascii="Times New Roman" w:hAnsi="Times New Roman" w:eastAsia="仿宋_GB2312" w:cs="Times New Roman"/>
          <w:color w:val="000000"/>
          <w:sz w:val="30"/>
          <w:szCs w:val="30"/>
          <w:lang w:eastAsia="zh-CN"/>
        </w:rPr>
      </w:pPr>
      <w:r>
        <w:rPr>
          <w:rFonts w:ascii="Times New Roman" w:hAnsi="Times New Roman" w:eastAsia="仿宋_GB2312" w:cs="Times New Roman"/>
          <w:color w:val="000000"/>
          <w:sz w:val="30"/>
          <w:szCs w:val="30"/>
          <w:lang w:eastAsia="zh-CN"/>
        </w:rPr>
        <w:t>近五年批次供应总面积2824.0258公顷，其中已供面积2754.0596公顷，未供面积69.9662公顷，供地率达97.52%；闲置土地共2块，面积2.91公顷；低效用地共998块，面积989.52公顷。</w:t>
      </w:r>
    </w:p>
    <w:p w14:paraId="657A1C16">
      <w:pPr>
        <w:numPr>
          <w:ilvl w:val="0"/>
          <w:numId w:val="1"/>
        </w:numPr>
        <w:ind w:firstLine="596"/>
        <w:rPr>
          <w:rFonts w:ascii="Times New Roman" w:hAnsi="Times New Roman" w:eastAsia="仿宋_GB2312" w:cs="Times New Roman"/>
          <w:bCs/>
          <w:spacing w:val="-1"/>
          <w:sz w:val="30"/>
          <w:szCs w:val="30"/>
          <w:lang w:eastAsia="zh-CN"/>
        </w:rPr>
      </w:pPr>
      <w:r>
        <w:rPr>
          <w:rFonts w:ascii="Times New Roman" w:hAnsi="Times New Roman" w:eastAsia="仿宋_GB2312" w:cs="Times New Roman"/>
          <w:bCs/>
          <w:spacing w:val="-1"/>
          <w:sz w:val="30"/>
          <w:szCs w:val="30"/>
          <w:lang w:eastAsia="zh-CN"/>
        </w:rPr>
        <w:t>成片开发的必要性</w:t>
      </w:r>
    </w:p>
    <w:p w14:paraId="18945AAD">
      <w:pPr>
        <w:pStyle w:val="26"/>
        <w:spacing w:line="360" w:lineRule="auto"/>
        <w:ind w:firstLine="600"/>
        <w:jc w:val="both"/>
        <w:rPr>
          <w:rFonts w:cs="Times New Roman"/>
          <w:sz w:val="30"/>
          <w:szCs w:val="30"/>
        </w:rPr>
      </w:pPr>
      <w:r>
        <w:rPr>
          <w:rFonts w:hint="eastAsia" w:cs="Times New Roman"/>
          <w:sz w:val="30"/>
          <w:szCs w:val="30"/>
          <w:lang w:eastAsia="zh-CN"/>
        </w:rPr>
        <w:t>《中华人民共和国土地管理法》</w:t>
      </w:r>
      <w:r>
        <w:rPr>
          <w:rFonts w:cs="Times New Roman"/>
          <w:sz w:val="30"/>
          <w:szCs w:val="30"/>
        </w:rPr>
        <w:t>第45条（五）规定：为了公共利益的需要，在土地利用总体规划确定的城镇建设用地范围内，经省级以上人民政府批准由县级以上地方人民政府组织实施的成片开发建设需要用地的，确需征收农民集体所有的土地的，可以依法实施征收；成片开发用地需符合自然资源部规定的标准方可实施征地。按照自然资源部《土地征收成片开发标准（试行）》要求，县级以上地方人民政府应当按照</w:t>
      </w:r>
      <w:r>
        <w:rPr>
          <w:rFonts w:hint="eastAsia" w:cs="Times New Roman"/>
          <w:sz w:val="30"/>
          <w:szCs w:val="30"/>
          <w:lang w:eastAsia="zh-CN"/>
        </w:rPr>
        <w:t>《中华人民共和国土地管理法》</w:t>
      </w:r>
      <w:r>
        <w:rPr>
          <w:rFonts w:cs="Times New Roman"/>
          <w:sz w:val="30"/>
          <w:szCs w:val="30"/>
        </w:rPr>
        <w:t>第45条规定，依据当地国民经济和社会发展</w:t>
      </w:r>
      <w:bookmarkStart w:id="3" w:name="_GoBack"/>
      <w:bookmarkEnd w:id="3"/>
      <w:r>
        <w:rPr>
          <w:rFonts w:cs="Times New Roman"/>
          <w:sz w:val="30"/>
          <w:szCs w:val="30"/>
        </w:rPr>
        <w:t>规划、国土空间规划，组织编制土地征收成片开发方案，纳入当地国民经济和社会发展年度计划，并报省级人民政府批准。</w:t>
      </w:r>
    </w:p>
    <w:p w14:paraId="0E675ACB">
      <w:pPr>
        <w:pStyle w:val="26"/>
        <w:spacing w:line="360" w:lineRule="auto"/>
        <w:ind w:firstLine="600"/>
        <w:jc w:val="both"/>
        <w:rPr>
          <w:rFonts w:cs="Times New Roman"/>
          <w:sz w:val="30"/>
          <w:szCs w:val="30"/>
        </w:rPr>
      </w:pPr>
      <w:r>
        <w:rPr>
          <w:rFonts w:cs="Times New Roman"/>
          <w:sz w:val="30"/>
          <w:szCs w:val="30"/>
        </w:rPr>
        <w:t>桐乡市为保障项目落地，促进土地资源节约、高效利用，促进产业发展，提高当地居民就业率和提高生活水平，按</w:t>
      </w:r>
      <w:r>
        <w:rPr>
          <w:rFonts w:cs="Times New Roman"/>
          <w:spacing w:val="-1"/>
          <w:sz w:val="30"/>
          <w:szCs w:val="30"/>
        </w:rPr>
        <w:t>《浙江省自然资源厅关于印发</w:t>
      </w:r>
      <w:r>
        <w:rPr>
          <w:rFonts w:cs="Times New Roman"/>
          <w:sz w:val="30"/>
          <w:szCs w:val="30"/>
        </w:rPr>
        <w:t>&lt;</w:t>
      </w:r>
      <w:r>
        <w:rPr>
          <w:rFonts w:cs="Times New Roman"/>
          <w:spacing w:val="-1"/>
          <w:sz w:val="30"/>
          <w:szCs w:val="30"/>
        </w:rPr>
        <w:t>浙江省土地征收成片开发方案编制与审核办法</w:t>
      </w:r>
      <w:r>
        <w:rPr>
          <w:rFonts w:hint="eastAsia" w:cs="Times New Roman"/>
          <w:spacing w:val="-1"/>
          <w:sz w:val="30"/>
          <w:szCs w:val="30"/>
        </w:rPr>
        <w:t>&gt;的通知</w:t>
      </w:r>
      <w:r>
        <w:rPr>
          <w:rFonts w:cs="Times New Roman"/>
          <w:spacing w:val="-1"/>
          <w:sz w:val="30"/>
          <w:szCs w:val="30"/>
        </w:rPr>
        <w:t>》（浙自然资规〔202</w:t>
      </w:r>
      <w:r>
        <w:rPr>
          <w:rFonts w:hint="eastAsia" w:cs="Times New Roman"/>
          <w:spacing w:val="-1"/>
          <w:sz w:val="30"/>
          <w:szCs w:val="30"/>
        </w:rPr>
        <w:t>4</w:t>
      </w:r>
      <w:r>
        <w:rPr>
          <w:rFonts w:cs="Times New Roman"/>
          <w:spacing w:val="-1"/>
          <w:sz w:val="30"/>
          <w:szCs w:val="30"/>
        </w:rPr>
        <w:t>〕</w:t>
      </w:r>
      <w:r>
        <w:rPr>
          <w:rFonts w:hint="eastAsia" w:cs="Times New Roman"/>
          <w:spacing w:val="-1"/>
          <w:sz w:val="30"/>
          <w:szCs w:val="30"/>
        </w:rPr>
        <w:t>5</w:t>
      </w:r>
      <w:r>
        <w:rPr>
          <w:rFonts w:cs="Times New Roman"/>
          <w:spacing w:val="-1"/>
          <w:sz w:val="30"/>
          <w:szCs w:val="30"/>
        </w:rPr>
        <w:t>号）</w:t>
      </w:r>
      <w:r>
        <w:rPr>
          <w:rFonts w:cs="Times New Roman"/>
          <w:sz w:val="30"/>
          <w:szCs w:val="30"/>
        </w:rPr>
        <w:t>、《浙江省自然资源厅关于做好土地征收成片开发方案编制和审核工作的通知》（浙自然资厅函〔2022〕 299号）和《浙江省自然资源厅关于进一步优化土地征收成片开发方案编制和审核工作的通知》（浙自然资厅函〔2023〕281号）的具体要求，我市组织编制了《桐乡市2024年度</w:t>
      </w:r>
      <w:r>
        <w:rPr>
          <w:rFonts w:hint="eastAsia" w:cs="Times New Roman"/>
          <w:sz w:val="30"/>
          <w:szCs w:val="30"/>
        </w:rPr>
        <w:t>第二批</w:t>
      </w:r>
      <w:r>
        <w:rPr>
          <w:rFonts w:cs="Times New Roman"/>
          <w:sz w:val="30"/>
          <w:szCs w:val="30"/>
        </w:rPr>
        <w:t>土地征收成片开发方案》。</w:t>
      </w:r>
    </w:p>
    <w:p w14:paraId="2E12DD36">
      <w:pPr>
        <w:pStyle w:val="26"/>
        <w:spacing w:line="360" w:lineRule="auto"/>
        <w:ind w:firstLine="600"/>
        <w:jc w:val="both"/>
        <w:rPr>
          <w:rFonts w:cs="Times New Roman"/>
          <w:sz w:val="30"/>
          <w:szCs w:val="30"/>
        </w:rPr>
      </w:pPr>
      <w:r>
        <w:rPr>
          <w:rFonts w:cs="Times New Roman"/>
          <w:sz w:val="30"/>
          <w:szCs w:val="30"/>
        </w:rPr>
        <w:t>土地征收成片开发方案已纳入2024年度国民经济和社会发展年度计划，桐乡市人民政府成片开发做出指示要求高质量完成该片区开发方案，各部门需尽力配合期间各项工作，方案公示之后需专人负责项目的实施与跟进。</w:t>
      </w:r>
      <w:r>
        <w:rPr>
          <w:rFonts w:hint="eastAsia" w:cs="Times New Roman"/>
          <w:sz w:val="30"/>
          <w:szCs w:val="30"/>
        </w:rPr>
        <w:t>通过土地征收成片开发方案的编制，将存量建设用地更好的盘活，让整个市区的建设指标得到最大化的使用。对片区的综合规划与开发，让以前不合理利用、低效利用的土地，例如原本处于地块边角的零散地得到更好的使用与发展。对该片区的开发，也是对该片区土地进行整治、盘活的过程。不仅对街道不规范用地进行综合规范外，也对街道存量地进行盘活。同时，随着片区开发进程的推进以及片区的各类项目落地，对带动片区周边及桐乡市就业情况都起到了积极作用。</w:t>
      </w:r>
    </w:p>
    <w:p w14:paraId="24BD34B0">
      <w:pPr>
        <w:ind w:firstLine="643"/>
        <w:jc w:val="both"/>
        <w:rPr>
          <w:rFonts w:ascii="Times New Roman" w:hAnsi="Times New Roman" w:eastAsia="黑体" w:cs="Times New Roman"/>
          <w:bCs/>
          <w:szCs w:val="32"/>
          <w:lang w:eastAsia="zh-CN"/>
        </w:rPr>
      </w:pPr>
      <w:r>
        <w:rPr>
          <w:rFonts w:ascii="Times New Roman" w:hAnsi="Times New Roman" w:cs="Times New Roman"/>
          <w:b/>
          <w:bCs/>
          <w:szCs w:val="32"/>
          <w:lang w:eastAsia="zh-CN"/>
        </w:rPr>
        <w:t>（二）</w:t>
      </w:r>
      <w:r>
        <w:rPr>
          <w:rFonts w:ascii="Times New Roman" w:hAnsi="Times New Roman" w:eastAsia="黑体" w:cs="Times New Roman"/>
          <w:bCs/>
          <w:szCs w:val="32"/>
          <w:lang w:eastAsia="zh-CN"/>
        </w:rPr>
        <w:t>土地利用情况</w:t>
      </w:r>
    </w:p>
    <w:p w14:paraId="099B1623">
      <w:pPr>
        <w:ind w:firstLine="596"/>
        <w:rPr>
          <w:rFonts w:ascii="Times New Roman" w:hAnsi="Times New Roman" w:eastAsia="仿宋_GB2312" w:cs="Times New Roman"/>
          <w:bCs/>
          <w:spacing w:val="-1"/>
          <w:sz w:val="30"/>
          <w:szCs w:val="30"/>
          <w:lang w:eastAsia="zh-CN"/>
        </w:rPr>
      </w:pPr>
      <w:r>
        <w:rPr>
          <w:rFonts w:ascii="Times New Roman" w:hAnsi="Times New Roman" w:eastAsia="仿宋_GB2312" w:cs="Times New Roman"/>
          <w:bCs/>
          <w:spacing w:val="-1"/>
          <w:sz w:val="30"/>
          <w:szCs w:val="30"/>
          <w:lang w:eastAsia="zh-CN"/>
        </w:rPr>
        <w:t>1、土地开发利用状况</w:t>
      </w:r>
    </w:p>
    <w:p w14:paraId="1DACFA29">
      <w:pPr>
        <w:pStyle w:val="26"/>
        <w:spacing w:line="360" w:lineRule="auto"/>
        <w:ind w:firstLine="600"/>
        <w:jc w:val="both"/>
        <w:rPr>
          <w:rFonts w:cs="Times New Roman"/>
          <w:sz w:val="30"/>
          <w:szCs w:val="30"/>
        </w:rPr>
      </w:pPr>
      <w:r>
        <w:rPr>
          <w:rFonts w:cs="Times New Roman"/>
          <w:sz w:val="30"/>
          <w:szCs w:val="30"/>
        </w:rPr>
        <w:t>本次上报《方案》总面积</w:t>
      </w:r>
      <w:r>
        <w:rPr>
          <w:rFonts w:hint="eastAsia" w:cs="Times New Roman"/>
          <w:sz w:val="30"/>
          <w:szCs w:val="30"/>
        </w:rPr>
        <w:t>2476.6668</w:t>
      </w:r>
      <w:r>
        <w:rPr>
          <w:rFonts w:cs="Times New Roman"/>
          <w:sz w:val="30"/>
          <w:szCs w:val="30"/>
        </w:rPr>
        <w:t>公顷、涉及</w:t>
      </w:r>
      <w:r>
        <w:rPr>
          <w:rFonts w:hint="eastAsia" w:cs="Times New Roman"/>
          <w:sz w:val="30"/>
          <w:szCs w:val="30"/>
        </w:rPr>
        <w:t>79</w:t>
      </w:r>
      <w:r>
        <w:rPr>
          <w:rFonts w:cs="Times New Roman"/>
          <w:sz w:val="30"/>
          <w:szCs w:val="30"/>
        </w:rPr>
        <w:t>个开发片区，其中国有土地</w:t>
      </w:r>
      <w:r>
        <w:rPr>
          <w:rFonts w:hint="eastAsia" w:cs="Times New Roman"/>
          <w:sz w:val="30"/>
          <w:szCs w:val="30"/>
        </w:rPr>
        <w:t>1435.7358</w:t>
      </w:r>
      <w:r>
        <w:rPr>
          <w:rFonts w:cs="Times New Roman"/>
          <w:sz w:val="30"/>
          <w:szCs w:val="30"/>
        </w:rPr>
        <w:t>公顷、农村集体土地</w:t>
      </w:r>
      <w:r>
        <w:rPr>
          <w:rFonts w:hint="eastAsia" w:cs="Times New Roman"/>
          <w:sz w:val="30"/>
          <w:szCs w:val="30"/>
        </w:rPr>
        <w:t>1040.9310</w:t>
      </w:r>
      <w:r>
        <w:rPr>
          <w:rFonts w:cs="Times New Roman"/>
          <w:sz w:val="30"/>
          <w:szCs w:val="30"/>
        </w:rPr>
        <w:t>公顷。</w:t>
      </w:r>
    </w:p>
    <w:p w14:paraId="1005A847">
      <w:pPr>
        <w:pStyle w:val="26"/>
        <w:spacing w:line="360" w:lineRule="auto"/>
        <w:ind w:firstLine="600"/>
        <w:jc w:val="both"/>
        <w:rPr>
          <w:rFonts w:cs="Times New Roman"/>
          <w:sz w:val="30"/>
          <w:szCs w:val="30"/>
        </w:rPr>
      </w:pPr>
      <w:r>
        <w:rPr>
          <w:rFonts w:cs="Times New Roman"/>
          <w:sz w:val="30"/>
          <w:szCs w:val="30"/>
        </w:rPr>
        <w:t>《方案》拟申请征收集体土地</w:t>
      </w:r>
      <w:r>
        <w:rPr>
          <w:rFonts w:hint="eastAsia" w:cs="Times New Roman"/>
          <w:sz w:val="30"/>
          <w:szCs w:val="30"/>
        </w:rPr>
        <w:t xml:space="preserve">651.7346 </w:t>
      </w:r>
      <w:r>
        <w:rPr>
          <w:rFonts w:cs="Times New Roman"/>
          <w:sz w:val="30"/>
          <w:szCs w:val="30"/>
        </w:rPr>
        <w:t>公顷。涉及桐乡市的梧桐街道、开发区、</w:t>
      </w:r>
      <w:r>
        <w:rPr>
          <w:rFonts w:hint="eastAsia" w:cs="Times New Roman"/>
          <w:sz w:val="30"/>
          <w:szCs w:val="30"/>
        </w:rPr>
        <w:t>凤鸣街道、乌镇</w:t>
      </w:r>
      <w:r>
        <w:rPr>
          <w:rFonts w:cs="Times New Roman"/>
          <w:sz w:val="30"/>
          <w:szCs w:val="30"/>
        </w:rPr>
        <w:t>镇、洲泉镇</w:t>
      </w:r>
      <w:r>
        <w:rPr>
          <w:rFonts w:hint="eastAsia" w:cs="Times New Roman"/>
          <w:sz w:val="30"/>
          <w:szCs w:val="30"/>
        </w:rPr>
        <w:t>、崇福镇</w:t>
      </w:r>
      <w:r>
        <w:rPr>
          <w:rFonts w:cs="Times New Roman"/>
          <w:sz w:val="30"/>
          <w:szCs w:val="30"/>
        </w:rPr>
        <w:t>等</w:t>
      </w:r>
      <w:r>
        <w:rPr>
          <w:rFonts w:hint="eastAsia" w:cs="Times New Roman"/>
          <w:sz w:val="30"/>
          <w:szCs w:val="30"/>
        </w:rPr>
        <w:t>11</w:t>
      </w:r>
      <w:r>
        <w:rPr>
          <w:rFonts w:cs="Times New Roman"/>
          <w:sz w:val="30"/>
          <w:szCs w:val="30"/>
        </w:rPr>
        <w:t>个乡镇街道</w:t>
      </w:r>
      <w:r>
        <w:rPr>
          <w:rFonts w:hint="eastAsia" w:cs="Times New Roman"/>
          <w:sz w:val="30"/>
          <w:szCs w:val="30"/>
        </w:rPr>
        <w:t>78</w:t>
      </w:r>
      <w:r>
        <w:rPr>
          <w:rFonts w:cs="Times New Roman"/>
          <w:sz w:val="30"/>
          <w:szCs w:val="30"/>
        </w:rPr>
        <w:t>个村。</w:t>
      </w:r>
    </w:p>
    <w:p w14:paraId="441553CE">
      <w:pPr>
        <w:ind w:firstLine="596"/>
        <w:rPr>
          <w:rFonts w:ascii="Times New Roman" w:hAnsi="Times New Roman" w:eastAsia="仿宋_GB2312" w:cs="Times New Roman"/>
          <w:bCs/>
          <w:spacing w:val="-1"/>
          <w:sz w:val="30"/>
          <w:szCs w:val="30"/>
          <w:lang w:eastAsia="zh-CN"/>
        </w:rPr>
      </w:pPr>
      <w:r>
        <w:rPr>
          <w:rFonts w:ascii="Times New Roman" w:hAnsi="Times New Roman" w:eastAsia="仿宋_GB2312" w:cs="Times New Roman"/>
          <w:bCs/>
          <w:spacing w:val="-1"/>
          <w:sz w:val="30"/>
          <w:szCs w:val="30"/>
          <w:lang w:eastAsia="zh-CN"/>
        </w:rPr>
        <w:t>2、用地规划情况</w:t>
      </w:r>
    </w:p>
    <w:p w14:paraId="013CDF87">
      <w:pPr>
        <w:ind w:firstLine="596"/>
        <w:rPr>
          <w:rFonts w:ascii="Times New Roman" w:hAnsi="Times New Roman" w:eastAsia="仿宋_GB2312" w:cs="Times New Roman"/>
          <w:bCs/>
          <w:spacing w:val="-1"/>
          <w:sz w:val="30"/>
          <w:szCs w:val="30"/>
          <w:lang w:eastAsia="zh-CN"/>
        </w:rPr>
      </w:pPr>
      <w:r>
        <w:rPr>
          <w:rFonts w:ascii="Times New Roman" w:hAnsi="Times New Roman" w:eastAsia="仿宋_GB2312" w:cs="Times New Roman"/>
          <w:bCs/>
          <w:spacing w:val="-1"/>
          <w:sz w:val="30"/>
          <w:szCs w:val="30"/>
          <w:lang w:eastAsia="zh-CN"/>
        </w:rPr>
        <w:t>（1）土地用途</w:t>
      </w:r>
    </w:p>
    <w:p w14:paraId="175801C8">
      <w:pPr>
        <w:ind w:firstLine="600"/>
        <w:jc w:val="both"/>
        <w:rPr>
          <w:rFonts w:ascii="仿宋_GB2312" w:hAnsi="Times New Roman" w:eastAsia="仿宋_GB2312" w:cs="Times New Roman"/>
          <w:sz w:val="30"/>
          <w:szCs w:val="30"/>
          <w:lang w:eastAsia="zh-CN"/>
        </w:rPr>
      </w:pPr>
      <w:r>
        <w:rPr>
          <w:rFonts w:ascii="Times New Roman" w:hAnsi="Times New Roman" w:eastAsia="仿宋_GB2312" w:cs="Times New Roman"/>
          <w:kern w:val="2"/>
          <w:sz w:val="30"/>
          <w:lang w:eastAsia="zh-CN" w:bidi="ar"/>
        </w:rPr>
        <w:t>本《方案》拟实施</w:t>
      </w:r>
      <w:r>
        <w:rPr>
          <w:rFonts w:hint="eastAsia" w:ascii="Times New Roman" w:hAnsi="Times New Roman" w:eastAsia="仿宋_GB2312" w:cs="Times New Roman"/>
          <w:kern w:val="2"/>
          <w:sz w:val="30"/>
          <w:lang w:eastAsia="zh-CN" w:bidi="ar"/>
        </w:rPr>
        <w:t>251</w:t>
      </w:r>
      <w:r>
        <w:rPr>
          <w:rFonts w:ascii="Times New Roman" w:hAnsi="Times New Roman" w:eastAsia="仿宋_GB2312" w:cs="Times New Roman"/>
          <w:kern w:val="2"/>
          <w:sz w:val="30"/>
          <w:lang w:eastAsia="zh-CN" w:bidi="ar"/>
        </w:rPr>
        <w:t>个项目，主要用途为</w:t>
      </w:r>
      <w:r>
        <w:rPr>
          <w:rFonts w:hint="eastAsia" w:ascii="仿宋_GB2312" w:hAnsi="Times New Roman" w:eastAsia="仿宋_GB2312" w:cs="Times New Roman"/>
          <w:kern w:val="2"/>
          <w:sz w:val="30"/>
          <w:lang w:eastAsia="zh-CN" w:bidi="ar"/>
        </w:rPr>
        <w:t>经营性用地</w:t>
      </w:r>
      <w:r>
        <w:rPr>
          <w:rFonts w:ascii="Times New Roman" w:hAnsi="Times New Roman" w:eastAsia="仿宋_GB2312" w:cs="Times New Roman"/>
          <w:kern w:val="2"/>
          <w:sz w:val="30"/>
          <w:lang w:eastAsia="zh-CN" w:bidi="ar"/>
        </w:rPr>
        <w:t>、工业用地。</w:t>
      </w:r>
      <w:r>
        <w:rPr>
          <w:rFonts w:hint="eastAsia" w:ascii="仿宋_GB2312" w:hAnsi="Times New Roman" w:eastAsia="仿宋_GB2312" w:cs="Times New Roman"/>
          <w:sz w:val="30"/>
          <w:szCs w:val="30"/>
          <w:lang w:eastAsia="zh-CN"/>
        </w:rPr>
        <w:t>通过成片开发，更好的让街道控规得以实现，也促进了桐乡市各项规划的实现；公共服务设施及基础设施的配套，完善市政的同时，也进一步促进桐乡市及其周边的经济社会发展。</w:t>
      </w:r>
    </w:p>
    <w:p w14:paraId="264910ED">
      <w:pPr>
        <w:ind w:firstLine="600"/>
        <w:jc w:val="both"/>
        <w:rPr>
          <w:rFonts w:ascii="Times New Roman" w:hAnsi="Times New Roman" w:cs="Times New Roman"/>
          <w:lang w:eastAsia="zh-CN"/>
        </w:rPr>
      </w:pPr>
      <w:r>
        <w:rPr>
          <w:rFonts w:hint="eastAsia" w:ascii="仿宋_GB2312" w:hAnsi="Times New Roman" w:eastAsia="仿宋_GB2312" w:cs="Times New Roman"/>
          <w:kern w:val="2"/>
          <w:sz w:val="30"/>
          <w:lang w:eastAsia="zh-CN" w:bidi="ar"/>
        </w:rPr>
        <w:t>依据国土空间详细规划，本《方案》居住用地面积</w:t>
      </w:r>
      <w:r>
        <w:rPr>
          <w:rFonts w:hint="eastAsia" w:ascii="Times New Roman" w:hAnsi="Times New Roman" w:eastAsia="仿宋_GB2312" w:cs="Times New Roman"/>
          <w:kern w:val="2"/>
          <w:sz w:val="30"/>
          <w:lang w:eastAsia="zh-CN" w:bidi="ar"/>
        </w:rPr>
        <w:t>338.2662</w:t>
      </w:r>
      <w:r>
        <w:rPr>
          <w:rFonts w:hint="eastAsia" w:ascii="仿宋_GB2312" w:hAnsi="Times New Roman" w:eastAsia="仿宋_GB2312" w:cs="Times New Roman"/>
          <w:kern w:val="2"/>
          <w:sz w:val="30"/>
          <w:lang w:eastAsia="zh-CN" w:bidi="ar"/>
        </w:rPr>
        <w:t>公顷，</w:t>
      </w:r>
      <w:r>
        <w:rPr>
          <w:rFonts w:ascii="Times New Roman" w:hAnsi="Times New Roman" w:eastAsia="仿宋_GB2312" w:cs="Times New Roman"/>
          <w:kern w:val="2"/>
          <w:sz w:val="30"/>
          <w:lang w:eastAsia="zh-CN" w:bidi="ar"/>
        </w:rPr>
        <w:t>占比为</w:t>
      </w:r>
      <w:r>
        <w:rPr>
          <w:rFonts w:hint="eastAsia" w:ascii="Times New Roman" w:hAnsi="Times New Roman" w:eastAsia="仿宋_GB2312" w:cs="Times New Roman"/>
          <w:kern w:val="2"/>
          <w:sz w:val="30"/>
          <w:lang w:eastAsia="zh-CN" w:bidi="ar"/>
        </w:rPr>
        <w:t xml:space="preserve">13.66 </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公共管理与公共服务用地</w:t>
      </w:r>
      <w:r>
        <w:rPr>
          <w:rFonts w:ascii="Times New Roman" w:hAnsi="Times New Roman" w:eastAsia="仿宋_GB2312" w:cs="Times New Roman"/>
          <w:kern w:val="2"/>
          <w:sz w:val="30"/>
          <w:lang w:eastAsia="zh-CN" w:bidi="ar"/>
        </w:rPr>
        <w:t>面积</w:t>
      </w:r>
      <w:r>
        <w:rPr>
          <w:rFonts w:hint="eastAsia" w:ascii="Times New Roman" w:hAnsi="Times New Roman" w:eastAsia="仿宋_GB2312" w:cs="Times New Roman"/>
          <w:kern w:val="2"/>
          <w:sz w:val="30"/>
          <w:lang w:eastAsia="zh-CN" w:bidi="ar"/>
        </w:rPr>
        <w:t>70.6945</w:t>
      </w:r>
      <w:r>
        <w:rPr>
          <w:rFonts w:ascii="Times New Roman" w:hAnsi="Times New Roman" w:eastAsia="仿宋_GB2312" w:cs="Times New Roman"/>
          <w:kern w:val="2"/>
          <w:sz w:val="30"/>
          <w:lang w:eastAsia="zh-CN" w:bidi="ar"/>
        </w:rPr>
        <w:t>公顷，占比为</w:t>
      </w:r>
      <w:r>
        <w:rPr>
          <w:rFonts w:hint="eastAsia" w:ascii="Times New Roman" w:hAnsi="Times New Roman" w:eastAsia="仿宋_GB2312" w:cs="Times New Roman"/>
          <w:kern w:val="2"/>
          <w:sz w:val="30"/>
          <w:lang w:eastAsia="zh-CN" w:bidi="ar"/>
        </w:rPr>
        <w:t xml:space="preserve">2.85 </w:t>
      </w:r>
      <w:r>
        <w:rPr>
          <w:rFonts w:ascii="Times New Roman" w:hAnsi="Times New Roman" w:eastAsia="仿宋_GB2312" w:cs="Times New Roman"/>
          <w:kern w:val="2"/>
          <w:sz w:val="30"/>
          <w:lang w:eastAsia="zh-CN" w:bidi="ar"/>
        </w:rPr>
        <w:t>%；商业服务业用地面积</w:t>
      </w:r>
      <w:r>
        <w:rPr>
          <w:rFonts w:hint="eastAsia" w:ascii="Times New Roman" w:hAnsi="Times New Roman" w:eastAsia="仿宋_GB2312" w:cs="Times New Roman"/>
          <w:kern w:val="2"/>
          <w:sz w:val="30"/>
          <w:lang w:eastAsia="zh-CN" w:bidi="ar"/>
        </w:rPr>
        <w:t>484.1741</w:t>
      </w:r>
      <w:r>
        <w:rPr>
          <w:rFonts w:ascii="Times New Roman" w:hAnsi="Times New Roman" w:eastAsia="仿宋_GB2312" w:cs="Times New Roman"/>
          <w:kern w:val="2"/>
          <w:sz w:val="30"/>
          <w:lang w:eastAsia="zh-CN" w:bidi="ar"/>
        </w:rPr>
        <w:t>公顷，占比为</w:t>
      </w:r>
      <w:r>
        <w:rPr>
          <w:rFonts w:hint="eastAsia" w:ascii="Times New Roman" w:hAnsi="Times New Roman" w:eastAsia="仿宋_GB2312" w:cs="Times New Roman"/>
          <w:kern w:val="2"/>
          <w:sz w:val="30"/>
          <w:lang w:eastAsia="zh-CN" w:bidi="ar"/>
        </w:rPr>
        <w:t xml:space="preserve">19.55 </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工矿用地面积637.0794公顷，</w:t>
      </w:r>
      <w:r>
        <w:rPr>
          <w:rFonts w:ascii="Times New Roman" w:hAnsi="Times New Roman" w:eastAsia="仿宋_GB2312" w:cs="Times New Roman"/>
          <w:kern w:val="2"/>
          <w:sz w:val="30"/>
          <w:lang w:eastAsia="zh-CN" w:bidi="ar"/>
        </w:rPr>
        <w:t>占比为</w:t>
      </w:r>
      <w:r>
        <w:rPr>
          <w:rFonts w:hint="eastAsia" w:ascii="Times New Roman" w:hAnsi="Times New Roman" w:eastAsia="仿宋_GB2312" w:cs="Times New Roman"/>
          <w:kern w:val="2"/>
          <w:sz w:val="30"/>
          <w:lang w:eastAsia="zh-CN" w:bidi="ar"/>
        </w:rPr>
        <w:t xml:space="preserve">25.72 </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仓储用地面积4.9547公顷</w:t>
      </w:r>
      <w:r>
        <w:rPr>
          <w:rFonts w:ascii="Times New Roman" w:hAnsi="Times New Roman" w:eastAsia="仿宋_GB2312" w:cs="Times New Roman"/>
          <w:kern w:val="2"/>
          <w:sz w:val="30"/>
          <w:lang w:eastAsia="zh-CN" w:bidi="ar"/>
        </w:rPr>
        <w:t>，占比为</w:t>
      </w:r>
      <w:r>
        <w:rPr>
          <w:rFonts w:hint="eastAsia" w:ascii="Times New Roman" w:hAnsi="Times New Roman" w:eastAsia="仿宋_GB2312" w:cs="Times New Roman"/>
          <w:kern w:val="2"/>
          <w:sz w:val="30"/>
          <w:lang w:eastAsia="zh-CN" w:bidi="ar"/>
        </w:rPr>
        <w:t xml:space="preserve">0.20 </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w:t>
      </w:r>
      <w:r>
        <w:rPr>
          <w:rFonts w:ascii="Times New Roman" w:hAnsi="Times New Roman" w:eastAsia="仿宋_GB2312" w:cs="Times New Roman"/>
          <w:kern w:val="2"/>
          <w:sz w:val="30"/>
          <w:lang w:eastAsia="zh-CN" w:bidi="ar"/>
        </w:rPr>
        <w:t>交通运输用地面积</w:t>
      </w:r>
      <w:r>
        <w:rPr>
          <w:rFonts w:hint="eastAsia" w:ascii="Times New Roman" w:hAnsi="Times New Roman" w:eastAsia="仿宋_GB2312" w:cs="Times New Roman"/>
          <w:kern w:val="2"/>
          <w:sz w:val="30"/>
          <w:lang w:eastAsia="zh-CN" w:bidi="ar"/>
        </w:rPr>
        <w:t>473.6229</w:t>
      </w:r>
      <w:r>
        <w:rPr>
          <w:rFonts w:ascii="Times New Roman" w:hAnsi="Times New Roman" w:eastAsia="仿宋_GB2312" w:cs="Times New Roman"/>
          <w:kern w:val="2"/>
          <w:sz w:val="30"/>
          <w:lang w:eastAsia="zh-CN" w:bidi="ar"/>
        </w:rPr>
        <w:t>公顷，占比为</w:t>
      </w:r>
      <w:r>
        <w:rPr>
          <w:rFonts w:hint="eastAsia" w:ascii="Times New Roman" w:hAnsi="Times New Roman" w:eastAsia="仿宋_GB2312" w:cs="Times New Roman"/>
          <w:kern w:val="2"/>
          <w:sz w:val="30"/>
          <w:lang w:eastAsia="zh-CN" w:bidi="ar"/>
        </w:rPr>
        <w:t xml:space="preserve">19.12 </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公共设施用地</w:t>
      </w:r>
      <w:r>
        <w:rPr>
          <w:rFonts w:ascii="Times New Roman" w:hAnsi="Times New Roman" w:eastAsia="仿宋_GB2312" w:cs="Times New Roman"/>
          <w:kern w:val="2"/>
          <w:sz w:val="30"/>
          <w:lang w:eastAsia="zh-CN" w:bidi="ar"/>
        </w:rPr>
        <w:t>面积</w:t>
      </w:r>
      <w:r>
        <w:rPr>
          <w:rFonts w:hint="eastAsia" w:ascii="Times New Roman" w:hAnsi="Times New Roman" w:eastAsia="仿宋_GB2312" w:cs="Times New Roman"/>
          <w:kern w:val="2"/>
          <w:sz w:val="30"/>
          <w:lang w:eastAsia="zh-CN" w:bidi="ar"/>
        </w:rPr>
        <w:t>45.1706</w:t>
      </w:r>
      <w:r>
        <w:rPr>
          <w:rFonts w:ascii="Times New Roman" w:hAnsi="Times New Roman" w:eastAsia="仿宋_GB2312" w:cs="Times New Roman"/>
          <w:kern w:val="2"/>
          <w:sz w:val="30"/>
          <w:lang w:eastAsia="zh-CN" w:bidi="ar"/>
        </w:rPr>
        <w:t>公顷，占比为</w:t>
      </w:r>
      <w:r>
        <w:rPr>
          <w:rFonts w:hint="eastAsia" w:ascii="Times New Roman" w:hAnsi="Times New Roman" w:eastAsia="仿宋_GB2312" w:cs="Times New Roman"/>
          <w:kern w:val="2"/>
          <w:sz w:val="30"/>
          <w:lang w:eastAsia="zh-CN" w:bidi="ar"/>
        </w:rPr>
        <w:t xml:space="preserve">1.82 </w:t>
      </w:r>
      <w:r>
        <w:rPr>
          <w:rFonts w:ascii="Times New Roman" w:hAnsi="Times New Roman" w:eastAsia="仿宋_GB2312" w:cs="Times New Roman"/>
          <w:kern w:val="2"/>
          <w:sz w:val="30"/>
          <w:lang w:eastAsia="zh-CN" w:bidi="ar"/>
        </w:rPr>
        <w:t>%；绿地与开敞空间用地面积</w:t>
      </w:r>
      <w:r>
        <w:rPr>
          <w:rFonts w:hint="eastAsia" w:ascii="Times New Roman" w:hAnsi="Times New Roman" w:eastAsia="仿宋_GB2312" w:cs="Times New Roman"/>
          <w:kern w:val="2"/>
          <w:sz w:val="30"/>
          <w:lang w:eastAsia="zh-CN" w:bidi="ar"/>
        </w:rPr>
        <w:t>356.6301</w:t>
      </w:r>
      <w:r>
        <w:rPr>
          <w:rFonts w:ascii="Times New Roman" w:hAnsi="Times New Roman" w:eastAsia="仿宋_GB2312" w:cs="Times New Roman"/>
          <w:kern w:val="2"/>
          <w:sz w:val="30"/>
          <w:lang w:eastAsia="zh-CN" w:bidi="ar"/>
        </w:rPr>
        <w:t>公顷，占比为</w:t>
      </w:r>
      <w:r>
        <w:rPr>
          <w:rFonts w:hint="eastAsia" w:ascii="Times New Roman" w:hAnsi="Times New Roman" w:eastAsia="仿宋_GB2312" w:cs="Times New Roman"/>
          <w:kern w:val="2"/>
          <w:sz w:val="30"/>
          <w:lang w:eastAsia="zh-CN" w:bidi="ar"/>
        </w:rPr>
        <w:t xml:space="preserve">14.40 </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；特殊用地</w:t>
      </w:r>
      <w:r>
        <w:rPr>
          <w:rFonts w:ascii="Times New Roman" w:hAnsi="Times New Roman" w:eastAsia="仿宋_GB2312" w:cs="Times New Roman"/>
          <w:kern w:val="2"/>
          <w:sz w:val="30"/>
          <w:lang w:eastAsia="zh-CN" w:bidi="ar"/>
        </w:rPr>
        <w:t>面积</w:t>
      </w:r>
      <w:r>
        <w:rPr>
          <w:rFonts w:hint="eastAsia" w:ascii="Times New Roman" w:hAnsi="Times New Roman" w:eastAsia="仿宋_GB2312" w:cs="Times New Roman"/>
          <w:kern w:val="2"/>
          <w:sz w:val="30"/>
          <w:lang w:eastAsia="zh-CN" w:bidi="ar"/>
        </w:rPr>
        <w:t>0.6378</w:t>
      </w:r>
      <w:r>
        <w:rPr>
          <w:rFonts w:ascii="Times New Roman" w:hAnsi="Times New Roman" w:eastAsia="仿宋_GB2312" w:cs="Times New Roman"/>
          <w:kern w:val="2"/>
          <w:sz w:val="30"/>
          <w:lang w:eastAsia="zh-CN" w:bidi="ar"/>
        </w:rPr>
        <w:t>公顷，占比为</w:t>
      </w:r>
      <w:r>
        <w:rPr>
          <w:rFonts w:hint="eastAsia" w:ascii="Times New Roman" w:hAnsi="Times New Roman" w:eastAsia="仿宋_GB2312" w:cs="Times New Roman"/>
          <w:kern w:val="2"/>
          <w:sz w:val="30"/>
          <w:lang w:eastAsia="zh-CN" w:bidi="ar"/>
        </w:rPr>
        <w:t xml:space="preserve">0.03 </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；留白用地</w:t>
      </w:r>
      <w:r>
        <w:rPr>
          <w:rFonts w:ascii="Times New Roman" w:hAnsi="Times New Roman" w:eastAsia="仿宋_GB2312" w:cs="Times New Roman"/>
          <w:kern w:val="2"/>
          <w:sz w:val="30"/>
          <w:lang w:eastAsia="zh-CN" w:bidi="ar"/>
        </w:rPr>
        <w:t>面积</w:t>
      </w:r>
      <w:r>
        <w:rPr>
          <w:rFonts w:hint="eastAsia" w:ascii="Times New Roman" w:hAnsi="Times New Roman" w:eastAsia="仿宋_GB2312" w:cs="Times New Roman"/>
          <w:kern w:val="2"/>
          <w:sz w:val="30"/>
          <w:lang w:eastAsia="zh-CN" w:bidi="ar"/>
        </w:rPr>
        <w:t>25.9415</w:t>
      </w:r>
      <w:r>
        <w:rPr>
          <w:rFonts w:ascii="Times New Roman" w:hAnsi="Times New Roman" w:eastAsia="仿宋_GB2312" w:cs="Times New Roman"/>
          <w:kern w:val="2"/>
          <w:sz w:val="30"/>
          <w:lang w:eastAsia="zh-CN" w:bidi="ar"/>
        </w:rPr>
        <w:t>公顷，占比为</w:t>
      </w:r>
      <w:r>
        <w:rPr>
          <w:rFonts w:hint="eastAsia" w:ascii="Times New Roman" w:hAnsi="Times New Roman" w:eastAsia="仿宋_GB2312" w:cs="Times New Roman"/>
          <w:kern w:val="2"/>
          <w:sz w:val="30"/>
          <w:lang w:eastAsia="zh-CN" w:bidi="ar"/>
        </w:rPr>
        <w:t xml:space="preserve">1.05 </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；水域面积39.495公顷，</w:t>
      </w:r>
      <w:r>
        <w:rPr>
          <w:rFonts w:ascii="Times New Roman" w:hAnsi="Times New Roman" w:eastAsia="仿宋_GB2312" w:cs="Times New Roman"/>
          <w:kern w:val="2"/>
          <w:sz w:val="30"/>
          <w:lang w:eastAsia="zh-CN" w:bidi="ar"/>
        </w:rPr>
        <w:t>占比为</w:t>
      </w:r>
      <w:r>
        <w:rPr>
          <w:rFonts w:hint="eastAsia" w:ascii="Times New Roman" w:hAnsi="Times New Roman" w:eastAsia="仿宋_GB2312" w:cs="Times New Roman"/>
          <w:kern w:val="2"/>
          <w:sz w:val="30"/>
          <w:lang w:eastAsia="zh-CN" w:bidi="ar"/>
        </w:rPr>
        <w:t xml:space="preserve">1.59 </w:t>
      </w:r>
      <w:r>
        <w:rPr>
          <w:rFonts w:ascii="Times New Roman" w:hAnsi="Times New Roman" w:eastAsia="仿宋_GB2312" w:cs="Times New Roman"/>
          <w:kern w:val="2"/>
          <w:sz w:val="30"/>
          <w:lang w:eastAsia="zh-CN" w:bidi="ar"/>
        </w:rPr>
        <w:t>%。</w:t>
      </w:r>
    </w:p>
    <w:p w14:paraId="5C1B2D13">
      <w:pPr>
        <w:ind w:firstLine="596"/>
        <w:rPr>
          <w:rFonts w:ascii="Times New Roman" w:hAnsi="Times New Roman" w:eastAsia="仿宋_GB2312" w:cs="Times New Roman"/>
          <w:bCs/>
          <w:spacing w:val="-1"/>
          <w:sz w:val="30"/>
          <w:szCs w:val="30"/>
          <w:lang w:eastAsia="zh-CN"/>
        </w:rPr>
      </w:pPr>
      <w:r>
        <w:rPr>
          <w:rFonts w:ascii="Times New Roman" w:hAnsi="Times New Roman" w:eastAsia="仿宋_GB2312" w:cs="Times New Roman"/>
          <w:bCs/>
          <w:spacing w:val="-1"/>
          <w:sz w:val="30"/>
          <w:szCs w:val="30"/>
          <w:lang w:eastAsia="zh-CN"/>
        </w:rPr>
        <w:t>（2）公益性用地情况</w:t>
      </w:r>
    </w:p>
    <w:p w14:paraId="199D1359">
      <w:pPr>
        <w:ind w:firstLine="600"/>
        <w:jc w:val="both"/>
        <w:rPr>
          <w:rFonts w:ascii="Times New Roman" w:hAnsi="Times New Roman" w:eastAsia="仿宋_GB2312" w:cs="Times New Roman"/>
          <w:color w:val="0000FF"/>
          <w:kern w:val="2"/>
          <w:sz w:val="30"/>
          <w:lang w:eastAsia="zh-CN" w:bidi="ar"/>
        </w:rPr>
      </w:pPr>
      <w:r>
        <w:rPr>
          <w:rFonts w:ascii="Times New Roman" w:hAnsi="Times New Roman" w:eastAsia="仿宋_GB2312" w:cs="Times New Roman"/>
          <w:kern w:val="2"/>
          <w:sz w:val="30"/>
          <w:lang w:eastAsia="zh-CN" w:bidi="ar"/>
        </w:rPr>
        <w:t>本《方案》内公益性用地包括城市道路用地、</w:t>
      </w:r>
      <w:r>
        <w:rPr>
          <w:rFonts w:hint="eastAsia" w:ascii="Times New Roman" w:hAnsi="Times New Roman" w:eastAsia="仿宋_GB2312" w:cs="Times New Roman"/>
          <w:kern w:val="2"/>
          <w:sz w:val="30"/>
          <w:lang w:eastAsia="zh-CN" w:bidi="ar"/>
        </w:rPr>
        <w:t>公路用地、交通枢纽用地</w:t>
      </w:r>
      <w:r>
        <w:rPr>
          <w:rFonts w:ascii="Times New Roman" w:hAnsi="Times New Roman" w:eastAsia="仿宋_GB2312" w:cs="Times New Roman"/>
          <w:kern w:val="2"/>
          <w:sz w:val="30"/>
          <w:lang w:eastAsia="zh-CN" w:bidi="ar"/>
        </w:rPr>
        <w:t>等基础设施用地，公园绿地、防护绿地等公共服务设施用地</w:t>
      </w:r>
      <w:r>
        <w:rPr>
          <w:rFonts w:hint="eastAsia" w:ascii="Times New Roman" w:hAnsi="Times New Roman" w:eastAsia="仿宋_GB2312" w:cs="Times New Roman"/>
          <w:kern w:val="2"/>
          <w:sz w:val="30"/>
          <w:lang w:eastAsia="zh-CN" w:bidi="ar"/>
        </w:rPr>
        <w:t>。</w:t>
      </w:r>
      <w:r>
        <w:rPr>
          <w:rFonts w:ascii="Times New Roman" w:hAnsi="Times New Roman" w:eastAsia="仿宋_GB2312" w:cs="Times New Roman"/>
          <w:kern w:val="2"/>
          <w:sz w:val="30"/>
          <w:lang w:eastAsia="zh-CN" w:bidi="ar"/>
        </w:rPr>
        <w:t>公益性用地</w:t>
      </w:r>
      <w:r>
        <w:rPr>
          <w:rFonts w:hint="eastAsia" w:ascii="Times New Roman" w:hAnsi="Times New Roman" w:eastAsia="仿宋_GB2312" w:cs="Times New Roman"/>
          <w:kern w:val="2"/>
          <w:sz w:val="30"/>
          <w:lang w:eastAsia="zh-CN" w:bidi="ar"/>
        </w:rPr>
        <w:t>总</w:t>
      </w:r>
      <w:r>
        <w:rPr>
          <w:rFonts w:ascii="Times New Roman" w:hAnsi="Times New Roman" w:eastAsia="仿宋_GB2312" w:cs="Times New Roman"/>
          <w:kern w:val="2"/>
          <w:sz w:val="30"/>
          <w:lang w:eastAsia="zh-CN" w:bidi="ar"/>
        </w:rPr>
        <w:t>面积</w:t>
      </w:r>
      <w:r>
        <w:rPr>
          <w:rFonts w:hint="eastAsia" w:ascii="Times New Roman" w:hAnsi="Times New Roman" w:eastAsia="仿宋_GB2312" w:cs="Times New Roman"/>
          <w:kern w:val="2"/>
          <w:sz w:val="30"/>
          <w:lang w:eastAsia="zh-CN" w:bidi="ar"/>
        </w:rPr>
        <w:t>946.1181</w:t>
      </w:r>
      <w:r>
        <w:rPr>
          <w:rFonts w:ascii="Times New Roman" w:hAnsi="Times New Roman" w:eastAsia="仿宋_GB2312" w:cs="Times New Roman"/>
          <w:kern w:val="2"/>
          <w:sz w:val="30"/>
          <w:lang w:eastAsia="zh-CN" w:bidi="ar"/>
        </w:rPr>
        <w:t>公顷，占成片开发总面积的</w:t>
      </w:r>
      <w:r>
        <w:rPr>
          <w:rFonts w:hint="eastAsia" w:ascii="Times New Roman" w:hAnsi="Times New Roman" w:eastAsia="仿宋_GB2312" w:cs="Times New Roman"/>
          <w:kern w:val="2"/>
          <w:sz w:val="30"/>
          <w:lang w:eastAsia="zh-CN" w:bidi="ar"/>
        </w:rPr>
        <w:t>38.20</w:t>
      </w:r>
      <w:r>
        <w:rPr>
          <w:rFonts w:ascii="Times New Roman" w:hAnsi="Times New Roman" w:eastAsia="仿宋_GB2312" w:cs="Times New Roman"/>
          <w:kern w:val="2"/>
          <w:sz w:val="30"/>
          <w:lang w:eastAsia="zh-CN" w:bidi="ar"/>
        </w:rPr>
        <w:t>%，</w:t>
      </w:r>
      <w:r>
        <w:rPr>
          <w:rFonts w:hint="eastAsia" w:ascii="Times New Roman" w:hAnsi="Times New Roman" w:eastAsia="仿宋_GB2312" w:cs="Times New Roman"/>
          <w:kern w:val="2"/>
          <w:sz w:val="30"/>
          <w:lang w:eastAsia="zh-CN" w:bidi="ar"/>
        </w:rPr>
        <w:t>其中以经营性项目为主的片区公益性用地比例为43.99%，以工业项目为主的片区公益性用地比例为29.19%，79</w:t>
      </w:r>
      <w:r>
        <w:rPr>
          <w:rFonts w:ascii="Times New Roman" w:hAnsi="Times New Roman" w:eastAsia="仿宋_GB2312" w:cs="Times New Roman"/>
          <w:kern w:val="2"/>
          <w:sz w:val="30"/>
          <w:lang w:eastAsia="zh-CN" w:bidi="ar"/>
        </w:rPr>
        <w:t>个片区</w:t>
      </w:r>
      <w:r>
        <w:rPr>
          <w:rFonts w:hint="eastAsia" w:ascii="Times New Roman" w:hAnsi="Times New Roman" w:eastAsia="仿宋_GB2312" w:cs="Times New Roman"/>
          <w:kern w:val="2"/>
          <w:sz w:val="30"/>
          <w:lang w:eastAsia="zh-CN" w:bidi="ar"/>
        </w:rPr>
        <w:t>均</w:t>
      </w:r>
      <w:r>
        <w:rPr>
          <w:rFonts w:ascii="Times New Roman" w:hAnsi="Times New Roman" w:eastAsia="仿宋_GB2312" w:cs="Times New Roman"/>
          <w:kern w:val="2"/>
          <w:sz w:val="30"/>
          <w:lang w:eastAsia="zh-CN" w:bidi="ar"/>
        </w:rPr>
        <w:t>符合《土地征收成片开发标准》（自然资规〔2023〕7号）</w:t>
      </w:r>
      <w:r>
        <w:rPr>
          <w:rFonts w:hint="eastAsia" w:ascii="Times New Roman" w:hAnsi="Times New Roman" w:eastAsia="仿宋_GB2312" w:cs="Times New Roman"/>
          <w:kern w:val="2"/>
          <w:sz w:val="30"/>
          <w:lang w:eastAsia="zh-CN" w:bidi="ar"/>
        </w:rPr>
        <w:t>、</w:t>
      </w:r>
      <w:r>
        <w:rPr>
          <w:rFonts w:cs="Times New Roman"/>
          <w:spacing w:val="-1"/>
          <w:sz w:val="30"/>
          <w:szCs w:val="30"/>
          <w:lang w:eastAsia="zh-CN"/>
        </w:rPr>
        <w:t>《浙江省自然资源厅关于印发</w:t>
      </w:r>
      <w:r>
        <w:rPr>
          <w:rFonts w:cs="Times New Roman"/>
          <w:sz w:val="30"/>
          <w:szCs w:val="30"/>
          <w:lang w:eastAsia="zh-CN"/>
        </w:rPr>
        <w:t>&lt;</w:t>
      </w:r>
      <w:r>
        <w:rPr>
          <w:rFonts w:cs="Times New Roman"/>
          <w:spacing w:val="-1"/>
          <w:sz w:val="30"/>
          <w:szCs w:val="30"/>
          <w:lang w:eastAsia="zh-CN"/>
        </w:rPr>
        <w:t>浙江省土地征收成片开发方案编制与审核办法</w:t>
      </w:r>
      <w:r>
        <w:rPr>
          <w:rFonts w:hint="eastAsia" w:cs="Times New Roman"/>
          <w:spacing w:val="-1"/>
          <w:sz w:val="30"/>
          <w:szCs w:val="30"/>
          <w:lang w:eastAsia="zh-CN"/>
        </w:rPr>
        <w:t>&gt;的通知</w:t>
      </w:r>
      <w:r>
        <w:rPr>
          <w:rFonts w:cs="Times New Roman"/>
          <w:spacing w:val="-1"/>
          <w:sz w:val="30"/>
          <w:szCs w:val="30"/>
          <w:lang w:eastAsia="zh-CN"/>
        </w:rPr>
        <w:t>》（浙自然资规〔202</w:t>
      </w:r>
      <w:r>
        <w:rPr>
          <w:rFonts w:hint="eastAsia" w:cs="Times New Roman"/>
          <w:spacing w:val="-1"/>
          <w:sz w:val="30"/>
          <w:szCs w:val="30"/>
          <w:lang w:eastAsia="zh-CN"/>
        </w:rPr>
        <w:t>4</w:t>
      </w:r>
      <w:r>
        <w:rPr>
          <w:rFonts w:cs="Times New Roman"/>
          <w:spacing w:val="-1"/>
          <w:sz w:val="30"/>
          <w:szCs w:val="30"/>
          <w:lang w:eastAsia="zh-CN"/>
        </w:rPr>
        <w:t>〕</w:t>
      </w:r>
      <w:r>
        <w:rPr>
          <w:rFonts w:hint="eastAsia" w:cs="Times New Roman"/>
          <w:spacing w:val="-1"/>
          <w:sz w:val="30"/>
          <w:szCs w:val="30"/>
          <w:lang w:eastAsia="zh-CN"/>
        </w:rPr>
        <w:t>5</w:t>
      </w:r>
      <w:r>
        <w:rPr>
          <w:rFonts w:cs="Times New Roman"/>
          <w:spacing w:val="-1"/>
          <w:sz w:val="30"/>
          <w:szCs w:val="30"/>
          <w:lang w:eastAsia="zh-CN"/>
        </w:rPr>
        <w:t>号）</w:t>
      </w:r>
      <w:r>
        <w:rPr>
          <w:rFonts w:ascii="Times New Roman" w:hAnsi="Times New Roman" w:eastAsia="仿宋_GB2312" w:cs="Times New Roman"/>
          <w:kern w:val="2"/>
          <w:sz w:val="30"/>
          <w:lang w:eastAsia="zh-CN" w:bidi="ar"/>
        </w:rPr>
        <w:t>等有关公益性</w:t>
      </w:r>
      <w:r>
        <w:rPr>
          <w:rFonts w:hint="eastAsia" w:ascii="Times New Roman" w:hAnsi="Times New Roman" w:eastAsia="仿宋_GB2312" w:cs="Times New Roman"/>
          <w:kern w:val="2"/>
          <w:sz w:val="30"/>
          <w:lang w:eastAsia="zh-CN" w:bidi="ar"/>
        </w:rPr>
        <w:t>用地比例一般不低于40%，以工业项目为主的成片开发范围内公益性用地比例不得低于25%的要求。</w:t>
      </w:r>
    </w:p>
    <w:p w14:paraId="39FC0C9B">
      <w:pPr>
        <w:ind w:firstLine="596"/>
        <w:jc w:val="both"/>
        <w:rPr>
          <w:rFonts w:ascii="Times New Roman" w:hAnsi="Times New Roman" w:eastAsia="仿宋_GB2312" w:cs="Times New Roman"/>
          <w:bCs/>
          <w:spacing w:val="-1"/>
          <w:sz w:val="30"/>
          <w:szCs w:val="30"/>
          <w:lang w:eastAsia="zh-CN"/>
        </w:rPr>
      </w:pPr>
      <w:r>
        <w:rPr>
          <w:rFonts w:ascii="Times New Roman" w:hAnsi="Times New Roman" w:eastAsia="仿宋_GB2312" w:cs="Times New Roman"/>
          <w:bCs/>
          <w:spacing w:val="-1"/>
          <w:sz w:val="30"/>
          <w:szCs w:val="30"/>
          <w:lang w:eastAsia="zh-CN"/>
        </w:rPr>
        <w:t>3、“三区三线”管控和城镇建设用地用途管制要求符合情况</w:t>
      </w:r>
    </w:p>
    <w:p w14:paraId="157C76E5">
      <w:pPr>
        <w:pStyle w:val="26"/>
        <w:spacing w:line="360" w:lineRule="auto"/>
        <w:ind w:firstLine="596"/>
        <w:jc w:val="both"/>
        <w:rPr>
          <w:rFonts w:cs="Times New Roman"/>
          <w:sz w:val="30"/>
          <w:szCs w:val="30"/>
        </w:rPr>
      </w:pPr>
      <w:bookmarkStart w:id="2" w:name="_Hlk79733921"/>
      <w:r>
        <w:rPr>
          <w:rFonts w:hint="eastAsia" w:cs="Times New Roman"/>
          <w:spacing w:val="-1"/>
          <w:sz w:val="30"/>
          <w:szCs w:val="30"/>
        </w:rPr>
        <w:t>除濮院镇商住片区2（CP 330483-2021-29（调））、屠甸镇工业片区2（CP 330483-2021-32（调））、屠甸镇商住片区3（CP 330483-2021-69（调））</w:t>
      </w:r>
      <w:r>
        <w:rPr>
          <w:rFonts w:cs="Times New Roman"/>
          <w:spacing w:val="-1"/>
          <w:sz w:val="30"/>
          <w:szCs w:val="30"/>
        </w:rPr>
        <w:t>土地</w:t>
      </w:r>
      <w:r>
        <w:rPr>
          <w:rFonts w:hint="eastAsia" w:cs="Times New Roman"/>
          <w:spacing w:val="-1"/>
          <w:sz w:val="30"/>
          <w:szCs w:val="30"/>
        </w:rPr>
        <w:t>涉及已实施征地项目位于开发边界外，其余</w:t>
      </w:r>
      <w:r>
        <w:rPr>
          <w:rFonts w:cs="Times New Roman"/>
          <w:spacing w:val="-1"/>
          <w:sz w:val="30"/>
          <w:szCs w:val="30"/>
        </w:rPr>
        <w:t>征收成片开发范围全部位于</w:t>
      </w:r>
      <w:r>
        <w:rPr>
          <w:rFonts w:hint="eastAsia" w:cs="Times New Roman"/>
          <w:sz w:val="30"/>
          <w:szCs w:val="30"/>
        </w:rPr>
        <w:t>国土空间规划确定的城镇建设用地范围内；符合城镇建设用地用途管制的要求；</w:t>
      </w:r>
      <w:r>
        <w:rPr>
          <w:rFonts w:cs="Times New Roman"/>
          <w:sz w:val="30"/>
          <w:szCs w:val="30"/>
        </w:rPr>
        <w:t>土地征收成片开发范围没有占用永久基本农田和生态保护红线等。</w:t>
      </w:r>
    </w:p>
    <w:p w14:paraId="62E9E7D6">
      <w:pPr>
        <w:ind w:firstLine="596"/>
        <w:jc w:val="both"/>
        <w:rPr>
          <w:rFonts w:ascii="Times New Roman" w:hAnsi="Times New Roman" w:eastAsia="仿宋_GB2312" w:cs="Times New Roman"/>
          <w:bCs/>
          <w:spacing w:val="-1"/>
          <w:sz w:val="30"/>
          <w:szCs w:val="30"/>
          <w:lang w:eastAsia="zh-CN"/>
        </w:rPr>
      </w:pPr>
      <w:r>
        <w:rPr>
          <w:rFonts w:ascii="Times New Roman" w:hAnsi="Times New Roman" w:eastAsia="仿宋_GB2312" w:cs="Times New Roman"/>
          <w:bCs/>
          <w:spacing w:val="-1"/>
          <w:sz w:val="30"/>
          <w:szCs w:val="30"/>
          <w:lang w:eastAsia="zh-CN"/>
        </w:rPr>
        <w:t>4、</w:t>
      </w:r>
      <w:bookmarkEnd w:id="2"/>
      <w:r>
        <w:rPr>
          <w:rFonts w:ascii="Times New Roman" w:hAnsi="Times New Roman" w:eastAsia="仿宋_GB2312" w:cs="Times New Roman"/>
          <w:bCs/>
          <w:spacing w:val="-1"/>
          <w:sz w:val="30"/>
          <w:szCs w:val="30"/>
          <w:lang w:eastAsia="zh-CN"/>
        </w:rPr>
        <w:t>效益分析</w:t>
      </w:r>
    </w:p>
    <w:p w14:paraId="426FE2DF">
      <w:pPr>
        <w:pStyle w:val="26"/>
        <w:spacing w:line="360" w:lineRule="auto"/>
        <w:ind w:firstLine="600"/>
        <w:jc w:val="both"/>
        <w:rPr>
          <w:rFonts w:cs="Times New Roman"/>
          <w:sz w:val="30"/>
          <w:szCs w:val="30"/>
        </w:rPr>
      </w:pPr>
      <w:r>
        <w:rPr>
          <w:rFonts w:cs="Times New Roman"/>
          <w:sz w:val="30"/>
          <w:szCs w:val="30"/>
        </w:rPr>
        <w:t>评估土地征收成片开发在经济建设、社会发展、生态环境和土地集约高效利用等方面的效益。</w:t>
      </w:r>
    </w:p>
    <w:p w14:paraId="595F4E97">
      <w:pPr>
        <w:pStyle w:val="26"/>
        <w:spacing w:line="360" w:lineRule="auto"/>
        <w:ind w:firstLine="600"/>
        <w:jc w:val="both"/>
        <w:rPr>
          <w:rFonts w:cs="Times New Roman"/>
          <w:sz w:val="30"/>
          <w:szCs w:val="30"/>
        </w:rPr>
      </w:pPr>
      <w:r>
        <w:rPr>
          <w:rFonts w:cs="Times New Roman"/>
          <w:sz w:val="30"/>
          <w:szCs w:val="30"/>
        </w:rPr>
        <w:t>（1）经济效益</w:t>
      </w:r>
    </w:p>
    <w:p w14:paraId="3856DEEF">
      <w:pPr>
        <w:pStyle w:val="26"/>
        <w:spacing w:line="360" w:lineRule="auto"/>
        <w:ind w:firstLine="600"/>
        <w:jc w:val="both"/>
        <w:rPr>
          <w:rFonts w:cs="Times New Roman"/>
          <w:sz w:val="30"/>
          <w:szCs w:val="30"/>
        </w:rPr>
      </w:pPr>
      <w:r>
        <w:rPr>
          <w:rFonts w:cs="Times New Roman"/>
          <w:sz w:val="30"/>
          <w:szCs w:val="30"/>
        </w:rPr>
        <w:t>本方案成片开发通过土地征用、划拨和市场手段将土地资源配置到各个土地使用者手中，为城市建设提供了经济发展保障，为桐乡经济的可持续发展、高质量发展提供了坚实的后盾。基础服务设施产业的完善和地区特色产业的发展，有利于进一步完善产业结构，形成优势互补，规模效应进一步突显。通过本次成片开发的实施，将提升桐乡市产业的战略定位和功能定位，突出产业主导和特色，规划引进新的发展产业，成片开发项目的建设将推动和聚集符合当地资源特点的产业，优化资源配置，提高资源的利用率，降低能耗，提高土地的综合利用率。</w:t>
      </w:r>
    </w:p>
    <w:p w14:paraId="77B335C3">
      <w:pPr>
        <w:pStyle w:val="26"/>
        <w:spacing w:line="360" w:lineRule="auto"/>
        <w:ind w:firstLine="600"/>
        <w:jc w:val="both"/>
        <w:rPr>
          <w:rFonts w:cs="Times New Roman"/>
          <w:sz w:val="30"/>
          <w:szCs w:val="30"/>
        </w:rPr>
      </w:pPr>
      <w:r>
        <w:rPr>
          <w:rFonts w:cs="Times New Roman"/>
          <w:sz w:val="30"/>
          <w:szCs w:val="30"/>
        </w:rPr>
        <w:t>（2）社会效益</w:t>
      </w:r>
    </w:p>
    <w:p w14:paraId="312269DC">
      <w:pPr>
        <w:pStyle w:val="26"/>
        <w:spacing w:line="360" w:lineRule="auto"/>
        <w:ind w:firstLine="600"/>
        <w:jc w:val="both"/>
        <w:rPr>
          <w:rFonts w:cs="Times New Roman"/>
          <w:sz w:val="30"/>
          <w:szCs w:val="30"/>
        </w:rPr>
      </w:pPr>
      <w:r>
        <w:rPr>
          <w:rFonts w:cs="Times New Roman"/>
          <w:sz w:val="30"/>
          <w:szCs w:val="30"/>
        </w:rPr>
        <w:t>本成片开发方案的实施会对社会、经济、环境等方面都产生重大影响，在资源合理分配、环境显著提升、就业大幅增加等方面有巨大的促进作用。通过本成片开发方案的实施，能够真正实现统一规划、统一配套、统一开发、统一建设、统一管理，激活存量土地利用价值，提高城市土地资源配置效率。片区内的各类经营性用地通过一个公平、公开、公正的城市土地市场进行招标、拍卖等方式有偿出让土地使用权，根据区位条件和地段优劣的差异向使用者收取不同层次的土地使用费，从而使各类土地使用者在经济活动中</w:t>
      </w:r>
      <w:r>
        <w:rPr>
          <w:rFonts w:hint="eastAsia" w:cs="Times New Roman"/>
          <w:sz w:val="30"/>
          <w:szCs w:val="30"/>
        </w:rPr>
        <w:t>“</w:t>
      </w:r>
      <w:r>
        <w:rPr>
          <w:rFonts w:cs="Times New Roman"/>
          <w:sz w:val="30"/>
          <w:szCs w:val="30"/>
        </w:rPr>
        <w:t>站在了同一起跑线上</w:t>
      </w:r>
      <w:r>
        <w:rPr>
          <w:rFonts w:hint="eastAsia" w:cs="Times New Roman"/>
          <w:sz w:val="30"/>
          <w:szCs w:val="30"/>
        </w:rPr>
        <w:t>”</w:t>
      </w:r>
      <w:r>
        <w:rPr>
          <w:rFonts w:cs="Times New Roman"/>
          <w:sz w:val="30"/>
          <w:szCs w:val="30"/>
        </w:rPr>
        <w:t>，这就是土地分配在价值取向上的“机会均等”。本成片开发方案除新征农村集体土地以外，还对一些环境较差、规划条件不理想和低效使用的土地进行再开发、再利用，使得现状环境条件得到极大改善。本成片开发方案在实施的过程中，能够创造大量的建筑岗位和服务工人岗位，待片区建成后，餐饮娱乐、文化科技、城市管理等产业需要大量的人力资源，可以为当地及周边被征地农民、城乡居民创造就业机会和工作岗位，提高城乡居民收入水平。</w:t>
      </w:r>
    </w:p>
    <w:p w14:paraId="1043E5AE">
      <w:pPr>
        <w:pStyle w:val="26"/>
        <w:spacing w:line="360" w:lineRule="auto"/>
        <w:ind w:firstLine="600"/>
        <w:jc w:val="both"/>
        <w:rPr>
          <w:rFonts w:cs="Times New Roman"/>
          <w:sz w:val="30"/>
          <w:szCs w:val="30"/>
        </w:rPr>
      </w:pPr>
      <w:r>
        <w:rPr>
          <w:rFonts w:cs="Times New Roman"/>
          <w:sz w:val="30"/>
          <w:szCs w:val="30"/>
        </w:rPr>
        <w:t>（3）生态效益</w:t>
      </w:r>
    </w:p>
    <w:p w14:paraId="17CF0600">
      <w:pPr>
        <w:pStyle w:val="26"/>
        <w:spacing w:line="360" w:lineRule="auto"/>
        <w:ind w:firstLine="600"/>
        <w:jc w:val="both"/>
        <w:rPr>
          <w:rFonts w:cs="Times New Roman"/>
          <w:sz w:val="30"/>
          <w:szCs w:val="30"/>
        </w:rPr>
      </w:pPr>
      <w:r>
        <w:rPr>
          <w:rFonts w:cs="Times New Roman"/>
          <w:sz w:val="30"/>
          <w:szCs w:val="30"/>
        </w:rPr>
        <w:t>本成片开发方案范围内，将有效恢复生态绿化功能，在改变城市环境，减少水域污染、保持水土，涵养水源、降低噪音等诸方面发挥显著作用，使项目区域生态环境实现良性循环，实现人与自然、经济发展与资源环境相协调、促进城市的可持续发展。</w:t>
      </w:r>
    </w:p>
    <w:p w14:paraId="7C25F3E8">
      <w:pPr>
        <w:ind w:firstLine="643"/>
        <w:jc w:val="both"/>
        <w:rPr>
          <w:rFonts w:ascii="Times New Roman" w:hAnsi="Times New Roman" w:eastAsia="黑体" w:cs="Times New Roman"/>
          <w:bCs/>
          <w:szCs w:val="32"/>
          <w:lang w:eastAsia="zh-CN"/>
        </w:rPr>
      </w:pPr>
      <w:r>
        <w:rPr>
          <w:rFonts w:ascii="Times New Roman" w:hAnsi="Times New Roman" w:cs="Times New Roman"/>
          <w:b/>
          <w:bCs/>
          <w:szCs w:val="32"/>
          <w:lang w:eastAsia="zh-CN"/>
        </w:rPr>
        <w:t>（三）</w:t>
      </w:r>
      <w:r>
        <w:rPr>
          <w:rFonts w:ascii="Times New Roman" w:hAnsi="Times New Roman" w:eastAsia="仿宋_GB2312" w:cs="Times New Roman"/>
          <w:b/>
          <w:bCs/>
          <w:kern w:val="2"/>
          <w:szCs w:val="32"/>
          <w:lang w:eastAsia="zh-CN"/>
        </w:rPr>
        <w:t>已批准方案情况</w:t>
      </w:r>
    </w:p>
    <w:p w14:paraId="570AF72D">
      <w:pPr>
        <w:adjustRightInd w:val="0"/>
        <w:ind w:firstLine="600"/>
        <w:jc w:val="both"/>
        <w:rPr>
          <w:rFonts w:ascii="Times New Roman" w:hAnsi="Times New Roman" w:eastAsia="仿宋_GB2312" w:cs="Times New Roman"/>
          <w:color w:val="000000"/>
          <w:sz w:val="30"/>
          <w:szCs w:val="30"/>
          <w:lang w:eastAsia="zh-CN"/>
        </w:rPr>
      </w:pPr>
      <w:r>
        <w:rPr>
          <w:rFonts w:ascii="Times New Roman" w:hAnsi="Times New Roman" w:eastAsia="仿宋_GB2312" w:cs="Times New Roman"/>
          <w:color w:val="000000"/>
          <w:sz w:val="30"/>
          <w:szCs w:val="30"/>
          <w:lang w:eastAsia="zh-CN"/>
        </w:rPr>
        <w:t>1、桐乡市已经省政府批准的土地征收成片开发方案数量、批准时间等基本信息</w:t>
      </w:r>
    </w:p>
    <w:p w14:paraId="5AB968C4">
      <w:pPr>
        <w:adjustRightInd w:val="0"/>
        <w:ind w:firstLine="600"/>
        <w:jc w:val="both"/>
        <w:rPr>
          <w:rFonts w:ascii="Times New Roman" w:hAnsi="Times New Roman" w:eastAsia="仿宋_GB2312" w:cs="Times New Roman"/>
          <w:color w:val="000000"/>
          <w:sz w:val="30"/>
          <w:szCs w:val="30"/>
          <w:lang w:eastAsia="zh-CN"/>
        </w:rPr>
      </w:pPr>
      <w:r>
        <w:rPr>
          <w:rFonts w:ascii="Times New Roman" w:hAnsi="Times New Roman" w:eastAsia="仿宋_GB2312" w:cs="Times New Roman"/>
          <w:color w:val="000000"/>
          <w:sz w:val="30"/>
          <w:szCs w:val="30"/>
          <w:lang w:eastAsia="zh-CN"/>
        </w:rPr>
        <w:t>桐乡市已经省政府批准的土地征收成片开发方案</w:t>
      </w:r>
      <w:r>
        <w:rPr>
          <w:rFonts w:hint="eastAsia" w:ascii="Times New Roman" w:hAnsi="Times New Roman" w:eastAsia="仿宋_GB2312" w:cs="Times New Roman"/>
          <w:color w:val="000000"/>
          <w:sz w:val="30"/>
          <w:szCs w:val="30"/>
          <w:lang w:eastAsia="zh-CN"/>
        </w:rPr>
        <w:t>6</w:t>
      </w:r>
      <w:r>
        <w:rPr>
          <w:rFonts w:ascii="Times New Roman" w:hAnsi="Times New Roman" w:eastAsia="仿宋_GB2312" w:cs="Times New Roman"/>
          <w:color w:val="000000"/>
          <w:sz w:val="30"/>
          <w:szCs w:val="30"/>
          <w:lang w:eastAsia="zh-CN"/>
        </w:rPr>
        <w:t>个，共批准开发片区</w:t>
      </w:r>
      <w:r>
        <w:rPr>
          <w:rFonts w:hint="eastAsia" w:ascii="Times New Roman" w:hAnsi="Times New Roman" w:eastAsia="仿宋_GB2312" w:cs="Times New Roman"/>
          <w:color w:val="000000"/>
          <w:sz w:val="30"/>
          <w:szCs w:val="30"/>
          <w:lang w:eastAsia="zh-CN"/>
        </w:rPr>
        <w:t>203</w:t>
      </w:r>
      <w:r>
        <w:rPr>
          <w:rFonts w:ascii="Times New Roman" w:hAnsi="Times New Roman" w:eastAsia="仿宋_GB2312" w:cs="Times New Roman"/>
          <w:color w:val="000000"/>
          <w:sz w:val="30"/>
          <w:szCs w:val="30"/>
          <w:lang w:eastAsia="zh-CN"/>
        </w:rPr>
        <w:t>个，成片开发片区总规模4298.1386公顷，计划征收集体土地1841.9335公顷。</w:t>
      </w:r>
    </w:p>
    <w:p w14:paraId="15F504DE">
      <w:pPr>
        <w:tabs>
          <w:tab w:val="left" w:pos="1050"/>
        </w:tabs>
        <w:spacing w:before="70" w:line="240" w:lineRule="auto"/>
        <w:ind w:right="454" w:firstLine="0" w:firstLineChars="0"/>
        <w:jc w:val="center"/>
        <w:rPr>
          <w:rFonts w:ascii="Times New Roman" w:hAnsi="Times New Roman" w:eastAsia="仿宋_GB2312" w:cs="Times New Roman"/>
          <w:b/>
          <w:color w:val="000000"/>
          <w:sz w:val="30"/>
          <w:szCs w:val="30"/>
          <w:lang w:eastAsia="zh-CN"/>
        </w:rPr>
      </w:pPr>
      <w:r>
        <w:rPr>
          <w:rFonts w:ascii="Times New Roman" w:hAnsi="Times New Roman" w:eastAsia="仿宋_GB2312" w:cs="Times New Roman"/>
          <w:b/>
          <w:color w:val="000000"/>
          <w:sz w:val="30"/>
          <w:szCs w:val="30"/>
          <w:lang w:eastAsia="zh-CN"/>
        </w:rPr>
        <w:t>表</w:t>
      </w:r>
      <w:r>
        <w:rPr>
          <w:rFonts w:hint="eastAsia" w:ascii="Times New Roman" w:hAnsi="Times New Roman" w:eastAsia="仿宋_GB2312" w:cs="Times New Roman"/>
          <w:b/>
          <w:color w:val="000000"/>
          <w:sz w:val="30"/>
          <w:szCs w:val="30"/>
          <w:lang w:eastAsia="zh-CN"/>
        </w:rPr>
        <w:t>1</w:t>
      </w:r>
      <w:r>
        <w:rPr>
          <w:rFonts w:ascii="Times New Roman" w:hAnsi="Times New Roman" w:eastAsia="仿宋_GB2312" w:cs="Times New Roman"/>
          <w:b/>
          <w:color w:val="000000"/>
          <w:sz w:val="30"/>
          <w:szCs w:val="30"/>
          <w:lang w:eastAsia="zh-CN"/>
        </w:rPr>
        <w:t xml:space="preserve"> 已批准土地征收成片开发方案基本信息表</w:t>
      </w:r>
    </w:p>
    <w:p w14:paraId="73C86E12">
      <w:pPr>
        <w:spacing w:before="257" w:line="240" w:lineRule="auto"/>
        <w:ind w:right="90" w:firstLineChars="0"/>
        <w:jc w:val="right"/>
        <w:rPr>
          <w:rFonts w:ascii="仿宋_GB2312" w:hAnsi="Times New Roman" w:eastAsia="仿宋_GB2312" w:cs="Times New Roman"/>
          <w:sz w:val="21"/>
          <w:szCs w:val="28"/>
          <w:lang w:eastAsia="zh-CN"/>
        </w:rPr>
      </w:pPr>
      <w:r>
        <w:rPr>
          <w:rFonts w:hint="eastAsia" w:ascii="仿宋_GB2312" w:hAnsi="Times New Roman" w:eastAsia="仿宋_GB2312" w:cs="Times New Roman"/>
          <w:sz w:val="21"/>
          <w:szCs w:val="28"/>
          <w:lang w:eastAsia="zh-CN"/>
        </w:rPr>
        <w:t>单位：公顷</w:t>
      </w:r>
    </w:p>
    <w:tbl>
      <w:tblPr>
        <w:tblStyle w:val="9"/>
        <w:tblW w:w="8302" w:type="dxa"/>
        <w:jc w:val="center"/>
        <w:tblLayout w:type="autofit"/>
        <w:tblCellMar>
          <w:top w:w="0" w:type="dxa"/>
          <w:left w:w="108" w:type="dxa"/>
          <w:bottom w:w="0" w:type="dxa"/>
          <w:right w:w="108" w:type="dxa"/>
        </w:tblCellMar>
      </w:tblPr>
      <w:tblGrid>
        <w:gridCol w:w="638"/>
        <w:gridCol w:w="2192"/>
        <w:gridCol w:w="1276"/>
        <w:gridCol w:w="1134"/>
        <w:gridCol w:w="1510"/>
        <w:gridCol w:w="1552"/>
      </w:tblGrid>
      <w:tr w14:paraId="08F75367">
        <w:tblPrEx>
          <w:tblCellMar>
            <w:top w:w="0" w:type="dxa"/>
            <w:left w:w="108" w:type="dxa"/>
            <w:bottom w:w="0" w:type="dxa"/>
            <w:right w:w="108" w:type="dxa"/>
          </w:tblCellMar>
        </w:tblPrEx>
        <w:trPr>
          <w:trHeight w:val="478"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B3395EF">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序号</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350BD328">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方案名称</w:t>
            </w:r>
          </w:p>
        </w:tc>
        <w:tc>
          <w:tcPr>
            <w:tcW w:w="1276" w:type="dxa"/>
            <w:tcBorders>
              <w:top w:val="single" w:color="auto" w:sz="4" w:space="0"/>
              <w:left w:val="nil"/>
              <w:bottom w:val="single" w:color="auto" w:sz="4" w:space="0"/>
              <w:right w:val="single" w:color="auto" w:sz="4" w:space="0"/>
            </w:tcBorders>
            <w:vAlign w:val="center"/>
          </w:tcPr>
          <w:p w14:paraId="21B07D93">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批准时间</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ACE344A">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片区个数</w:t>
            </w:r>
          </w:p>
        </w:tc>
        <w:tc>
          <w:tcPr>
            <w:tcW w:w="1510" w:type="dxa"/>
            <w:tcBorders>
              <w:top w:val="single" w:color="auto" w:sz="4" w:space="0"/>
              <w:left w:val="nil"/>
              <w:bottom w:val="single" w:color="auto" w:sz="4" w:space="0"/>
              <w:right w:val="single" w:color="auto" w:sz="4" w:space="0"/>
            </w:tcBorders>
            <w:shd w:val="clear" w:color="auto" w:fill="auto"/>
            <w:vAlign w:val="center"/>
          </w:tcPr>
          <w:p w14:paraId="23B8C417">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片区总规模</w:t>
            </w:r>
          </w:p>
        </w:tc>
        <w:tc>
          <w:tcPr>
            <w:tcW w:w="1552" w:type="dxa"/>
            <w:tcBorders>
              <w:top w:val="single" w:color="auto" w:sz="4" w:space="0"/>
              <w:left w:val="nil"/>
              <w:bottom w:val="single" w:color="auto" w:sz="4" w:space="0"/>
              <w:right w:val="single" w:color="auto" w:sz="4" w:space="0"/>
            </w:tcBorders>
            <w:shd w:val="clear" w:color="auto" w:fill="auto"/>
            <w:vAlign w:val="center"/>
          </w:tcPr>
          <w:p w14:paraId="02476B98">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计划征地面积</w:t>
            </w:r>
          </w:p>
        </w:tc>
      </w:tr>
      <w:tr w14:paraId="5496E723">
        <w:tblPrEx>
          <w:tblCellMar>
            <w:top w:w="0" w:type="dxa"/>
            <w:left w:w="108" w:type="dxa"/>
            <w:bottom w:w="0" w:type="dxa"/>
            <w:right w:w="108" w:type="dxa"/>
          </w:tblCellMar>
        </w:tblPrEx>
        <w:trPr>
          <w:trHeight w:val="375"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3475E34">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1</w:t>
            </w:r>
          </w:p>
        </w:tc>
        <w:tc>
          <w:tcPr>
            <w:tcW w:w="2192" w:type="dxa"/>
            <w:tcBorders>
              <w:top w:val="single" w:color="auto" w:sz="4" w:space="0"/>
              <w:left w:val="single" w:color="auto" w:sz="4" w:space="0"/>
              <w:bottom w:val="single" w:color="auto" w:sz="4" w:space="0"/>
              <w:right w:val="single" w:color="auto" w:sz="4" w:space="0"/>
            </w:tcBorders>
            <w:shd w:val="clear" w:color="auto" w:fill="auto"/>
            <w:vAlign w:val="center"/>
          </w:tcPr>
          <w:p w14:paraId="33F5BBD0">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桐乡市2021年度土地征收成片开发方案</w:t>
            </w:r>
          </w:p>
        </w:tc>
        <w:tc>
          <w:tcPr>
            <w:tcW w:w="1276" w:type="dxa"/>
            <w:tcBorders>
              <w:top w:val="single" w:color="auto" w:sz="4" w:space="0"/>
              <w:left w:val="nil"/>
              <w:bottom w:val="single" w:color="auto" w:sz="4" w:space="0"/>
              <w:right w:val="single" w:color="auto" w:sz="4" w:space="0"/>
            </w:tcBorders>
            <w:vAlign w:val="center"/>
          </w:tcPr>
          <w:p w14:paraId="7532D75D">
            <w:pPr>
              <w:widowControl/>
              <w:autoSpaceDE/>
              <w:autoSpaceDN/>
              <w:spacing w:line="240" w:lineRule="auto"/>
              <w:ind w:firstLine="0" w:firstLineChars="0"/>
              <w:jc w:val="center"/>
              <w:rPr>
                <w:rFonts w:ascii="Times New Roman" w:hAnsi="Times New Roman" w:eastAsia="仿宋_GB2312" w:cs="Times New Roman"/>
                <w:color w:val="000000"/>
                <w:sz w:val="21"/>
                <w:szCs w:val="21"/>
              </w:rPr>
            </w:pPr>
            <w:r>
              <w:rPr>
                <w:rFonts w:ascii="Times New Roman" w:hAnsi="Times New Roman" w:eastAsia="仿宋_GB2312" w:cs="Times New Roman"/>
                <w:color w:val="000000"/>
                <w:sz w:val="21"/>
                <w:szCs w:val="21"/>
              </w:rPr>
              <w:t>2021年12月13日</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A7D0734">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rPr>
              <w:t>69</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698A3439">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rPr>
              <w:t>2765.1411</w:t>
            </w:r>
          </w:p>
        </w:tc>
        <w:tc>
          <w:tcPr>
            <w:tcW w:w="1552" w:type="dxa"/>
            <w:tcBorders>
              <w:top w:val="single" w:color="auto" w:sz="4" w:space="0"/>
              <w:left w:val="nil"/>
              <w:bottom w:val="single" w:color="auto" w:sz="4" w:space="0"/>
              <w:right w:val="single" w:color="auto" w:sz="4" w:space="0"/>
            </w:tcBorders>
            <w:shd w:val="clear" w:color="auto" w:fill="auto"/>
            <w:vAlign w:val="center"/>
          </w:tcPr>
          <w:p w14:paraId="760262D8">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630.8797</w:t>
            </w:r>
          </w:p>
        </w:tc>
      </w:tr>
      <w:tr w14:paraId="21D33789">
        <w:tblPrEx>
          <w:tblCellMar>
            <w:top w:w="0" w:type="dxa"/>
            <w:left w:w="108" w:type="dxa"/>
            <w:bottom w:w="0" w:type="dxa"/>
            <w:right w:w="108" w:type="dxa"/>
          </w:tblCellMar>
        </w:tblPrEx>
        <w:trPr>
          <w:trHeight w:val="515"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C2E0E7E">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2</w:t>
            </w:r>
          </w:p>
        </w:tc>
        <w:tc>
          <w:tcPr>
            <w:tcW w:w="2192" w:type="dxa"/>
            <w:tcBorders>
              <w:top w:val="single" w:color="auto" w:sz="4" w:space="0"/>
              <w:left w:val="nil"/>
              <w:bottom w:val="single" w:color="auto" w:sz="4" w:space="0"/>
              <w:right w:val="single" w:color="auto" w:sz="4" w:space="0"/>
            </w:tcBorders>
            <w:shd w:val="clear" w:color="auto" w:fill="auto"/>
            <w:vAlign w:val="center"/>
          </w:tcPr>
          <w:p w14:paraId="4DEEDD60">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桐乡市2022年度土地征收成片开发方案</w:t>
            </w:r>
          </w:p>
        </w:tc>
        <w:tc>
          <w:tcPr>
            <w:tcW w:w="1276" w:type="dxa"/>
            <w:tcBorders>
              <w:top w:val="nil"/>
              <w:left w:val="nil"/>
              <w:bottom w:val="single" w:color="auto" w:sz="4" w:space="0"/>
              <w:right w:val="single" w:color="auto" w:sz="4" w:space="0"/>
            </w:tcBorders>
            <w:vAlign w:val="center"/>
          </w:tcPr>
          <w:p w14:paraId="5FAF9167">
            <w:pPr>
              <w:widowControl/>
              <w:autoSpaceDE/>
              <w:autoSpaceDN/>
              <w:spacing w:line="240" w:lineRule="auto"/>
              <w:ind w:firstLine="0" w:firstLineChars="0"/>
              <w:jc w:val="center"/>
              <w:rPr>
                <w:rFonts w:ascii="Times New Roman" w:hAnsi="Times New Roman" w:eastAsia="仿宋_GB2312" w:cs="Times New Roman"/>
                <w:color w:val="000000"/>
                <w:sz w:val="21"/>
                <w:szCs w:val="21"/>
              </w:rPr>
            </w:pPr>
            <w:r>
              <w:rPr>
                <w:rFonts w:ascii="Times New Roman" w:hAnsi="Times New Roman" w:eastAsia="仿宋_GB2312" w:cs="Times New Roman"/>
                <w:color w:val="000000"/>
                <w:sz w:val="21"/>
                <w:szCs w:val="21"/>
              </w:rPr>
              <w:t>2022年10月18日</w:t>
            </w:r>
          </w:p>
        </w:tc>
        <w:tc>
          <w:tcPr>
            <w:tcW w:w="1134" w:type="dxa"/>
            <w:tcBorders>
              <w:top w:val="nil"/>
              <w:left w:val="single" w:color="auto" w:sz="4" w:space="0"/>
              <w:bottom w:val="single" w:color="auto" w:sz="4" w:space="0"/>
              <w:right w:val="single" w:color="auto" w:sz="4" w:space="0"/>
            </w:tcBorders>
            <w:shd w:val="clear" w:color="auto" w:fill="auto"/>
            <w:vAlign w:val="center"/>
          </w:tcPr>
          <w:p w14:paraId="6D69FAFA">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rPr>
              <w:t>36</w:t>
            </w:r>
          </w:p>
        </w:tc>
        <w:tc>
          <w:tcPr>
            <w:tcW w:w="1510" w:type="dxa"/>
            <w:tcBorders>
              <w:top w:val="nil"/>
              <w:left w:val="single" w:color="auto" w:sz="4" w:space="0"/>
              <w:bottom w:val="single" w:color="auto" w:sz="4" w:space="0"/>
              <w:right w:val="single" w:color="auto" w:sz="4" w:space="0"/>
            </w:tcBorders>
            <w:shd w:val="clear" w:color="auto" w:fill="auto"/>
            <w:vAlign w:val="center"/>
          </w:tcPr>
          <w:p w14:paraId="15CE2B81">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rPr>
              <w:t>471.9036</w:t>
            </w:r>
          </w:p>
        </w:tc>
        <w:tc>
          <w:tcPr>
            <w:tcW w:w="1552" w:type="dxa"/>
            <w:tcBorders>
              <w:top w:val="nil"/>
              <w:left w:val="nil"/>
              <w:bottom w:val="single" w:color="auto" w:sz="4" w:space="0"/>
              <w:right w:val="single" w:color="auto" w:sz="4" w:space="0"/>
            </w:tcBorders>
            <w:shd w:val="clear" w:color="auto" w:fill="auto"/>
            <w:vAlign w:val="center"/>
          </w:tcPr>
          <w:p w14:paraId="2167AFE2">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384.0368</w:t>
            </w:r>
          </w:p>
        </w:tc>
      </w:tr>
      <w:tr w14:paraId="78560F4B">
        <w:tblPrEx>
          <w:tblCellMar>
            <w:top w:w="0" w:type="dxa"/>
            <w:left w:w="108" w:type="dxa"/>
            <w:bottom w:w="0" w:type="dxa"/>
            <w:right w:w="108" w:type="dxa"/>
          </w:tblCellMar>
        </w:tblPrEx>
        <w:trPr>
          <w:trHeight w:val="540" w:hRule="atLeast"/>
          <w:jc w:val="center"/>
        </w:trPr>
        <w:tc>
          <w:tcPr>
            <w:tcW w:w="638" w:type="dxa"/>
            <w:tcBorders>
              <w:top w:val="single" w:color="auto" w:sz="4" w:space="0"/>
              <w:left w:val="single" w:color="auto" w:sz="4" w:space="0"/>
              <w:right w:val="single" w:color="auto" w:sz="4" w:space="0"/>
            </w:tcBorders>
            <w:shd w:val="clear" w:color="auto" w:fill="auto"/>
            <w:vAlign w:val="center"/>
          </w:tcPr>
          <w:p w14:paraId="3F0652B8">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3</w:t>
            </w:r>
          </w:p>
        </w:tc>
        <w:tc>
          <w:tcPr>
            <w:tcW w:w="2192" w:type="dxa"/>
            <w:tcBorders>
              <w:top w:val="single" w:color="auto" w:sz="4" w:space="0"/>
              <w:left w:val="nil"/>
              <w:right w:val="single" w:color="auto" w:sz="4" w:space="0"/>
            </w:tcBorders>
            <w:shd w:val="clear" w:color="auto" w:fill="auto"/>
            <w:vAlign w:val="center"/>
          </w:tcPr>
          <w:p w14:paraId="70A02F69">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桐乡市2022年度第二批土地征收成片开发方案</w:t>
            </w:r>
          </w:p>
        </w:tc>
        <w:tc>
          <w:tcPr>
            <w:tcW w:w="1276" w:type="dxa"/>
            <w:tcBorders>
              <w:top w:val="nil"/>
              <w:left w:val="nil"/>
              <w:right w:val="single" w:color="auto" w:sz="4" w:space="0"/>
            </w:tcBorders>
            <w:vAlign w:val="center"/>
          </w:tcPr>
          <w:p w14:paraId="4C47D5CA">
            <w:pPr>
              <w:widowControl/>
              <w:autoSpaceDE/>
              <w:autoSpaceDN/>
              <w:spacing w:line="240" w:lineRule="auto"/>
              <w:ind w:firstLine="0" w:firstLineChars="0"/>
              <w:jc w:val="center"/>
              <w:rPr>
                <w:rFonts w:ascii="Times New Roman" w:hAnsi="Times New Roman" w:eastAsia="仿宋_GB2312" w:cs="Times New Roman"/>
                <w:color w:val="000000"/>
                <w:sz w:val="21"/>
                <w:szCs w:val="21"/>
              </w:rPr>
            </w:pPr>
            <w:r>
              <w:rPr>
                <w:rFonts w:ascii="Times New Roman" w:hAnsi="Times New Roman" w:eastAsia="仿宋_GB2312" w:cs="Times New Roman"/>
                <w:color w:val="000000"/>
                <w:sz w:val="21"/>
                <w:szCs w:val="21"/>
              </w:rPr>
              <w:t>2022年12月16日</w:t>
            </w:r>
          </w:p>
        </w:tc>
        <w:tc>
          <w:tcPr>
            <w:tcW w:w="1134" w:type="dxa"/>
            <w:tcBorders>
              <w:top w:val="nil"/>
              <w:left w:val="single" w:color="auto" w:sz="4" w:space="0"/>
              <w:bottom w:val="single" w:color="auto" w:sz="4" w:space="0"/>
              <w:right w:val="single" w:color="auto" w:sz="4" w:space="0"/>
            </w:tcBorders>
            <w:shd w:val="clear" w:color="auto" w:fill="auto"/>
            <w:vAlign w:val="center"/>
          </w:tcPr>
          <w:p w14:paraId="7AE18FF4">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rPr>
              <w:t>32</w:t>
            </w:r>
          </w:p>
        </w:tc>
        <w:tc>
          <w:tcPr>
            <w:tcW w:w="1510" w:type="dxa"/>
            <w:tcBorders>
              <w:top w:val="nil"/>
              <w:left w:val="single" w:color="auto" w:sz="4" w:space="0"/>
              <w:bottom w:val="single" w:color="auto" w:sz="4" w:space="0"/>
              <w:right w:val="single" w:color="auto" w:sz="4" w:space="0"/>
            </w:tcBorders>
            <w:shd w:val="clear" w:color="auto" w:fill="auto"/>
            <w:vAlign w:val="center"/>
          </w:tcPr>
          <w:p w14:paraId="3A5C8139">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rPr>
              <w:t>409.8605</w:t>
            </w:r>
          </w:p>
        </w:tc>
        <w:tc>
          <w:tcPr>
            <w:tcW w:w="1552" w:type="dxa"/>
            <w:tcBorders>
              <w:top w:val="nil"/>
              <w:left w:val="nil"/>
              <w:bottom w:val="single" w:color="auto" w:sz="4" w:space="0"/>
              <w:right w:val="single" w:color="auto" w:sz="4" w:space="0"/>
            </w:tcBorders>
            <w:shd w:val="clear" w:color="auto" w:fill="auto"/>
            <w:vAlign w:val="center"/>
          </w:tcPr>
          <w:p w14:paraId="09D62BAC">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312.7492</w:t>
            </w:r>
          </w:p>
        </w:tc>
      </w:tr>
      <w:tr w14:paraId="2134437D">
        <w:tblPrEx>
          <w:tblCellMar>
            <w:top w:w="0" w:type="dxa"/>
            <w:left w:w="108" w:type="dxa"/>
            <w:bottom w:w="0" w:type="dxa"/>
            <w:right w:w="108" w:type="dxa"/>
          </w:tblCellMar>
        </w:tblPrEx>
        <w:trPr>
          <w:trHeight w:val="51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189597BA">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4</w:t>
            </w:r>
          </w:p>
        </w:tc>
        <w:tc>
          <w:tcPr>
            <w:tcW w:w="2192" w:type="dxa"/>
            <w:tcBorders>
              <w:top w:val="single" w:color="auto" w:sz="4" w:space="0"/>
              <w:left w:val="nil"/>
              <w:bottom w:val="single" w:color="auto" w:sz="4" w:space="0"/>
              <w:right w:val="single" w:color="auto" w:sz="4" w:space="0"/>
            </w:tcBorders>
            <w:shd w:val="clear" w:color="auto" w:fill="auto"/>
            <w:vAlign w:val="center"/>
          </w:tcPr>
          <w:p w14:paraId="3DEA6834">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桐乡市2023年度土地征收成片开发方案</w:t>
            </w:r>
          </w:p>
        </w:tc>
        <w:tc>
          <w:tcPr>
            <w:tcW w:w="1276" w:type="dxa"/>
            <w:tcBorders>
              <w:top w:val="single" w:color="auto" w:sz="4" w:space="0"/>
              <w:left w:val="nil"/>
              <w:bottom w:val="single" w:color="auto" w:sz="4" w:space="0"/>
              <w:right w:val="single" w:color="auto" w:sz="4" w:space="0"/>
            </w:tcBorders>
            <w:vAlign w:val="center"/>
          </w:tcPr>
          <w:p w14:paraId="64AC5E1E">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2023年6月1日</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3A38CD3">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30</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745E5204">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246.3818</w:t>
            </w:r>
          </w:p>
        </w:tc>
        <w:tc>
          <w:tcPr>
            <w:tcW w:w="1552" w:type="dxa"/>
            <w:tcBorders>
              <w:top w:val="single" w:color="auto" w:sz="4" w:space="0"/>
              <w:left w:val="nil"/>
              <w:bottom w:val="single" w:color="auto" w:sz="4" w:space="0"/>
              <w:right w:val="single" w:color="auto" w:sz="4" w:space="0"/>
            </w:tcBorders>
            <w:shd w:val="clear" w:color="auto" w:fill="auto"/>
            <w:vAlign w:val="center"/>
          </w:tcPr>
          <w:p w14:paraId="617D5BB6">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rPr>
              <w:t>204.8559</w:t>
            </w:r>
          </w:p>
        </w:tc>
      </w:tr>
      <w:tr w14:paraId="1F2A62BC">
        <w:tblPrEx>
          <w:tblCellMar>
            <w:top w:w="0" w:type="dxa"/>
            <w:left w:w="108" w:type="dxa"/>
            <w:bottom w:w="0" w:type="dxa"/>
            <w:right w:w="108" w:type="dxa"/>
          </w:tblCellMar>
        </w:tblPrEx>
        <w:trPr>
          <w:trHeight w:val="51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6D0DDB3D">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5</w:t>
            </w:r>
          </w:p>
        </w:tc>
        <w:tc>
          <w:tcPr>
            <w:tcW w:w="2192" w:type="dxa"/>
            <w:tcBorders>
              <w:top w:val="single" w:color="auto" w:sz="4" w:space="0"/>
              <w:left w:val="nil"/>
              <w:bottom w:val="single" w:color="auto" w:sz="4" w:space="0"/>
              <w:right w:val="single" w:color="auto" w:sz="4" w:space="0"/>
            </w:tcBorders>
            <w:shd w:val="clear" w:color="auto" w:fill="auto"/>
            <w:vAlign w:val="center"/>
          </w:tcPr>
          <w:p w14:paraId="47A0A247">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桐乡市2023年度第二批土地征收成片开发方案</w:t>
            </w:r>
          </w:p>
        </w:tc>
        <w:tc>
          <w:tcPr>
            <w:tcW w:w="1276" w:type="dxa"/>
            <w:tcBorders>
              <w:top w:val="single" w:color="auto" w:sz="4" w:space="0"/>
              <w:left w:val="nil"/>
              <w:bottom w:val="single" w:color="auto" w:sz="4" w:space="0"/>
              <w:right w:val="single" w:color="auto" w:sz="4" w:space="0"/>
            </w:tcBorders>
            <w:vAlign w:val="center"/>
          </w:tcPr>
          <w:p w14:paraId="787E6604">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2023年10月1日</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41C9AB2">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22</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78676039">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244.1245</w:t>
            </w:r>
          </w:p>
        </w:tc>
        <w:tc>
          <w:tcPr>
            <w:tcW w:w="1552" w:type="dxa"/>
            <w:tcBorders>
              <w:top w:val="single" w:color="auto" w:sz="4" w:space="0"/>
              <w:left w:val="nil"/>
              <w:bottom w:val="single" w:color="auto" w:sz="4" w:space="0"/>
              <w:right w:val="single" w:color="auto" w:sz="4" w:space="0"/>
            </w:tcBorders>
            <w:shd w:val="clear" w:color="auto" w:fill="auto"/>
            <w:vAlign w:val="center"/>
          </w:tcPr>
          <w:p w14:paraId="30E36870">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164.9631</w:t>
            </w:r>
          </w:p>
        </w:tc>
      </w:tr>
      <w:tr w14:paraId="636C537A">
        <w:tblPrEx>
          <w:tblCellMar>
            <w:top w:w="0" w:type="dxa"/>
            <w:left w:w="108" w:type="dxa"/>
            <w:bottom w:w="0" w:type="dxa"/>
            <w:right w:w="108" w:type="dxa"/>
          </w:tblCellMar>
        </w:tblPrEx>
        <w:trPr>
          <w:trHeight w:val="517" w:hRule="atLeast"/>
          <w:jc w:val="center"/>
        </w:trPr>
        <w:tc>
          <w:tcPr>
            <w:tcW w:w="638" w:type="dxa"/>
            <w:tcBorders>
              <w:top w:val="single" w:color="auto" w:sz="4" w:space="0"/>
              <w:left w:val="single" w:color="auto" w:sz="4" w:space="0"/>
              <w:bottom w:val="single" w:color="auto" w:sz="4" w:space="0"/>
              <w:right w:val="single" w:color="auto" w:sz="4" w:space="0"/>
            </w:tcBorders>
            <w:shd w:val="clear" w:color="auto" w:fill="auto"/>
            <w:vAlign w:val="center"/>
          </w:tcPr>
          <w:p w14:paraId="381A9C2A">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6</w:t>
            </w:r>
          </w:p>
        </w:tc>
        <w:tc>
          <w:tcPr>
            <w:tcW w:w="2192" w:type="dxa"/>
            <w:tcBorders>
              <w:top w:val="single" w:color="auto" w:sz="4" w:space="0"/>
              <w:left w:val="nil"/>
              <w:bottom w:val="single" w:color="auto" w:sz="4" w:space="0"/>
              <w:right w:val="single" w:color="auto" w:sz="4" w:space="0"/>
            </w:tcBorders>
            <w:shd w:val="clear" w:color="auto" w:fill="auto"/>
            <w:vAlign w:val="center"/>
          </w:tcPr>
          <w:p w14:paraId="6FE5D73D">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桐乡市2024年度土地征收成片开发方案</w:t>
            </w:r>
          </w:p>
        </w:tc>
        <w:tc>
          <w:tcPr>
            <w:tcW w:w="1276" w:type="dxa"/>
            <w:tcBorders>
              <w:top w:val="single" w:color="auto" w:sz="4" w:space="0"/>
              <w:left w:val="nil"/>
              <w:bottom w:val="single" w:color="auto" w:sz="4" w:space="0"/>
              <w:right w:val="single" w:color="auto" w:sz="4" w:space="0"/>
            </w:tcBorders>
            <w:vAlign w:val="center"/>
          </w:tcPr>
          <w:p w14:paraId="5F7F3326">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2024年2月19日</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DDA198A">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14</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231289B8">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160.7271</w:t>
            </w:r>
          </w:p>
        </w:tc>
        <w:tc>
          <w:tcPr>
            <w:tcW w:w="1552" w:type="dxa"/>
            <w:tcBorders>
              <w:top w:val="single" w:color="auto" w:sz="4" w:space="0"/>
              <w:left w:val="nil"/>
              <w:bottom w:val="single" w:color="auto" w:sz="4" w:space="0"/>
              <w:right w:val="single" w:color="auto" w:sz="4" w:space="0"/>
            </w:tcBorders>
            <w:shd w:val="clear" w:color="auto" w:fill="auto"/>
            <w:vAlign w:val="center"/>
          </w:tcPr>
          <w:p w14:paraId="193A0F5E">
            <w:pPr>
              <w:widowControl/>
              <w:autoSpaceDE/>
              <w:autoSpaceDN/>
              <w:spacing w:line="240" w:lineRule="auto"/>
              <w:ind w:firstLine="0" w:firstLineChars="0"/>
              <w:jc w:val="center"/>
              <w:rPr>
                <w:rFonts w:ascii="Times New Roman" w:hAnsi="Times New Roman" w:eastAsia="仿宋_GB2312" w:cs="Times New Roman"/>
                <w:color w:val="000000"/>
                <w:sz w:val="21"/>
                <w:szCs w:val="21"/>
                <w:lang w:eastAsia="zh-CN"/>
              </w:rPr>
            </w:pPr>
            <w:r>
              <w:rPr>
                <w:rFonts w:ascii="Times New Roman" w:hAnsi="Times New Roman" w:eastAsia="仿宋_GB2312" w:cs="Times New Roman"/>
                <w:color w:val="000000"/>
                <w:sz w:val="21"/>
                <w:szCs w:val="21"/>
                <w:lang w:eastAsia="zh-CN"/>
              </w:rPr>
              <w:t>144.4488</w:t>
            </w:r>
          </w:p>
        </w:tc>
      </w:tr>
      <w:tr w14:paraId="7BAB4B97">
        <w:tblPrEx>
          <w:tblCellMar>
            <w:top w:w="0" w:type="dxa"/>
            <w:left w:w="108" w:type="dxa"/>
            <w:bottom w:w="0" w:type="dxa"/>
            <w:right w:w="108" w:type="dxa"/>
          </w:tblCellMar>
        </w:tblPrEx>
        <w:trPr>
          <w:trHeight w:val="517" w:hRule="atLeast"/>
          <w:jc w:val="center"/>
        </w:trPr>
        <w:tc>
          <w:tcPr>
            <w:tcW w:w="410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DCB505A">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合计</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BD66F28">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203</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3C72F892">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4298.1386</w:t>
            </w:r>
          </w:p>
        </w:tc>
        <w:tc>
          <w:tcPr>
            <w:tcW w:w="1552" w:type="dxa"/>
            <w:tcBorders>
              <w:top w:val="single" w:color="auto" w:sz="4" w:space="0"/>
              <w:left w:val="nil"/>
              <w:bottom w:val="single" w:color="auto" w:sz="4" w:space="0"/>
              <w:right w:val="single" w:color="auto" w:sz="4" w:space="0"/>
            </w:tcBorders>
            <w:shd w:val="clear" w:color="auto" w:fill="auto"/>
            <w:vAlign w:val="center"/>
          </w:tcPr>
          <w:p w14:paraId="21B6C4DE">
            <w:pPr>
              <w:widowControl/>
              <w:autoSpaceDE/>
              <w:autoSpaceDN/>
              <w:spacing w:line="240" w:lineRule="auto"/>
              <w:ind w:firstLine="0" w:firstLineChars="0"/>
              <w:jc w:val="center"/>
              <w:rPr>
                <w:rFonts w:ascii="Times New Roman" w:hAnsi="Times New Roman" w:eastAsia="仿宋_GB2312" w:cs="Times New Roman"/>
                <w:b/>
                <w:bCs/>
                <w:color w:val="000000"/>
                <w:sz w:val="21"/>
                <w:szCs w:val="21"/>
                <w:lang w:eastAsia="zh-CN"/>
              </w:rPr>
            </w:pPr>
            <w:r>
              <w:rPr>
                <w:rFonts w:ascii="Times New Roman" w:hAnsi="Times New Roman" w:eastAsia="仿宋_GB2312" w:cs="Times New Roman"/>
                <w:b/>
                <w:bCs/>
                <w:color w:val="000000"/>
                <w:sz w:val="21"/>
                <w:szCs w:val="21"/>
                <w:lang w:eastAsia="zh-CN"/>
              </w:rPr>
              <w:t>1841.9335</w:t>
            </w:r>
          </w:p>
        </w:tc>
      </w:tr>
    </w:tbl>
    <w:p w14:paraId="757FE2FA">
      <w:pPr>
        <w:adjustRightInd w:val="0"/>
        <w:ind w:firstLine="600"/>
        <w:jc w:val="both"/>
        <w:rPr>
          <w:rFonts w:ascii="Times New Roman" w:hAnsi="Times New Roman" w:eastAsia="仿宋_GB2312" w:cs="Times New Roman"/>
          <w:color w:val="000000"/>
          <w:sz w:val="30"/>
          <w:szCs w:val="30"/>
          <w:lang w:eastAsia="zh-CN"/>
        </w:rPr>
      </w:pPr>
      <w:r>
        <w:rPr>
          <w:rFonts w:ascii="Times New Roman" w:hAnsi="Times New Roman" w:eastAsia="仿宋_GB2312" w:cs="Times New Roman"/>
          <w:color w:val="000000"/>
          <w:sz w:val="30"/>
          <w:szCs w:val="30"/>
          <w:lang w:eastAsia="zh-CN"/>
        </w:rPr>
        <w:t>2、已批准方案的实际实施进度和年度计划完成情况，未完成年度计划的需详细阐述原因</w:t>
      </w:r>
    </w:p>
    <w:p w14:paraId="46338C3A">
      <w:pPr>
        <w:adjustRightInd w:val="0"/>
        <w:ind w:firstLine="600"/>
        <w:jc w:val="both"/>
        <w:rPr>
          <w:rFonts w:ascii="Times New Roman" w:hAnsi="Times New Roman" w:eastAsia="仿宋_GB2312" w:cs="Times New Roman"/>
          <w:color w:val="000000"/>
          <w:sz w:val="30"/>
          <w:szCs w:val="30"/>
          <w:lang w:eastAsia="zh-CN"/>
        </w:rPr>
      </w:pPr>
      <w:r>
        <w:rPr>
          <w:rFonts w:ascii="Times New Roman" w:hAnsi="Times New Roman" w:eastAsia="仿宋_GB2312" w:cs="Times New Roman"/>
          <w:color w:val="000000"/>
          <w:sz w:val="30"/>
          <w:szCs w:val="30"/>
          <w:lang w:eastAsia="zh-CN"/>
        </w:rPr>
        <w:t>《桐乡市2021年度土地征收成片开发方案》计划征收集体土地630.8797公顷，实际完成征收集体土地</w:t>
      </w:r>
      <w:r>
        <w:rPr>
          <w:rFonts w:hint="eastAsia" w:ascii="Times New Roman" w:hAnsi="Times New Roman" w:eastAsia="仿宋_GB2312" w:cs="Times New Roman"/>
          <w:color w:val="000000"/>
          <w:sz w:val="30"/>
          <w:szCs w:val="30"/>
          <w:lang w:eastAsia="zh-CN"/>
        </w:rPr>
        <w:t>509.7555</w:t>
      </w:r>
      <w:r>
        <w:rPr>
          <w:rFonts w:ascii="Times New Roman" w:hAnsi="Times New Roman" w:eastAsia="仿宋_GB2312" w:cs="Times New Roman"/>
          <w:color w:val="000000"/>
          <w:sz w:val="30"/>
          <w:szCs w:val="30"/>
          <w:lang w:eastAsia="zh-CN"/>
        </w:rPr>
        <w:t>公顷；《桐乡市2022年度土地征收成片开发方案》计划征收集体土地384. 0368公顷，实际完成征收集体土地16</w:t>
      </w:r>
      <w:r>
        <w:rPr>
          <w:rFonts w:hint="eastAsia" w:ascii="Times New Roman" w:hAnsi="Times New Roman" w:eastAsia="仿宋_GB2312" w:cs="Times New Roman"/>
          <w:color w:val="000000"/>
          <w:sz w:val="30"/>
          <w:szCs w:val="30"/>
          <w:lang w:eastAsia="zh-CN"/>
        </w:rPr>
        <w:t>5.9261</w:t>
      </w:r>
      <w:r>
        <w:rPr>
          <w:rFonts w:ascii="Times New Roman" w:hAnsi="Times New Roman" w:eastAsia="仿宋_GB2312" w:cs="Times New Roman"/>
          <w:color w:val="000000"/>
          <w:sz w:val="30"/>
          <w:szCs w:val="30"/>
          <w:lang w:eastAsia="zh-CN"/>
        </w:rPr>
        <w:t>公顷;《桐乡市2022年度第二批土地征收成片开发方案》计划征收集体土地312.7492公顷，实际完成征收集体土地</w:t>
      </w:r>
      <w:r>
        <w:rPr>
          <w:rFonts w:hint="eastAsia" w:ascii="Times New Roman" w:hAnsi="Times New Roman" w:eastAsia="仿宋_GB2312" w:cs="Times New Roman"/>
          <w:color w:val="000000"/>
          <w:sz w:val="30"/>
          <w:szCs w:val="30"/>
          <w:lang w:eastAsia="zh-CN"/>
        </w:rPr>
        <w:t>107.3420</w:t>
      </w:r>
      <w:r>
        <w:rPr>
          <w:rFonts w:ascii="Times New Roman" w:hAnsi="Times New Roman" w:eastAsia="仿宋_GB2312" w:cs="Times New Roman"/>
          <w:color w:val="000000"/>
          <w:sz w:val="30"/>
          <w:szCs w:val="30"/>
          <w:lang w:eastAsia="zh-CN"/>
        </w:rPr>
        <w:t>公顷；《桐乡市2023年度土地征收成片开发方案》计划征收集体土地204.8559公顷，实际完成征收集体土地</w:t>
      </w:r>
      <w:r>
        <w:rPr>
          <w:rFonts w:hint="eastAsia" w:ascii="Times New Roman" w:hAnsi="Times New Roman" w:eastAsia="仿宋_GB2312" w:cs="Times New Roman"/>
          <w:color w:val="000000"/>
          <w:sz w:val="30"/>
          <w:szCs w:val="30"/>
          <w:lang w:eastAsia="zh-CN"/>
        </w:rPr>
        <w:t>31.7632</w:t>
      </w:r>
      <w:r>
        <w:rPr>
          <w:rFonts w:ascii="Times New Roman" w:hAnsi="Times New Roman" w:eastAsia="仿宋_GB2312" w:cs="Times New Roman"/>
          <w:color w:val="000000"/>
          <w:sz w:val="30"/>
          <w:szCs w:val="30"/>
          <w:lang w:eastAsia="zh-CN"/>
        </w:rPr>
        <w:t>公顷；《桐乡市2023年度第二批土地征收成片开发方案》计划征收集体土地164.9631公顷，实际完成征收集体土地</w:t>
      </w:r>
      <w:r>
        <w:rPr>
          <w:rFonts w:hint="eastAsia" w:ascii="Times New Roman" w:hAnsi="Times New Roman" w:eastAsia="仿宋_GB2312" w:cs="Times New Roman"/>
          <w:color w:val="000000"/>
          <w:sz w:val="30"/>
          <w:szCs w:val="30"/>
          <w:lang w:eastAsia="zh-CN"/>
        </w:rPr>
        <w:t>5.9072公顷</w:t>
      </w:r>
      <w:r>
        <w:rPr>
          <w:rFonts w:ascii="Times New Roman" w:hAnsi="Times New Roman" w:eastAsia="仿宋_GB2312" w:cs="Times New Roman"/>
          <w:color w:val="000000"/>
          <w:sz w:val="30"/>
          <w:szCs w:val="30"/>
          <w:lang w:eastAsia="zh-CN"/>
        </w:rPr>
        <w:t>。《桐乡市202</w:t>
      </w:r>
      <w:r>
        <w:rPr>
          <w:rFonts w:hint="eastAsia" w:ascii="Times New Roman" w:hAnsi="Times New Roman" w:eastAsia="仿宋_GB2312" w:cs="Times New Roman"/>
          <w:color w:val="000000"/>
          <w:sz w:val="30"/>
          <w:szCs w:val="30"/>
          <w:lang w:eastAsia="zh-CN"/>
        </w:rPr>
        <w:t>4</w:t>
      </w:r>
      <w:r>
        <w:rPr>
          <w:rFonts w:ascii="Times New Roman" w:hAnsi="Times New Roman" w:eastAsia="仿宋_GB2312" w:cs="Times New Roman"/>
          <w:color w:val="000000"/>
          <w:sz w:val="30"/>
          <w:szCs w:val="30"/>
          <w:lang w:eastAsia="zh-CN"/>
        </w:rPr>
        <w:t>年度土地征收成片开发方案》计划征收集体土地</w:t>
      </w:r>
      <w:r>
        <w:rPr>
          <w:rFonts w:hint="eastAsia" w:ascii="Times New Roman" w:hAnsi="Times New Roman" w:eastAsia="仿宋_GB2312" w:cs="Times New Roman"/>
          <w:color w:val="000000"/>
          <w:sz w:val="30"/>
          <w:szCs w:val="30"/>
          <w:lang w:eastAsia="zh-CN"/>
        </w:rPr>
        <w:t>144.4488</w:t>
      </w:r>
      <w:r>
        <w:rPr>
          <w:rFonts w:ascii="Times New Roman" w:hAnsi="Times New Roman" w:eastAsia="仿宋_GB2312" w:cs="Times New Roman"/>
          <w:color w:val="000000"/>
          <w:sz w:val="30"/>
          <w:szCs w:val="30"/>
          <w:lang w:eastAsia="zh-CN"/>
        </w:rPr>
        <w:t>公顷，正在实施征收</w:t>
      </w:r>
      <w:r>
        <w:rPr>
          <w:rFonts w:hint="eastAsia" w:ascii="Times New Roman" w:hAnsi="Times New Roman" w:eastAsia="仿宋_GB2312" w:cs="Times New Roman"/>
          <w:color w:val="000000"/>
          <w:sz w:val="30"/>
          <w:szCs w:val="30"/>
          <w:lang w:eastAsia="zh-CN"/>
        </w:rPr>
        <w:t>。</w:t>
      </w:r>
      <w:r>
        <w:rPr>
          <w:rFonts w:ascii="Times New Roman" w:hAnsi="Times New Roman" w:eastAsia="仿宋_GB2312" w:cs="Times New Roman"/>
          <w:color w:val="000000"/>
          <w:sz w:val="30"/>
          <w:szCs w:val="30"/>
          <w:lang w:eastAsia="zh-CN"/>
        </w:rPr>
        <w:t>已批成片开发方案因在实施过程中工业项目前评估工作、农户拆迁、用地指标等前期工作碰到不可抗力因素，无法保障所有项目落地，导致没有按计划完成征地程序，目前正积极解决困难推进征地程序进行。</w:t>
      </w:r>
    </w:p>
    <w:p w14:paraId="42976D34">
      <w:pPr>
        <w:ind w:firstLine="643"/>
        <w:jc w:val="both"/>
        <w:rPr>
          <w:rFonts w:ascii="Times New Roman" w:hAnsi="Times New Roman" w:eastAsia="黑体" w:cs="Times New Roman"/>
          <w:bCs/>
          <w:szCs w:val="32"/>
          <w:lang w:eastAsia="zh-CN"/>
        </w:rPr>
      </w:pPr>
      <w:r>
        <w:rPr>
          <w:rFonts w:ascii="Times New Roman" w:hAnsi="Times New Roman" w:cs="Times New Roman"/>
          <w:b/>
          <w:bCs/>
          <w:szCs w:val="32"/>
          <w:lang w:eastAsia="zh-CN"/>
        </w:rPr>
        <w:t>（</w:t>
      </w:r>
      <w:r>
        <w:rPr>
          <w:rFonts w:hint="eastAsia" w:ascii="Times New Roman" w:hAnsi="Times New Roman" w:cs="Times New Roman"/>
          <w:b/>
          <w:bCs/>
          <w:szCs w:val="32"/>
          <w:lang w:eastAsia="zh-CN"/>
        </w:rPr>
        <w:t>四</w:t>
      </w:r>
      <w:r>
        <w:rPr>
          <w:rFonts w:ascii="Times New Roman" w:hAnsi="Times New Roman" w:cs="Times New Roman"/>
          <w:b/>
          <w:bCs/>
          <w:szCs w:val="32"/>
          <w:lang w:eastAsia="zh-CN"/>
        </w:rPr>
        <w:t>）</w:t>
      </w:r>
      <w:r>
        <w:rPr>
          <w:rFonts w:hint="eastAsia" w:ascii="Times New Roman" w:hAnsi="Times New Roman" w:eastAsia="仿宋_GB2312" w:cs="Times New Roman"/>
          <w:b/>
          <w:bCs/>
          <w:kern w:val="2"/>
          <w:szCs w:val="32"/>
          <w:lang w:eastAsia="zh-CN"/>
        </w:rPr>
        <w:t>调整已批准片区开发方案的必要性与基本情况</w:t>
      </w:r>
    </w:p>
    <w:p w14:paraId="46453F74">
      <w:pPr>
        <w:ind w:firstLine="600"/>
        <w:jc w:val="both"/>
        <w:rPr>
          <w:rFonts w:ascii="Times New Roman" w:hAnsi="Times New Roman" w:cs="Times New Roman"/>
          <w:b/>
          <w:bCs/>
          <w:szCs w:val="32"/>
          <w:lang w:eastAsia="zh-CN"/>
        </w:rPr>
      </w:pPr>
      <w:r>
        <w:rPr>
          <w:rFonts w:ascii="Times New Roman" w:hAnsi="Times New Roman" w:eastAsia="仿宋_GB2312" w:cs="Times New Roman"/>
          <w:color w:val="000000"/>
          <w:sz w:val="30"/>
          <w:szCs w:val="30"/>
          <w:lang w:eastAsia="zh-CN"/>
        </w:rPr>
        <w:t>1、原方案批准后，</w:t>
      </w:r>
      <w:r>
        <w:rPr>
          <w:rFonts w:hint="eastAsia" w:ascii="Times New Roman" w:hAnsi="Times New Roman" w:eastAsia="仿宋_GB2312" w:cs="Times New Roman"/>
          <w:color w:val="000000"/>
          <w:sz w:val="30"/>
          <w:szCs w:val="30"/>
          <w:lang w:eastAsia="zh-CN"/>
        </w:rPr>
        <w:t>因地方经济社会发展战略、规划计划调整及相关政策变化等对69个片区开发建设提出了调整需求和调整方向。</w:t>
      </w:r>
    </w:p>
    <w:p w14:paraId="69A01DA1">
      <w:pPr>
        <w:ind w:firstLine="600"/>
        <w:jc w:val="both"/>
        <w:rPr>
          <w:rFonts w:ascii="Times New Roman" w:hAnsi="Times New Roman" w:eastAsia="仿宋_GB2312" w:cs="Times New Roman"/>
          <w:color w:val="000000"/>
          <w:sz w:val="30"/>
          <w:szCs w:val="30"/>
          <w:lang w:eastAsia="zh-CN"/>
        </w:rPr>
      </w:pPr>
      <w:r>
        <w:rPr>
          <w:rFonts w:hint="eastAsia" w:ascii="Times New Roman" w:hAnsi="Times New Roman" w:eastAsia="仿宋_GB2312" w:cs="Times New Roman"/>
          <w:color w:val="000000"/>
          <w:sz w:val="30"/>
          <w:szCs w:val="30"/>
          <w:lang w:eastAsia="zh-CN"/>
        </w:rPr>
        <w:t>2、原成片开发方案（2021年桐乡市方案CP330483-2021、2022年桐乡市方案CP330483-2022）上报审批的规划依据为过渡期开发边界，后因规划战略调整，桐乡市“三区三线“成果划定，使用经部确认启用的“三区三线“划定成果的城镇开发边界，导致原成片开发方案有235.1678公顷位于经部批准启用的城镇开发边界外。为确保项目后期平稳落地和片区划定的合规性，现将原开发片区进行调整是非常有必要的。</w:t>
      </w:r>
    </w:p>
    <w:p w14:paraId="3E9D972F">
      <w:pPr>
        <w:ind w:firstLine="600"/>
        <w:jc w:val="both"/>
        <w:rPr>
          <w:rFonts w:ascii="仿宋_GB2312" w:hAnsi="仿宋_GB2312" w:eastAsia="仿宋_GB2312" w:cs="仿宋_GB2312"/>
          <w:color w:val="000000"/>
          <w:sz w:val="30"/>
          <w:szCs w:val="30"/>
          <w:lang w:eastAsia="zh-CN"/>
        </w:rPr>
      </w:pPr>
      <w:r>
        <w:rPr>
          <w:rFonts w:hint="eastAsia" w:ascii="仿宋_GB2312" w:hAnsi="仿宋_GB2312" w:eastAsia="仿宋_GB2312" w:cs="仿宋_GB2312"/>
          <w:sz w:val="30"/>
          <w:szCs w:val="30"/>
          <w:lang w:eastAsia="zh-CN"/>
        </w:rPr>
        <w:t>3、本次上报的《方案》涉及调整原已批准的土地征收成片开发片区69个，调整前片区总面积3646.9052公顷，调整后片区总面积3243.8607公顷。</w:t>
      </w:r>
    </w:p>
    <w:p w14:paraId="3EBDBCEB">
      <w:pPr>
        <w:ind w:firstLine="643"/>
        <w:jc w:val="both"/>
        <w:rPr>
          <w:rFonts w:ascii="Times New Roman" w:hAnsi="Times New Roman" w:eastAsia="黑体" w:cs="Times New Roman"/>
          <w:bCs/>
          <w:szCs w:val="32"/>
          <w:lang w:eastAsia="zh-CN"/>
        </w:rPr>
      </w:pPr>
      <w:r>
        <w:rPr>
          <w:rFonts w:ascii="Times New Roman" w:hAnsi="Times New Roman" w:cs="Times New Roman"/>
          <w:b/>
          <w:bCs/>
          <w:szCs w:val="32"/>
          <w:lang w:eastAsia="zh-CN"/>
        </w:rPr>
        <w:t>（</w:t>
      </w:r>
      <w:r>
        <w:rPr>
          <w:rFonts w:hint="eastAsia" w:ascii="Times New Roman" w:hAnsi="Times New Roman" w:cs="Times New Roman"/>
          <w:b/>
          <w:bCs/>
          <w:szCs w:val="32"/>
          <w:lang w:eastAsia="zh-CN"/>
        </w:rPr>
        <w:t>五</w:t>
      </w:r>
      <w:r>
        <w:rPr>
          <w:rFonts w:ascii="Times New Roman" w:hAnsi="Times New Roman" w:cs="Times New Roman"/>
          <w:b/>
          <w:bCs/>
          <w:szCs w:val="32"/>
          <w:lang w:eastAsia="zh-CN"/>
        </w:rPr>
        <w:t>）</w:t>
      </w:r>
      <w:r>
        <w:rPr>
          <w:rFonts w:ascii="Times New Roman" w:hAnsi="Times New Roman" w:eastAsia="仿宋_GB2312" w:cs="Times New Roman"/>
          <w:b/>
          <w:bCs/>
          <w:kern w:val="2"/>
          <w:szCs w:val="32"/>
          <w:lang w:eastAsia="zh-CN"/>
        </w:rPr>
        <w:t>意见征询情况</w:t>
      </w:r>
    </w:p>
    <w:p w14:paraId="10054ADB">
      <w:pPr>
        <w:ind w:firstLine="600"/>
        <w:jc w:val="both"/>
        <w:rPr>
          <w:rFonts w:ascii="Times New Roman" w:hAnsi="Times New Roman" w:eastAsia="仿宋_GB2312" w:cs="Times New Roman"/>
          <w:color w:val="000000"/>
          <w:sz w:val="30"/>
          <w:szCs w:val="30"/>
          <w:lang w:eastAsia="zh-CN"/>
        </w:rPr>
      </w:pPr>
      <w:r>
        <w:rPr>
          <w:rFonts w:ascii="Times New Roman" w:hAnsi="Times New Roman" w:eastAsia="仿宋_GB2312" w:cs="Times New Roman"/>
          <w:color w:val="000000"/>
          <w:sz w:val="30"/>
          <w:szCs w:val="30"/>
          <w:lang w:eastAsia="zh-CN"/>
        </w:rPr>
        <w:t>成片开发方案听取相关单位意见。本方案</w:t>
      </w:r>
      <w:r>
        <w:rPr>
          <w:rFonts w:hint="eastAsia" w:ascii="Times New Roman" w:hAnsi="Times New Roman" w:eastAsia="仿宋_GB2312" w:cs="Times New Roman"/>
          <w:color w:val="000000"/>
          <w:sz w:val="30"/>
          <w:szCs w:val="30"/>
          <w:lang w:eastAsia="zh-CN"/>
        </w:rPr>
        <w:t>10</w:t>
      </w:r>
      <w:r>
        <w:rPr>
          <w:rFonts w:ascii="Times New Roman" w:hAnsi="Times New Roman" w:eastAsia="仿宋_GB2312" w:cs="Times New Roman"/>
          <w:color w:val="000000"/>
          <w:sz w:val="30"/>
          <w:szCs w:val="30"/>
          <w:lang w:eastAsia="zh-CN"/>
        </w:rPr>
        <w:t>个片区征地涉及的村已全部召开了村民代表大会，以村为单位形成村民（代表）会议纪要。</w:t>
      </w:r>
    </w:p>
    <w:p w14:paraId="361571FA">
      <w:pPr>
        <w:ind w:firstLine="643"/>
        <w:jc w:val="both"/>
        <w:rPr>
          <w:rFonts w:ascii="Times New Roman" w:hAnsi="Times New Roman" w:eastAsia="仿宋_GB2312" w:cs="Times New Roman"/>
          <w:b/>
          <w:bCs/>
          <w:kern w:val="2"/>
          <w:szCs w:val="32"/>
          <w:lang w:eastAsia="zh-CN"/>
        </w:rPr>
      </w:pPr>
      <w:r>
        <w:rPr>
          <w:rFonts w:ascii="Times New Roman" w:hAnsi="Times New Roman" w:eastAsia="仿宋_GB2312" w:cs="Times New Roman"/>
          <w:b/>
          <w:bCs/>
          <w:kern w:val="2"/>
          <w:szCs w:val="32"/>
          <w:lang w:eastAsia="zh-CN"/>
        </w:rPr>
        <w:t>（</w:t>
      </w:r>
      <w:r>
        <w:rPr>
          <w:rFonts w:hint="eastAsia" w:ascii="Times New Roman" w:hAnsi="Times New Roman" w:eastAsia="仿宋_GB2312" w:cs="Times New Roman"/>
          <w:b/>
          <w:bCs/>
          <w:kern w:val="2"/>
          <w:szCs w:val="32"/>
          <w:lang w:eastAsia="zh-CN"/>
        </w:rPr>
        <w:t>六</w:t>
      </w:r>
      <w:r>
        <w:rPr>
          <w:rFonts w:ascii="Times New Roman" w:hAnsi="Times New Roman" w:eastAsia="仿宋_GB2312" w:cs="Times New Roman"/>
          <w:b/>
          <w:bCs/>
          <w:kern w:val="2"/>
          <w:szCs w:val="32"/>
          <w:lang w:eastAsia="zh-CN"/>
        </w:rPr>
        <w:t>）</w:t>
      </w:r>
      <w:r>
        <w:rPr>
          <w:rFonts w:hint="eastAsia" w:ascii="Times New Roman" w:hAnsi="Times New Roman" w:eastAsia="仿宋_GB2312" w:cs="Times New Roman"/>
          <w:b/>
          <w:bCs/>
          <w:kern w:val="2"/>
          <w:szCs w:val="32"/>
          <w:lang w:eastAsia="zh-CN"/>
        </w:rPr>
        <w:t>拟征收实施计划</w:t>
      </w:r>
    </w:p>
    <w:p w14:paraId="6FC2430F">
      <w:pPr>
        <w:ind w:firstLine="600"/>
        <w:jc w:val="both"/>
        <w:rPr>
          <w:rFonts w:cs="Times New Roman"/>
          <w:sz w:val="30"/>
          <w:szCs w:val="30"/>
          <w:lang w:eastAsia="zh-CN"/>
        </w:rPr>
      </w:pPr>
      <w:r>
        <w:rPr>
          <w:rFonts w:ascii="Times New Roman" w:hAnsi="Times New Roman" w:eastAsia="仿宋_GB2312" w:cs="Times New Roman"/>
          <w:color w:val="000000"/>
          <w:sz w:val="30"/>
          <w:szCs w:val="30"/>
          <w:lang w:eastAsia="zh-CN"/>
        </w:rPr>
        <w:t>方案拟计划</w:t>
      </w:r>
      <w:r>
        <w:rPr>
          <w:rFonts w:hint="eastAsia" w:ascii="Times New Roman" w:hAnsi="Times New Roman" w:eastAsia="仿宋_GB2312" w:cs="Times New Roman"/>
          <w:color w:val="000000"/>
          <w:sz w:val="30"/>
          <w:szCs w:val="30"/>
          <w:lang w:eastAsia="zh-CN"/>
        </w:rPr>
        <w:t>6</w:t>
      </w:r>
      <w:r>
        <w:rPr>
          <w:rFonts w:ascii="Times New Roman" w:hAnsi="Times New Roman" w:eastAsia="仿宋_GB2312" w:cs="Times New Roman"/>
          <w:color w:val="000000"/>
          <w:sz w:val="30"/>
          <w:szCs w:val="30"/>
          <w:lang w:eastAsia="zh-CN"/>
        </w:rPr>
        <w:t>年实施完成，并纳入相关年度的国民经济和社会发展年度计划。其中第一年计划实施面积</w:t>
      </w:r>
      <w:r>
        <w:rPr>
          <w:rFonts w:hint="eastAsia" w:ascii="Times New Roman" w:hAnsi="Times New Roman" w:eastAsia="仿宋_GB2312" w:cs="Times New Roman"/>
          <w:color w:val="000000"/>
          <w:sz w:val="30"/>
          <w:szCs w:val="30"/>
          <w:lang w:eastAsia="zh-CN"/>
        </w:rPr>
        <w:t>236.4376</w:t>
      </w:r>
      <w:r>
        <w:rPr>
          <w:rFonts w:ascii="Times New Roman" w:hAnsi="Times New Roman" w:eastAsia="仿宋_GB2312" w:cs="Times New Roman"/>
          <w:color w:val="000000"/>
          <w:sz w:val="30"/>
          <w:szCs w:val="30"/>
          <w:lang w:eastAsia="zh-CN"/>
        </w:rPr>
        <w:t>公顷，第二年计划实施面积</w:t>
      </w:r>
      <w:r>
        <w:rPr>
          <w:rFonts w:hint="eastAsia" w:ascii="Times New Roman" w:hAnsi="Times New Roman" w:eastAsia="仿宋_GB2312" w:cs="Times New Roman"/>
          <w:color w:val="000000"/>
          <w:sz w:val="30"/>
          <w:szCs w:val="30"/>
          <w:lang w:eastAsia="zh-CN"/>
        </w:rPr>
        <w:t>154.1874</w:t>
      </w:r>
      <w:r>
        <w:rPr>
          <w:rFonts w:ascii="Times New Roman" w:hAnsi="Times New Roman" w:eastAsia="仿宋_GB2312" w:cs="Times New Roman"/>
          <w:color w:val="000000"/>
          <w:sz w:val="30"/>
          <w:szCs w:val="30"/>
          <w:lang w:eastAsia="zh-CN"/>
        </w:rPr>
        <w:t>公顷，第三年计划实施面积</w:t>
      </w:r>
      <w:r>
        <w:rPr>
          <w:rFonts w:hint="eastAsia" w:ascii="Times New Roman" w:hAnsi="Times New Roman" w:eastAsia="仿宋_GB2312" w:cs="Times New Roman"/>
          <w:color w:val="000000"/>
          <w:sz w:val="30"/>
          <w:szCs w:val="30"/>
          <w:lang w:eastAsia="zh-CN"/>
        </w:rPr>
        <w:t>105.4562</w:t>
      </w:r>
      <w:r>
        <w:rPr>
          <w:rFonts w:ascii="Times New Roman" w:hAnsi="Times New Roman" w:eastAsia="仿宋_GB2312" w:cs="Times New Roman"/>
          <w:color w:val="000000"/>
          <w:sz w:val="30"/>
          <w:szCs w:val="30"/>
          <w:lang w:eastAsia="zh-CN"/>
        </w:rPr>
        <w:t>公顷</w:t>
      </w:r>
      <w:r>
        <w:rPr>
          <w:rFonts w:hint="eastAsia" w:ascii="Times New Roman" w:hAnsi="Times New Roman" w:eastAsia="仿宋_GB2312" w:cs="Times New Roman"/>
          <w:color w:val="000000"/>
          <w:sz w:val="30"/>
          <w:szCs w:val="30"/>
          <w:lang w:eastAsia="zh-CN"/>
        </w:rPr>
        <w:t>，</w:t>
      </w:r>
      <w:r>
        <w:rPr>
          <w:rFonts w:ascii="Times New Roman" w:hAnsi="Times New Roman" w:eastAsia="仿宋_GB2312" w:cs="Times New Roman"/>
          <w:color w:val="000000"/>
          <w:sz w:val="30"/>
          <w:szCs w:val="30"/>
          <w:lang w:eastAsia="zh-CN"/>
        </w:rPr>
        <w:t>第</w:t>
      </w:r>
      <w:r>
        <w:rPr>
          <w:rFonts w:hint="eastAsia" w:ascii="Times New Roman" w:hAnsi="Times New Roman" w:eastAsia="仿宋_GB2312" w:cs="Times New Roman"/>
          <w:color w:val="000000"/>
          <w:sz w:val="30"/>
          <w:szCs w:val="30"/>
          <w:lang w:eastAsia="zh-CN"/>
        </w:rPr>
        <w:t>四</w:t>
      </w:r>
      <w:r>
        <w:rPr>
          <w:rFonts w:ascii="Times New Roman" w:hAnsi="Times New Roman" w:eastAsia="仿宋_GB2312" w:cs="Times New Roman"/>
          <w:color w:val="000000"/>
          <w:sz w:val="30"/>
          <w:szCs w:val="30"/>
          <w:lang w:eastAsia="zh-CN"/>
        </w:rPr>
        <w:t>年计划实施面积</w:t>
      </w:r>
      <w:r>
        <w:rPr>
          <w:rFonts w:hint="eastAsia" w:ascii="Times New Roman" w:hAnsi="Times New Roman" w:eastAsia="仿宋_GB2312" w:cs="Times New Roman"/>
          <w:color w:val="000000"/>
          <w:sz w:val="30"/>
          <w:szCs w:val="30"/>
          <w:lang w:eastAsia="zh-CN"/>
        </w:rPr>
        <w:t>69.3948</w:t>
      </w:r>
      <w:r>
        <w:rPr>
          <w:rFonts w:ascii="Times New Roman" w:hAnsi="Times New Roman" w:eastAsia="仿宋_GB2312" w:cs="Times New Roman"/>
          <w:color w:val="000000"/>
          <w:sz w:val="30"/>
          <w:szCs w:val="30"/>
          <w:lang w:eastAsia="zh-CN"/>
        </w:rPr>
        <w:t>公顷</w:t>
      </w:r>
      <w:r>
        <w:rPr>
          <w:rFonts w:hint="eastAsia" w:ascii="Times New Roman" w:hAnsi="Times New Roman" w:eastAsia="仿宋_GB2312" w:cs="Times New Roman"/>
          <w:color w:val="000000"/>
          <w:sz w:val="30"/>
          <w:szCs w:val="30"/>
          <w:lang w:eastAsia="zh-CN"/>
        </w:rPr>
        <w:t>，</w:t>
      </w:r>
      <w:r>
        <w:rPr>
          <w:rFonts w:ascii="Times New Roman" w:hAnsi="Times New Roman" w:eastAsia="仿宋_GB2312" w:cs="Times New Roman"/>
          <w:color w:val="000000"/>
          <w:sz w:val="30"/>
          <w:szCs w:val="30"/>
          <w:lang w:eastAsia="zh-CN"/>
        </w:rPr>
        <w:t>第</w:t>
      </w:r>
      <w:r>
        <w:rPr>
          <w:rFonts w:hint="eastAsia" w:ascii="Times New Roman" w:hAnsi="Times New Roman" w:eastAsia="仿宋_GB2312" w:cs="Times New Roman"/>
          <w:color w:val="000000"/>
          <w:sz w:val="30"/>
          <w:szCs w:val="30"/>
          <w:lang w:eastAsia="zh-CN"/>
        </w:rPr>
        <w:t>五</w:t>
      </w:r>
      <w:r>
        <w:rPr>
          <w:rFonts w:ascii="Times New Roman" w:hAnsi="Times New Roman" w:eastAsia="仿宋_GB2312" w:cs="Times New Roman"/>
          <w:color w:val="000000"/>
          <w:sz w:val="30"/>
          <w:szCs w:val="30"/>
          <w:lang w:eastAsia="zh-CN"/>
        </w:rPr>
        <w:t>年计划实施面积</w:t>
      </w:r>
      <w:r>
        <w:rPr>
          <w:rFonts w:hint="eastAsia" w:ascii="Times New Roman" w:hAnsi="Times New Roman" w:eastAsia="仿宋_GB2312" w:cs="Times New Roman"/>
          <w:color w:val="000000"/>
          <w:sz w:val="30"/>
          <w:szCs w:val="30"/>
          <w:lang w:eastAsia="zh-CN"/>
        </w:rPr>
        <w:t>69.2199</w:t>
      </w:r>
      <w:r>
        <w:rPr>
          <w:rFonts w:ascii="Times New Roman" w:hAnsi="Times New Roman" w:eastAsia="仿宋_GB2312" w:cs="Times New Roman"/>
          <w:color w:val="000000"/>
          <w:sz w:val="30"/>
          <w:szCs w:val="30"/>
          <w:lang w:eastAsia="zh-CN"/>
        </w:rPr>
        <w:t>公顷</w:t>
      </w:r>
      <w:r>
        <w:rPr>
          <w:rFonts w:hint="eastAsia" w:ascii="Times New Roman" w:hAnsi="Times New Roman" w:eastAsia="仿宋_GB2312" w:cs="Times New Roman"/>
          <w:color w:val="000000"/>
          <w:sz w:val="30"/>
          <w:szCs w:val="30"/>
          <w:lang w:eastAsia="zh-CN"/>
        </w:rPr>
        <w:t>，</w:t>
      </w:r>
      <w:r>
        <w:rPr>
          <w:rFonts w:ascii="Times New Roman" w:hAnsi="Times New Roman" w:eastAsia="仿宋_GB2312" w:cs="Times New Roman"/>
          <w:color w:val="000000"/>
          <w:sz w:val="30"/>
          <w:szCs w:val="30"/>
          <w:lang w:eastAsia="zh-CN"/>
        </w:rPr>
        <w:t>第</w:t>
      </w:r>
      <w:r>
        <w:rPr>
          <w:rFonts w:hint="eastAsia" w:ascii="Times New Roman" w:hAnsi="Times New Roman" w:eastAsia="仿宋_GB2312" w:cs="Times New Roman"/>
          <w:color w:val="000000"/>
          <w:sz w:val="30"/>
          <w:szCs w:val="30"/>
          <w:lang w:eastAsia="zh-CN"/>
        </w:rPr>
        <w:t>六</w:t>
      </w:r>
      <w:r>
        <w:rPr>
          <w:rFonts w:ascii="Times New Roman" w:hAnsi="Times New Roman" w:eastAsia="仿宋_GB2312" w:cs="Times New Roman"/>
          <w:color w:val="000000"/>
          <w:sz w:val="30"/>
          <w:szCs w:val="30"/>
          <w:lang w:eastAsia="zh-CN"/>
        </w:rPr>
        <w:t>年计划实施面积</w:t>
      </w:r>
      <w:r>
        <w:rPr>
          <w:rFonts w:hint="eastAsia" w:ascii="Times New Roman" w:hAnsi="Times New Roman" w:eastAsia="仿宋_GB2312" w:cs="Times New Roman"/>
          <w:color w:val="000000"/>
          <w:sz w:val="30"/>
          <w:szCs w:val="30"/>
          <w:lang w:eastAsia="zh-CN"/>
        </w:rPr>
        <w:t>17.0387</w:t>
      </w:r>
      <w:r>
        <w:rPr>
          <w:rFonts w:ascii="Times New Roman" w:hAnsi="Times New Roman" w:eastAsia="仿宋_GB2312" w:cs="Times New Roman"/>
          <w:color w:val="000000"/>
          <w:sz w:val="30"/>
          <w:szCs w:val="30"/>
          <w:lang w:eastAsia="zh-CN"/>
        </w:rPr>
        <w:t>公顷。</w:t>
      </w:r>
    </w:p>
    <w:p w14:paraId="0A937BFB">
      <w:pPr>
        <w:pStyle w:val="2"/>
        <w:ind w:left="0" w:firstLine="643"/>
        <w:rPr>
          <w:rFonts w:hint="default" w:ascii="Times New Roman" w:hAnsi="Times New Roman" w:eastAsia="仿宋_GB2312" w:cs="Times New Roman"/>
          <w:bCs/>
          <w:kern w:val="2"/>
          <w:sz w:val="32"/>
          <w:szCs w:val="32"/>
          <w:lang w:eastAsia="zh-CN"/>
        </w:rPr>
      </w:pPr>
      <w:r>
        <w:rPr>
          <w:rFonts w:hint="default" w:ascii="Times New Roman" w:hAnsi="Times New Roman" w:eastAsia="仿宋_GB2312" w:cs="Times New Roman"/>
          <w:bCs/>
          <w:kern w:val="2"/>
          <w:sz w:val="32"/>
          <w:szCs w:val="32"/>
          <w:lang w:eastAsia="zh-CN"/>
        </w:rPr>
        <w:t>（</w:t>
      </w:r>
      <w:r>
        <w:rPr>
          <w:rFonts w:ascii="Times New Roman" w:hAnsi="Times New Roman" w:eastAsia="仿宋_GB2312" w:cs="Times New Roman"/>
          <w:bCs/>
          <w:kern w:val="2"/>
          <w:sz w:val="32"/>
          <w:szCs w:val="32"/>
          <w:lang w:eastAsia="zh-CN"/>
        </w:rPr>
        <w:t>七</w:t>
      </w:r>
      <w:r>
        <w:rPr>
          <w:rFonts w:hint="default" w:ascii="Times New Roman" w:hAnsi="Times New Roman" w:eastAsia="仿宋_GB2312" w:cs="Times New Roman"/>
          <w:bCs/>
          <w:kern w:val="2"/>
          <w:sz w:val="32"/>
          <w:szCs w:val="32"/>
          <w:lang w:eastAsia="zh-CN"/>
        </w:rPr>
        <w:t>）保障措施</w:t>
      </w:r>
    </w:p>
    <w:p w14:paraId="57080474">
      <w:pPr>
        <w:ind w:firstLine="600"/>
        <w:jc w:val="both"/>
        <w:rPr>
          <w:rFonts w:ascii="Times New Roman" w:hAnsi="Times New Roman" w:eastAsia="仿宋_GB2312" w:cs="Times New Roman"/>
          <w:kern w:val="2"/>
          <w:sz w:val="30"/>
          <w:szCs w:val="30"/>
          <w:lang w:eastAsia="zh-CN"/>
        </w:rPr>
      </w:pPr>
      <w:r>
        <w:rPr>
          <w:rFonts w:ascii="Times New Roman" w:hAnsi="Times New Roman" w:eastAsia="仿宋_GB2312" w:cs="Times New Roman"/>
          <w:kern w:val="2"/>
          <w:sz w:val="30"/>
          <w:szCs w:val="30"/>
          <w:lang w:eastAsia="zh-CN"/>
        </w:rPr>
        <w:t>《方案》经批准后，在实施征地阶段严格履行征地程序，做好征地补偿安置工作，确保被征地农民原有生活水平不降低、长远生计有保障的各项措施</w:t>
      </w:r>
      <w:r>
        <w:rPr>
          <w:rFonts w:hint="eastAsia" w:ascii="Times New Roman" w:hAnsi="Times New Roman" w:eastAsia="仿宋_GB2312" w:cs="Times New Roman"/>
          <w:kern w:val="2"/>
          <w:sz w:val="30"/>
          <w:szCs w:val="30"/>
          <w:lang w:eastAsia="zh-CN"/>
        </w:rPr>
        <w:t>。</w:t>
      </w:r>
    </w:p>
    <w:p w14:paraId="699FBFCA">
      <w:pPr>
        <w:ind w:firstLine="600"/>
        <w:jc w:val="both"/>
        <w:rPr>
          <w:rFonts w:ascii="Times New Roman" w:hAnsi="Times New Roman" w:eastAsia="仿宋_GB2312" w:cs="Times New Roman"/>
          <w:kern w:val="2"/>
          <w:sz w:val="30"/>
          <w:szCs w:val="30"/>
          <w:lang w:eastAsia="zh-CN"/>
        </w:rPr>
      </w:pPr>
      <w:r>
        <w:rPr>
          <w:rFonts w:ascii="Times New Roman" w:hAnsi="Times New Roman" w:eastAsia="仿宋_GB2312" w:cs="Times New Roman"/>
          <w:kern w:val="2"/>
          <w:sz w:val="30"/>
          <w:szCs w:val="30"/>
          <w:lang w:eastAsia="zh-CN"/>
        </w:rPr>
        <w:t>1、实施土地征收工作过程中应严格落实相关规定，</w:t>
      </w:r>
      <w:r>
        <w:rPr>
          <w:rFonts w:hint="eastAsia" w:ascii="Times New Roman" w:hAnsi="Times New Roman" w:eastAsia="仿宋_GB2312" w:cs="Times New Roman"/>
          <w:kern w:val="2"/>
          <w:sz w:val="30"/>
          <w:szCs w:val="30"/>
          <w:lang w:eastAsia="zh-CN"/>
        </w:rPr>
        <w:t>履行征地报批前告知、现状调查及确认、听证、公告等程序，并充分征求相关村集体经济组织和涉及农户意见，召开村民代表会议，经三分之二以上村民代表同意该方案后方可实施。</w:t>
      </w:r>
      <w:r>
        <w:rPr>
          <w:rFonts w:ascii="Times New Roman" w:hAnsi="Times New Roman" w:eastAsia="仿宋_GB2312" w:cs="Times New Roman"/>
          <w:kern w:val="2"/>
          <w:sz w:val="30"/>
          <w:szCs w:val="30"/>
          <w:lang w:eastAsia="zh-CN"/>
        </w:rPr>
        <w:t>保证土地征收程序依法合规。保障被征收土地农民的知情权、参与权、监督权，切实保护失地农民利益。</w:t>
      </w:r>
    </w:p>
    <w:p w14:paraId="308D8692">
      <w:pPr>
        <w:pStyle w:val="26"/>
        <w:spacing w:line="360" w:lineRule="auto"/>
        <w:ind w:firstLine="600"/>
        <w:jc w:val="both"/>
        <w:rPr>
          <w:rFonts w:cs="Times New Roman"/>
          <w:color w:val="auto"/>
          <w:kern w:val="2"/>
          <w:sz w:val="30"/>
          <w:szCs w:val="30"/>
        </w:rPr>
      </w:pPr>
      <w:r>
        <w:rPr>
          <w:rFonts w:cs="Times New Roman"/>
          <w:color w:val="auto"/>
          <w:kern w:val="2"/>
          <w:sz w:val="30"/>
          <w:szCs w:val="30"/>
        </w:rPr>
        <w:t>2、落实补偿方案，切实维护失地农民权益安置补偿是土地征收的关键，是农民关注的焦点，也是大多数不稳定事件的诱因。为避免矛盾的发生，相关部门应严格按照安置补偿方案实行，尤其是应做好公开、公示工作，保证补偿金及时、足额发放。</w:t>
      </w:r>
    </w:p>
    <w:p w14:paraId="40704EE1">
      <w:pPr>
        <w:pStyle w:val="26"/>
        <w:spacing w:line="360" w:lineRule="auto"/>
        <w:ind w:firstLine="600"/>
        <w:jc w:val="both"/>
        <w:rPr>
          <w:rFonts w:cs="Times New Roman"/>
          <w:sz w:val="30"/>
          <w:szCs w:val="30"/>
        </w:rPr>
      </w:pPr>
      <w:r>
        <w:rPr>
          <w:rFonts w:cs="Times New Roman"/>
          <w:sz w:val="30"/>
          <w:szCs w:val="30"/>
        </w:rPr>
        <w:t>（1）</w:t>
      </w:r>
      <w:r>
        <w:rPr>
          <w:rFonts w:hint="eastAsia" w:cs="Times New Roman"/>
          <w:sz w:val="30"/>
          <w:szCs w:val="30"/>
        </w:rPr>
        <w:t>征地补偿标准</w:t>
      </w:r>
    </w:p>
    <w:p w14:paraId="2F8EDE4A">
      <w:pPr>
        <w:ind w:firstLine="600"/>
        <w:jc w:val="both"/>
        <w:rPr>
          <w:rFonts w:ascii="Times New Roman" w:hAnsi="Times New Roman" w:eastAsia="仿宋_GB2312" w:cs="Times New Roman"/>
          <w:kern w:val="2"/>
          <w:sz w:val="30"/>
          <w:szCs w:val="30"/>
          <w:lang w:eastAsia="zh-CN"/>
        </w:rPr>
      </w:pPr>
      <w:r>
        <w:rPr>
          <w:rFonts w:hint="eastAsia" w:ascii="Times New Roman" w:hAnsi="Times New Roman" w:eastAsia="仿宋_GB2312" w:cs="Times New Roman"/>
          <w:kern w:val="2"/>
          <w:sz w:val="30"/>
          <w:szCs w:val="30"/>
          <w:lang w:eastAsia="zh-CN"/>
        </w:rPr>
        <w:t>征收农民集体所有农用地、建设用地、未利用地区片综合地价标准为</w:t>
      </w:r>
      <w:r>
        <w:rPr>
          <w:rFonts w:ascii="Times New Roman" w:hAnsi="Times New Roman" w:eastAsia="仿宋_GB2312" w:cs="Times New Roman"/>
          <w:kern w:val="2"/>
          <w:sz w:val="30"/>
          <w:szCs w:val="30"/>
          <w:lang w:eastAsia="zh-CN"/>
        </w:rPr>
        <w:t>6.2万元/亩。征地区片综合地价由土地补偿费和安置补助费两部分组成，其中土地补偿费2.4万元/亩，安置补助费3.8万元/亩。</w:t>
      </w:r>
    </w:p>
    <w:p w14:paraId="16F27A7A">
      <w:pPr>
        <w:pStyle w:val="26"/>
        <w:spacing w:line="360" w:lineRule="auto"/>
        <w:ind w:firstLine="600"/>
        <w:jc w:val="both"/>
        <w:rPr>
          <w:rFonts w:cs="Times New Roman"/>
          <w:sz w:val="30"/>
          <w:szCs w:val="30"/>
        </w:rPr>
      </w:pPr>
      <w:r>
        <w:rPr>
          <w:rFonts w:cs="Times New Roman"/>
          <w:sz w:val="30"/>
          <w:szCs w:val="30"/>
        </w:rPr>
        <w:t>（</w:t>
      </w:r>
      <w:r>
        <w:rPr>
          <w:rFonts w:hint="eastAsia" w:cs="Times New Roman"/>
          <w:sz w:val="30"/>
          <w:szCs w:val="30"/>
        </w:rPr>
        <w:t>2</w:t>
      </w:r>
      <w:r>
        <w:rPr>
          <w:rFonts w:cs="Times New Roman"/>
          <w:sz w:val="30"/>
          <w:szCs w:val="30"/>
        </w:rPr>
        <w:t>）</w:t>
      </w:r>
      <w:r>
        <w:rPr>
          <w:rFonts w:hint="eastAsia" w:cs="Times New Roman"/>
          <w:sz w:val="30"/>
          <w:szCs w:val="30"/>
        </w:rPr>
        <w:t>征地补偿措施</w:t>
      </w:r>
    </w:p>
    <w:p w14:paraId="6F5159A2">
      <w:pPr>
        <w:ind w:firstLine="600"/>
        <w:jc w:val="both"/>
        <w:rPr>
          <w:rFonts w:ascii="Times New Roman" w:hAnsi="Times New Roman" w:eastAsia="仿宋_GB2312" w:cs="Times New Roman"/>
          <w:kern w:val="2"/>
          <w:sz w:val="30"/>
          <w:szCs w:val="30"/>
          <w:lang w:eastAsia="zh-CN"/>
        </w:rPr>
      </w:pPr>
      <w:r>
        <w:rPr>
          <w:rFonts w:hint="eastAsia" w:ascii="Times New Roman" w:hAnsi="Times New Roman" w:eastAsia="仿宋_GB2312" w:cs="Times New Roman"/>
          <w:kern w:val="2"/>
          <w:sz w:val="30"/>
          <w:szCs w:val="30"/>
          <w:lang w:eastAsia="zh-CN"/>
        </w:rPr>
        <w:t>按照《桐乡市国有土地上房屋征收与补偿办法》房屋征收补偿方式主要有货币补偿和产权调换。货币补偿根据被征收房屋用途和评估价值，按相应标准补贴；产权调换由具有相应资质的房地产价格评估机构以房屋征收决定公告之日为评估时点，采用相同方法、标准评估被征收房屋和用于产权调换房屋的价值。</w:t>
      </w:r>
    </w:p>
    <w:p w14:paraId="1EE8885A">
      <w:pPr>
        <w:ind w:firstLine="600"/>
        <w:jc w:val="both"/>
        <w:rPr>
          <w:rFonts w:ascii="Times New Roman" w:hAnsi="Times New Roman" w:eastAsia="仿宋_GB2312" w:cs="Times New Roman"/>
          <w:kern w:val="2"/>
          <w:sz w:val="30"/>
          <w:szCs w:val="30"/>
          <w:lang w:eastAsia="zh-CN"/>
        </w:rPr>
      </w:pPr>
      <w:r>
        <w:rPr>
          <w:rFonts w:hint="eastAsia" w:ascii="Times New Roman" w:hAnsi="Times New Roman" w:eastAsia="仿宋_GB2312" w:cs="Times New Roman"/>
          <w:kern w:val="2"/>
          <w:sz w:val="30"/>
          <w:szCs w:val="30"/>
          <w:lang w:eastAsia="zh-CN"/>
        </w:rPr>
        <w:t>完善被征地人员生活保障，根据被征地人员的年龄和养老保险参保情况设定参保办法，分类别筹集社会保险缴费补贴资金，用于补贴被征地农民参加基本养老保险缴费，同时根据</w:t>
      </w:r>
      <w:r>
        <w:rPr>
          <w:rFonts w:ascii="Times New Roman" w:hAnsi="Times New Roman" w:eastAsia="仿宋_GB2312" w:cs="Times New Roman"/>
          <w:kern w:val="2"/>
          <w:sz w:val="30"/>
          <w:szCs w:val="30"/>
          <w:lang w:eastAsia="zh-CN"/>
        </w:rPr>
        <w:t>16周岁及以上在册农业户籍人数×上年度全市平均工资×3倍收取社保安置费用，每年根据基金支付情况逐年调整。不满16周岁的和不执行养老安置的被征地人员给予一次性6000元至12000元的安置补助费。</w:t>
      </w:r>
    </w:p>
    <w:p w14:paraId="59C398C5">
      <w:pPr>
        <w:ind w:firstLine="600"/>
        <w:jc w:val="both"/>
        <w:rPr>
          <w:rFonts w:ascii="Times New Roman" w:hAnsi="Times New Roman" w:eastAsia="仿宋_GB2312" w:cs="Times New Roman"/>
          <w:kern w:val="2"/>
          <w:sz w:val="30"/>
          <w:szCs w:val="30"/>
          <w:lang w:eastAsia="zh-CN"/>
        </w:rPr>
      </w:pPr>
      <w:r>
        <w:rPr>
          <w:rFonts w:ascii="Times New Roman" w:hAnsi="Times New Roman" w:eastAsia="仿宋_GB2312" w:cs="Times New Roman"/>
          <w:kern w:val="2"/>
          <w:sz w:val="30"/>
          <w:szCs w:val="30"/>
          <w:lang w:eastAsia="zh-CN"/>
        </w:rPr>
        <w:t>3、严格保护耕地，落实耕地占补平衡责任强化空间规划管控和用途管制，引导建设项目按照空间规划用途和土地利用计划使用土地。严格新增建设用地项目审批，从严审查建设用地位置、规模，对用地规模合理性、占用耕地必要性进行充分论证。</w:t>
      </w:r>
    </w:p>
    <w:p w14:paraId="3FC8A09F">
      <w:pPr>
        <w:ind w:firstLine="640"/>
        <w:jc w:val="both"/>
        <w:rPr>
          <w:rFonts w:ascii="Times New Roman" w:hAnsi="Times New Roman" w:eastAsia="黑体" w:cs="Times New Roman"/>
          <w:bCs/>
          <w:szCs w:val="32"/>
          <w:lang w:eastAsia="zh-CN"/>
        </w:rPr>
      </w:pPr>
      <w:r>
        <w:rPr>
          <w:rFonts w:ascii="Times New Roman" w:hAnsi="Times New Roman" w:eastAsia="黑体" w:cs="Times New Roman"/>
          <w:bCs/>
          <w:szCs w:val="32"/>
          <w:lang w:eastAsia="zh-CN"/>
        </w:rPr>
        <w:t>五、附件</w:t>
      </w:r>
    </w:p>
    <w:p w14:paraId="0EC6D28D">
      <w:pPr>
        <w:autoSpaceDE/>
        <w:autoSpaceDN/>
        <w:spacing w:line="600" w:lineRule="exact"/>
        <w:ind w:firstLine="643"/>
        <w:jc w:val="both"/>
        <w:rPr>
          <w:lang w:eastAsia="zh-CN"/>
        </w:rPr>
      </w:pPr>
      <w:r>
        <w:rPr>
          <w:rFonts w:ascii="Times New Roman" w:hAnsi="Times New Roman" w:eastAsia="仿宋_GB2312" w:cs="Times New Roman"/>
          <w:b/>
          <w:bCs/>
          <w:kern w:val="2"/>
          <w:szCs w:val="32"/>
          <w:lang w:eastAsia="zh-CN"/>
        </w:rPr>
        <w:t>（一）成片开发方案附表</w:t>
      </w:r>
    </w:p>
    <w:p w14:paraId="7C881614">
      <w:pPr>
        <w:pStyle w:val="26"/>
        <w:spacing w:line="560" w:lineRule="exact"/>
        <w:ind w:firstLine="600"/>
        <w:jc w:val="both"/>
        <w:rPr>
          <w:rFonts w:cs="Times New Roman"/>
          <w:sz w:val="30"/>
          <w:szCs w:val="30"/>
        </w:rPr>
      </w:pPr>
      <w:r>
        <w:rPr>
          <w:rFonts w:cs="Times New Roman"/>
          <w:sz w:val="30"/>
          <w:szCs w:val="30"/>
        </w:rPr>
        <w:t>1、拟申请土地征收成片开发方案基本信息表；</w:t>
      </w:r>
    </w:p>
    <w:p w14:paraId="0BC3F993">
      <w:pPr>
        <w:pStyle w:val="26"/>
        <w:spacing w:line="560" w:lineRule="exact"/>
        <w:ind w:firstLine="600"/>
        <w:jc w:val="both"/>
        <w:rPr>
          <w:rFonts w:cs="Times New Roman"/>
          <w:sz w:val="30"/>
          <w:szCs w:val="30"/>
        </w:rPr>
      </w:pPr>
      <w:r>
        <w:rPr>
          <w:rFonts w:cs="Times New Roman"/>
          <w:sz w:val="30"/>
          <w:szCs w:val="30"/>
        </w:rPr>
        <w:t>2、土地征收成片开发方案片区情况汇总表；</w:t>
      </w:r>
    </w:p>
    <w:p w14:paraId="57E73498">
      <w:pPr>
        <w:pStyle w:val="31"/>
        <w:autoSpaceDE/>
        <w:autoSpaceDN/>
        <w:spacing w:line="600" w:lineRule="exact"/>
        <w:ind w:firstLine="643"/>
        <w:rPr>
          <w:rFonts w:ascii="Times New Roman" w:hAnsi="Times New Roman" w:cs="Times New Roman"/>
          <w:b/>
          <w:bCs/>
          <w:sz w:val="32"/>
          <w:szCs w:val="32"/>
          <w:lang w:eastAsia="zh-CN"/>
        </w:rPr>
      </w:pPr>
      <w:r>
        <w:rPr>
          <w:rFonts w:ascii="Times New Roman" w:hAnsi="Times New Roman" w:cs="Times New Roman"/>
          <w:b/>
          <w:bCs/>
          <w:sz w:val="32"/>
          <w:szCs w:val="32"/>
          <w:lang w:eastAsia="zh-CN"/>
        </w:rPr>
        <w:t>（二）成片开发方案附图</w:t>
      </w:r>
    </w:p>
    <w:p w14:paraId="5BD9983D">
      <w:pPr>
        <w:pStyle w:val="31"/>
        <w:autoSpaceDE/>
        <w:autoSpaceDN/>
        <w:spacing w:line="600" w:lineRule="exact"/>
        <w:ind w:firstLine="600"/>
        <w:rPr>
          <w:rFonts w:ascii="Times New Roman" w:hAnsi="Times New Roman" w:cs="Times New Roman"/>
          <w:szCs w:val="30"/>
          <w:lang w:eastAsia="zh-CN"/>
        </w:rPr>
      </w:pPr>
      <w:r>
        <w:rPr>
          <w:rFonts w:ascii="Times New Roman" w:hAnsi="Times New Roman" w:cs="Times New Roman"/>
          <w:szCs w:val="30"/>
          <w:lang w:eastAsia="zh-CN"/>
        </w:rPr>
        <w:t>1、土地征收成片开发方案片区位置示意图；</w:t>
      </w:r>
    </w:p>
    <w:p w14:paraId="45B24103">
      <w:pPr>
        <w:pStyle w:val="31"/>
        <w:autoSpaceDE/>
        <w:autoSpaceDN/>
        <w:spacing w:line="600" w:lineRule="exact"/>
        <w:ind w:firstLine="600"/>
        <w:rPr>
          <w:rFonts w:ascii="Times New Roman" w:hAnsi="Times New Roman" w:cs="Times New Roman"/>
          <w:szCs w:val="30"/>
          <w:lang w:eastAsia="zh-CN"/>
        </w:rPr>
      </w:pPr>
      <w:r>
        <w:rPr>
          <w:rFonts w:ascii="Times New Roman" w:hAnsi="Times New Roman" w:cs="Times New Roman"/>
          <w:szCs w:val="30"/>
          <w:lang w:eastAsia="zh-CN"/>
        </w:rPr>
        <w:t>2、已批准土地征收成片开发方案片区调整情况示意图；</w:t>
      </w:r>
    </w:p>
    <w:p w14:paraId="6274FCA9">
      <w:pPr>
        <w:pStyle w:val="31"/>
        <w:autoSpaceDE/>
        <w:autoSpaceDN/>
        <w:spacing w:line="600" w:lineRule="exact"/>
        <w:ind w:firstLine="600"/>
        <w:rPr>
          <w:rFonts w:ascii="Times New Roman" w:hAnsi="Times New Roman" w:cs="Times New Roman"/>
          <w:szCs w:val="30"/>
          <w:lang w:eastAsia="zh-CN"/>
        </w:rPr>
      </w:pPr>
      <w:r>
        <w:rPr>
          <w:rFonts w:ascii="Times New Roman" w:hAnsi="Times New Roman" w:cs="Times New Roman"/>
          <w:szCs w:val="30"/>
          <w:lang w:eastAsia="zh-CN"/>
        </w:rPr>
        <w:t>3、各批次土地征收成片开发方案片区位置示意图。</w:t>
      </w:r>
    </w:p>
    <w:p w14:paraId="3279D9DB">
      <w:pPr>
        <w:pStyle w:val="31"/>
        <w:autoSpaceDE/>
        <w:autoSpaceDN/>
        <w:spacing w:line="600" w:lineRule="exact"/>
        <w:ind w:firstLine="600"/>
        <w:rPr>
          <w:rFonts w:ascii="Times New Roman" w:hAnsi="Times New Roman" w:cs="Times New Roman"/>
          <w:szCs w:val="30"/>
          <w:lang w:eastAsia="zh-CN"/>
        </w:rPr>
        <w:sectPr>
          <w:headerReference r:id="rId11" w:type="first"/>
          <w:pgSz w:w="11906" w:h="16838"/>
          <w:pgMar w:top="1440" w:right="1797" w:bottom="1440" w:left="1797" w:header="851" w:footer="992" w:gutter="0"/>
          <w:pgNumType w:start="1"/>
          <w:cols w:space="425" w:num="1"/>
          <w:docGrid w:linePitch="435" w:charSpace="0"/>
        </w:sectPr>
      </w:pPr>
    </w:p>
    <w:p w14:paraId="07A76640">
      <w:pPr>
        <w:ind w:firstLine="0" w:firstLineChars="0"/>
        <w:rPr>
          <w:rFonts w:ascii="Times New Roman" w:hAnsi="Times New Roman" w:eastAsia="黑体" w:cs="Times New Roman"/>
          <w:sz w:val="28"/>
          <w:lang w:eastAsia="zh-CN"/>
        </w:rPr>
      </w:pPr>
      <w:r>
        <w:rPr>
          <w:rFonts w:ascii="Times New Roman" w:hAnsi="Times New Roman" w:eastAsia="黑体" w:cs="Times New Roman"/>
          <w:bCs/>
          <w:szCs w:val="32"/>
          <w:lang w:eastAsia="zh-CN"/>
        </w:rPr>
        <w:t>附表：</w:t>
      </w:r>
    </w:p>
    <w:p w14:paraId="3C0A67DD">
      <w:pPr>
        <w:tabs>
          <w:tab w:val="left" w:pos="1050"/>
        </w:tabs>
        <w:ind w:right="456" w:firstLine="0" w:firstLineChars="0"/>
        <w:jc w:val="center"/>
        <w:rPr>
          <w:rFonts w:ascii="Times New Roman" w:hAnsi="Times New Roman" w:eastAsia="黑体" w:cs="Times New Roman"/>
          <w:b/>
          <w:bCs/>
          <w:sz w:val="28"/>
          <w:lang w:eastAsia="zh-CN"/>
        </w:rPr>
      </w:pPr>
      <w:r>
        <w:rPr>
          <w:rFonts w:ascii="Times New Roman" w:hAnsi="Times New Roman" w:eastAsia="黑体" w:cs="Times New Roman"/>
          <w:b/>
          <w:bCs/>
          <w:sz w:val="28"/>
          <w:lang w:eastAsia="zh-CN"/>
        </w:rPr>
        <w:t>表</w:t>
      </w:r>
      <w:r>
        <w:rPr>
          <w:rFonts w:hint="eastAsia" w:ascii="Times New Roman" w:hAnsi="Times New Roman" w:cs="Times New Roman"/>
          <w:b/>
          <w:bCs/>
          <w:sz w:val="28"/>
          <w:lang w:eastAsia="zh-CN"/>
        </w:rPr>
        <w:t>1</w:t>
      </w:r>
      <w:r>
        <w:rPr>
          <w:rFonts w:ascii="Times New Roman" w:hAnsi="Times New Roman" w:eastAsia="Times New Roman" w:cs="Times New Roman"/>
          <w:b/>
          <w:bCs/>
          <w:sz w:val="28"/>
          <w:lang w:eastAsia="zh-CN"/>
        </w:rPr>
        <w:tab/>
      </w:r>
      <w:r>
        <w:rPr>
          <w:rFonts w:ascii="Times New Roman" w:hAnsi="Times New Roman" w:eastAsia="黑体" w:cs="Times New Roman"/>
          <w:b/>
          <w:bCs/>
          <w:sz w:val="28"/>
          <w:lang w:eastAsia="zh-CN"/>
        </w:rPr>
        <w:t>拟申请土地征收成片开发方案基本信息表</w:t>
      </w:r>
    </w:p>
    <w:p w14:paraId="763F4F1E">
      <w:pPr>
        <w:spacing w:before="257"/>
        <w:ind w:firstLineChars="0"/>
        <w:jc w:val="right"/>
        <w:rPr>
          <w:rFonts w:ascii="Times New Roman" w:hAnsi="Times New Roman" w:cs="Times New Roman"/>
          <w:sz w:val="18"/>
          <w:lang w:eastAsia="zh-CN"/>
        </w:rPr>
      </w:pPr>
      <w:r>
        <w:rPr>
          <w:rFonts w:ascii="Times New Roman" w:hAnsi="Times New Roman" w:cs="Times New Roman"/>
          <w:sz w:val="18"/>
          <w:lang w:eastAsia="zh-CN"/>
        </w:rPr>
        <w:t>单位：公顷（</w:t>
      </w:r>
      <w:r>
        <w:rPr>
          <w:rFonts w:ascii="Times New Roman" w:hAnsi="Times New Roman" w:eastAsia="Times New Roman" w:cs="Times New Roman"/>
          <w:sz w:val="18"/>
          <w:lang w:eastAsia="zh-CN"/>
        </w:rPr>
        <w:t>0.0000</w:t>
      </w:r>
      <w:r>
        <w:rPr>
          <w:rFonts w:ascii="Times New Roman" w:hAnsi="Times New Roman" w:cs="Times New Roman"/>
          <w:sz w:val="18"/>
          <w:lang w:eastAsia="zh-CN"/>
        </w:rPr>
        <w:t>）、</w:t>
      </w:r>
      <w:r>
        <w:rPr>
          <w:rFonts w:ascii="Times New Roman" w:hAnsi="Times New Roman" w:eastAsia="Times New Roman" w:cs="Times New Roman"/>
          <w:sz w:val="18"/>
          <w:lang w:eastAsia="zh-CN"/>
        </w:rPr>
        <w:t>%</w:t>
      </w:r>
      <w:r>
        <w:rPr>
          <w:rFonts w:ascii="Times New Roman" w:hAnsi="Times New Roman" w:cs="Times New Roman"/>
          <w:sz w:val="18"/>
          <w:lang w:eastAsia="zh-CN"/>
        </w:rPr>
        <w:t>（</w:t>
      </w:r>
      <w:r>
        <w:rPr>
          <w:rFonts w:ascii="Times New Roman" w:hAnsi="Times New Roman" w:eastAsia="Times New Roman" w:cs="Times New Roman"/>
          <w:sz w:val="18"/>
          <w:lang w:eastAsia="zh-CN"/>
        </w:rPr>
        <w:t>0.00</w:t>
      </w:r>
      <w:r>
        <w:rPr>
          <w:rFonts w:ascii="Times New Roman" w:hAnsi="Times New Roman" w:cs="Times New Roman"/>
          <w:sz w:val="18"/>
          <w:lang w:eastAsia="zh-CN"/>
        </w:rPr>
        <w:t>）、个</w:t>
      </w:r>
    </w:p>
    <w:tbl>
      <w:tblPr>
        <w:tblStyle w:val="9"/>
        <w:tblW w:w="8380" w:type="dxa"/>
        <w:tblInd w:w="0" w:type="dxa"/>
        <w:tblLayout w:type="autofit"/>
        <w:tblCellMar>
          <w:top w:w="0" w:type="dxa"/>
          <w:left w:w="108" w:type="dxa"/>
          <w:bottom w:w="0" w:type="dxa"/>
          <w:right w:w="108" w:type="dxa"/>
        </w:tblCellMar>
      </w:tblPr>
      <w:tblGrid>
        <w:gridCol w:w="3630"/>
        <w:gridCol w:w="3360"/>
        <w:gridCol w:w="1390"/>
      </w:tblGrid>
      <w:tr w14:paraId="084AB091">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532F">
            <w:pPr>
              <w:widowControl/>
              <w:autoSpaceDE/>
              <w:autoSpaceDN/>
              <w:spacing w:line="240" w:lineRule="auto"/>
              <w:ind w:firstLine="0" w:firstLineChars="0"/>
              <w:jc w:val="center"/>
              <w:rPr>
                <w:rFonts w:ascii="仿宋" w:hAnsi="仿宋"/>
                <w:color w:val="000000"/>
                <w:sz w:val="18"/>
                <w:szCs w:val="18"/>
                <w:lang w:eastAsia="zh-CN"/>
              </w:rPr>
            </w:pPr>
            <w:r>
              <w:rPr>
                <w:rFonts w:hint="eastAsia" w:ascii="仿宋" w:hAnsi="仿宋"/>
                <w:color w:val="000000"/>
                <w:sz w:val="18"/>
                <w:szCs w:val="18"/>
                <w:lang w:eastAsia="zh-CN"/>
              </w:rPr>
              <w:t>项目</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F3A2">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内容</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8B95">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备注</w:t>
            </w:r>
          </w:p>
        </w:tc>
      </w:tr>
      <w:tr w14:paraId="0A0BAEE2">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718F">
            <w:pPr>
              <w:widowControl/>
              <w:autoSpaceDE/>
              <w:autoSpaceDN/>
              <w:spacing w:line="240" w:lineRule="auto"/>
              <w:ind w:firstLine="0" w:firstLineChars="0"/>
              <w:rPr>
                <w:rFonts w:hint="eastAsia" w:ascii="仿宋" w:hAnsi="仿宋"/>
                <w:color w:val="000000"/>
                <w:sz w:val="18"/>
                <w:szCs w:val="18"/>
                <w:lang w:eastAsia="zh-CN"/>
              </w:rPr>
            </w:pPr>
            <w:r>
              <w:rPr>
                <w:rFonts w:hint="eastAsia" w:ascii="仿宋" w:hAnsi="仿宋"/>
                <w:color w:val="000000"/>
                <w:sz w:val="18"/>
                <w:szCs w:val="18"/>
                <w:lang w:eastAsia="zh-CN"/>
              </w:rPr>
              <w:t>方案编号</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4E59">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662E">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6298C28F">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C21B">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所涉市、县（市、区）名称</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73E1">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桐乡市</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5222">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7CC52C23">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CA7C">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包含单个成片开发方案数量</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A50D">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79</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D1CC">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48649B6D">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414A">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土地总面积</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4700E">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2476.6668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B7717">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4E332065">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8EEB">
            <w:pPr>
              <w:widowControl/>
              <w:autoSpaceDE/>
              <w:autoSpaceDN/>
              <w:spacing w:line="240" w:lineRule="auto"/>
              <w:ind w:firstLine="180" w:firstLineChars="100"/>
              <w:rPr>
                <w:rFonts w:ascii="仿宋" w:hAnsi="仿宋"/>
                <w:color w:val="000000"/>
                <w:sz w:val="18"/>
                <w:szCs w:val="18"/>
                <w:lang w:eastAsia="zh-CN"/>
              </w:rPr>
            </w:pPr>
            <w:r>
              <w:rPr>
                <w:rFonts w:hint="eastAsia" w:ascii="仿宋" w:hAnsi="仿宋"/>
                <w:color w:val="000000"/>
                <w:sz w:val="18"/>
                <w:szCs w:val="18"/>
                <w:lang w:eastAsia="zh-CN"/>
              </w:rPr>
              <w:t>其中，农用地面积</w:t>
            </w:r>
          </w:p>
        </w:tc>
        <w:tc>
          <w:tcPr>
            <w:tcW w:w="33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6C3E9">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730.6211</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682C2">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0B7EB7AE">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AD51">
            <w:pPr>
              <w:widowControl/>
              <w:autoSpaceDE/>
              <w:autoSpaceDN/>
              <w:spacing w:line="240" w:lineRule="auto"/>
              <w:ind w:firstLine="1080" w:firstLineChars="600"/>
              <w:rPr>
                <w:rFonts w:ascii="仿宋" w:hAnsi="仿宋"/>
                <w:color w:val="000000"/>
                <w:sz w:val="18"/>
                <w:szCs w:val="18"/>
                <w:lang w:eastAsia="zh-CN"/>
              </w:rPr>
            </w:pPr>
            <w:r>
              <w:rPr>
                <w:rFonts w:hint="eastAsia" w:ascii="仿宋" w:hAnsi="仿宋"/>
                <w:color w:val="000000"/>
                <w:sz w:val="18"/>
                <w:szCs w:val="18"/>
                <w:lang w:eastAsia="zh-CN"/>
              </w:rPr>
              <w:t>其中，耕地面积</w:t>
            </w:r>
          </w:p>
        </w:tc>
        <w:tc>
          <w:tcPr>
            <w:tcW w:w="33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FBC21C">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396.6429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832A">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61084B56">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4463">
            <w:pPr>
              <w:widowControl/>
              <w:autoSpaceDE/>
              <w:autoSpaceDN/>
              <w:spacing w:line="240" w:lineRule="auto"/>
              <w:ind w:firstLine="720" w:firstLineChars="400"/>
              <w:rPr>
                <w:rFonts w:ascii="仿宋" w:hAnsi="仿宋"/>
                <w:color w:val="000000"/>
                <w:sz w:val="18"/>
                <w:szCs w:val="18"/>
                <w:lang w:eastAsia="zh-CN"/>
              </w:rPr>
            </w:pPr>
            <w:r>
              <w:rPr>
                <w:rFonts w:hint="eastAsia" w:ascii="仿宋" w:hAnsi="仿宋"/>
                <w:color w:val="000000"/>
                <w:sz w:val="18"/>
                <w:szCs w:val="18"/>
                <w:lang w:eastAsia="zh-CN"/>
              </w:rPr>
              <w:t>建设用地面积</w:t>
            </w:r>
          </w:p>
        </w:tc>
        <w:tc>
          <w:tcPr>
            <w:tcW w:w="33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A149F4">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1626.5886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F421">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65BC3213">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08AC">
            <w:pPr>
              <w:widowControl/>
              <w:autoSpaceDE/>
              <w:autoSpaceDN/>
              <w:spacing w:line="240" w:lineRule="auto"/>
              <w:ind w:firstLine="720" w:firstLineChars="400"/>
              <w:rPr>
                <w:rFonts w:ascii="仿宋" w:hAnsi="仿宋"/>
                <w:color w:val="000000"/>
                <w:sz w:val="18"/>
                <w:szCs w:val="18"/>
                <w:lang w:eastAsia="zh-CN"/>
              </w:rPr>
            </w:pPr>
            <w:r>
              <w:rPr>
                <w:rFonts w:hint="eastAsia" w:ascii="仿宋" w:hAnsi="仿宋"/>
                <w:color w:val="000000"/>
                <w:sz w:val="18"/>
                <w:szCs w:val="18"/>
                <w:lang w:eastAsia="zh-CN"/>
              </w:rPr>
              <w:t>未利用地面积</w:t>
            </w:r>
          </w:p>
        </w:tc>
        <w:tc>
          <w:tcPr>
            <w:tcW w:w="33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3C6D94">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119.4571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77FF">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46B490F3">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E4D4">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拟征收集体土地面积</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CA8BA">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651.7346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D064">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20F004E8">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29A79A">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 xml:space="preserve">  征收计划：2021年</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72F3">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236.4376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8A01">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42FA35E0">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F90921">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 xml:space="preserve">            2022年</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1075">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154.1874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0756">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3C1D2C2D">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19EBB">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 xml:space="preserve">            2023年</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22EF">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105.4562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FEABC">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3462B0D6">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349A2E">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 xml:space="preserve">            2024年</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BCC3">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69.3948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56DD1">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198206B7">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6C747">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 xml:space="preserve">            2025年</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B7D8">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69.2199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DD7D">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1A591C7C">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48492A">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 xml:space="preserve">            2026年</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89F3">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17.0387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2A3C">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4622C9F2">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68EF8">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开发建设情况</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BCB2">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2476.6668</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FB7D">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7F6C36FD">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1318">
            <w:pPr>
              <w:widowControl/>
              <w:autoSpaceDE/>
              <w:autoSpaceDN/>
              <w:spacing w:line="240" w:lineRule="auto"/>
              <w:ind w:firstLine="360"/>
              <w:rPr>
                <w:rFonts w:ascii="仿宋" w:hAnsi="仿宋"/>
                <w:color w:val="000000"/>
                <w:sz w:val="18"/>
                <w:szCs w:val="18"/>
                <w:lang w:eastAsia="zh-CN"/>
              </w:rPr>
            </w:pPr>
            <w:r>
              <w:rPr>
                <w:rFonts w:hint="eastAsia" w:ascii="仿宋" w:hAnsi="仿宋"/>
                <w:color w:val="000000"/>
                <w:sz w:val="18"/>
                <w:szCs w:val="18"/>
                <w:lang w:eastAsia="zh-CN"/>
              </w:rPr>
              <w:t>其中：已建成区面积</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52D0">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1350.0712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E043">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71E21CF5">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8124">
            <w:pPr>
              <w:widowControl/>
              <w:autoSpaceDE/>
              <w:autoSpaceDN/>
              <w:spacing w:line="240" w:lineRule="auto"/>
              <w:ind w:firstLine="900" w:firstLineChars="500"/>
              <w:rPr>
                <w:rFonts w:ascii="仿宋" w:hAnsi="仿宋"/>
                <w:color w:val="000000"/>
                <w:sz w:val="18"/>
                <w:szCs w:val="18"/>
                <w:lang w:eastAsia="zh-CN"/>
              </w:rPr>
            </w:pPr>
            <w:r>
              <w:rPr>
                <w:rFonts w:hint="eastAsia" w:ascii="仿宋" w:hAnsi="仿宋"/>
                <w:color w:val="000000"/>
                <w:sz w:val="18"/>
                <w:szCs w:val="18"/>
                <w:lang w:eastAsia="zh-CN"/>
              </w:rPr>
              <w:t>在建区面积</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3E62">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474.8610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1CA0">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24374673">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E682">
            <w:pPr>
              <w:widowControl/>
              <w:autoSpaceDE/>
              <w:autoSpaceDN/>
              <w:spacing w:line="240" w:lineRule="auto"/>
              <w:ind w:firstLine="900" w:firstLineChars="500"/>
              <w:rPr>
                <w:rFonts w:ascii="仿宋" w:hAnsi="仿宋"/>
                <w:color w:val="000000"/>
                <w:sz w:val="18"/>
                <w:szCs w:val="18"/>
                <w:lang w:eastAsia="zh-CN"/>
              </w:rPr>
            </w:pPr>
            <w:r>
              <w:rPr>
                <w:rFonts w:hint="eastAsia" w:ascii="仿宋" w:hAnsi="仿宋"/>
                <w:color w:val="000000"/>
                <w:sz w:val="18"/>
                <w:szCs w:val="18"/>
                <w:lang w:eastAsia="zh-CN"/>
              </w:rPr>
              <w:t>规划建设区面积</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B450">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651.7346 </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258D">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r w14:paraId="08AA8466">
        <w:tblPrEx>
          <w:tblCellMar>
            <w:top w:w="0" w:type="dxa"/>
            <w:left w:w="108" w:type="dxa"/>
            <w:bottom w:w="0" w:type="dxa"/>
            <w:right w:w="108" w:type="dxa"/>
          </w:tblCellMar>
        </w:tblPrEx>
        <w:trPr>
          <w:trHeight w:val="450" w:hRule="atLeast"/>
        </w:trPr>
        <w:tc>
          <w:tcPr>
            <w:tcW w:w="36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7467">
            <w:pPr>
              <w:widowControl/>
              <w:autoSpaceDE/>
              <w:autoSpaceDN/>
              <w:spacing w:line="240" w:lineRule="auto"/>
              <w:ind w:firstLine="0" w:firstLineChars="0"/>
              <w:rPr>
                <w:rFonts w:ascii="仿宋" w:hAnsi="仿宋"/>
                <w:color w:val="000000"/>
                <w:sz w:val="18"/>
                <w:szCs w:val="18"/>
                <w:lang w:eastAsia="zh-CN"/>
              </w:rPr>
            </w:pPr>
            <w:r>
              <w:rPr>
                <w:rFonts w:hint="eastAsia" w:ascii="仿宋" w:hAnsi="仿宋"/>
                <w:color w:val="000000"/>
                <w:sz w:val="18"/>
                <w:szCs w:val="18"/>
                <w:lang w:eastAsia="zh-CN"/>
              </w:rPr>
              <w:t>公益性用地面积及比例</w:t>
            </w:r>
          </w:p>
        </w:tc>
        <w:tc>
          <w:tcPr>
            <w:tcW w:w="33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9052">
            <w:pPr>
              <w:widowControl/>
              <w:autoSpaceDE/>
              <w:autoSpaceDN/>
              <w:spacing w:line="240" w:lineRule="auto"/>
              <w:ind w:firstLine="0" w:firstLineChars="0"/>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946.1181/38.20</w:t>
            </w:r>
          </w:p>
        </w:tc>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9233">
            <w:pPr>
              <w:widowControl/>
              <w:autoSpaceDE/>
              <w:autoSpaceDN/>
              <w:spacing w:line="240" w:lineRule="auto"/>
              <w:ind w:firstLine="0" w:firstLineChars="0"/>
              <w:rPr>
                <w:rFonts w:ascii="Times New Roman" w:hAnsi="Times New Roman" w:eastAsia="等线" w:cs="Times New Roman"/>
                <w:color w:val="000000"/>
                <w:sz w:val="18"/>
                <w:szCs w:val="18"/>
                <w:lang w:eastAsia="zh-CN"/>
              </w:rPr>
            </w:pPr>
          </w:p>
        </w:tc>
      </w:tr>
    </w:tbl>
    <w:p w14:paraId="4D058DE0">
      <w:pPr>
        <w:spacing w:before="50"/>
        <w:ind w:firstLineChars="0"/>
        <w:rPr>
          <w:rFonts w:ascii="Times New Roman" w:hAnsi="Times New Roman" w:cs="Times New Roman"/>
          <w:sz w:val="18"/>
          <w:lang w:eastAsia="zh-CN"/>
        </w:rPr>
      </w:pPr>
      <w:r>
        <w:rPr>
          <w:rFonts w:ascii="Times New Roman" w:hAnsi="Times New Roman" w:cs="Times New Roman"/>
          <w:w w:val="95"/>
          <w:sz w:val="18"/>
          <w:lang w:eastAsia="zh-CN"/>
        </w:rPr>
        <w:t>注：</w:t>
      </w:r>
      <w:r>
        <w:rPr>
          <w:rFonts w:ascii="Times New Roman" w:hAnsi="Times New Roman" w:cs="Times New Roman"/>
          <w:spacing w:val="-1"/>
          <w:sz w:val="18"/>
          <w:szCs w:val="18"/>
          <w:lang w:eastAsia="zh-CN"/>
        </w:rPr>
        <w:t>1.方案编号采用“字母</w:t>
      </w:r>
      <w:r>
        <w:rPr>
          <w:rFonts w:ascii="Times New Roman" w:hAnsi="Times New Roman" w:cs="Times New Roman"/>
          <w:spacing w:val="-5"/>
          <w:sz w:val="18"/>
          <w:szCs w:val="18"/>
          <w:lang w:eastAsia="zh-CN"/>
        </w:rPr>
        <w:t>CP+行政区划代码+年份”格式，例如，杭州市2024年土地征收成片开发方案编号为</w:t>
      </w:r>
      <w:r>
        <w:rPr>
          <w:rFonts w:ascii="Times New Roman" w:hAnsi="Times New Roman" w:cs="Times New Roman"/>
          <w:spacing w:val="-1"/>
          <w:sz w:val="18"/>
          <w:szCs w:val="18"/>
          <w:lang w:eastAsia="zh-CN"/>
        </w:rPr>
        <w:t>CP330100-</w:t>
      </w:r>
      <w:r>
        <w:rPr>
          <w:rFonts w:ascii="Times New Roman" w:hAnsi="Times New Roman" w:cs="Times New Roman"/>
          <w:w w:val="105"/>
          <w:sz w:val="18"/>
          <w:szCs w:val="18"/>
          <w:lang w:eastAsia="zh-CN"/>
        </w:rPr>
        <w:t>2024。</w:t>
      </w:r>
      <w:r>
        <w:rPr>
          <w:rFonts w:ascii="Times New Roman" w:hAnsi="Times New Roman" w:cs="Times New Roman"/>
          <w:spacing w:val="-1"/>
          <w:sz w:val="18"/>
          <w:szCs w:val="18"/>
          <w:lang w:eastAsia="zh-CN"/>
        </w:rPr>
        <w:t>若有上报第2批，则方案编号采用“CP+行政区划代码+年份+(2)”格式，如杭州市2024年第2批土地征收成片开发方案编号为“CP330100-2024(2)”。</w:t>
      </w:r>
    </w:p>
    <w:p w14:paraId="6920A868">
      <w:pPr>
        <w:spacing w:before="50"/>
        <w:ind w:firstLine="540" w:firstLineChars="300"/>
        <w:rPr>
          <w:rFonts w:ascii="Times New Roman" w:hAnsi="Times New Roman" w:eastAsia="仿宋_GB2312" w:cs="Times New Roman"/>
          <w:sz w:val="30"/>
          <w:szCs w:val="30"/>
          <w:lang w:eastAsia="zh-CN"/>
        </w:rPr>
        <w:sectPr>
          <w:pgSz w:w="11906" w:h="16838"/>
          <w:pgMar w:top="1440" w:right="1797" w:bottom="1440" w:left="1797" w:header="851" w:footer="992" w:gutter="0"/>
          <w:pgNumType w:start="1"/>
          <w:cols w:space="425" w:num="1"/>
          <w:docGrid w:linePitch="435" w:charSpace="0"/>
        </w:sectPr>
      </w:pPr>
      <w:r>
        <w:rPr>
          <w:rFonts w:ascii="Times New Roman" w:hAnsi="Times New Roman" w:cs="Times New Roman"/>
          <w:sz w:val="18"/>
          <w:lang w:eastAsia="zh-CN"/>
        </w:rPr>
        <w:t>2.本表反映的是该方案所包括的各开发片区的综合信息。</w:t>
      </w:r>
    </w:p>
    <w:p w14:paraId="24E99C69">
      <w:pPr>
        <w:tabs>
          <w:tab w:val="left" w:pos="521"/>
        </w:tabs>
        <w:ind w:firstLine="0" w:firstLineChars="0"/>
        <w:jc w:val="center"/>
        <w:rPr>
          <w:rFonts w:ascii="Times New Roman" w:hAnsi="Times New Roman" w:cs="Times New Roman"/>
          <w:b/>
          <w:bCs/>
          <w:sz w:val="30"/>
          <w:lang w:eastAsia="zh-CN"/>
        </w:rPr>
      </w:pPr>
      <w:r>
        <w:rPr>
          <w:rFonts w:ascii="Times New Roman" w:hAnsi="Times New Roman" w:eastAsia="黑体" w:cs="Times New Roman"/>
          <w:b/>
          <w:bCs/>
          <w:sz w:val="28"/>
          <w:lang w:eastAsia="zh-CN"/>
        </w:rPr>
        <w:t>表</w:t>
      </w:r>
      <w:r>
        <w:rPr>
          <w:rFonts w:hint="eastAsia" w:ascii="Times New Roman" w:hAnsi="Times New Roman" w:cs="Times New Roman"/>
          <w:b/>
          <w:bCs/>
          <w:sz w:val="28"/>
          <w:lang w:eastAsia="zh-CN"/>
        </w:rPr>
        <w:t>2</w:t>
      </w:r>
      <w:r>
        <w:rPr>
          <w:rFonts w:ascii="Times New Roman" w:hAnsi="Times New Roman" w:eastAsia="Times New Roman" w:cs="Times New Roman"/>
          <w:b/>
          <w:bCs/>
          <w:sz w:val="28"/>
          <w:lang w:eastAsia="zh-CN"/>
        </w:rPr>
        <w:tab/>
      </w:r>
      <w:r>
        <w:rPr>
          <w:rFonts w:ascii="Times New Roman" w:hAnsi="Times New Roman" w:eastAsia="黑体" w:cs="Times New Roman"/>
          <w:b/>
          <w:bCs/>
          <w:sz w:val="28"/>
          <w:lang w:eastAsia="zh-CN"/>
        </w:rPr>
        <w:t>土地征收成片开发方案片区情况汇总表</w:t>
      </w:r>
    </w:p>
    <w:p w14:paraId="312240F0">
      <w:pPr>
        <w:spacing w:before="257"/>
        <w:ind w:right="720" w:firstLineChars="0"/>
        <w:jc w:val="right"/>
        <w:rPr>
          <w:rFonts w:ascii="Times New Roman" w:hAnsi="Times New Roman" w:cs="Times New Roman"/>
          <w:sz w:val="18"/>
          <w:lang w:eastAsia="zh-CN"/>
        </w:rPr>
      </w:pPr>
      <w:r>
        <w:rPr>
          <w:rFonts w:ascii="Times New Roman" w:hAnsi="Times New Roman" w:cs="Times New Roman"/>
          <w:sz w:val="18"/>
          <w:lang w:eastAsia="zh-CN"/>
        </w:rPr>
        <w:t>单位：公顷（</w:t>
      </w:r>
      <w:r>
        <w:rPr>
          <w:rFonts w:ascii="Times New Roman" w:hAnsi="Times New Roman" w:eastAsia="Times New Roman" w:cs="Times New Roman"/>
          <w:sz w:val="18"/>
          <w:lang w:eastAsia="zh-CN"/>
        </w:rPr>
        <w:t>0</w:t>
      </w:r>
      <w:r>
        <w:rPr>
          <w:rFonts w:ascii="Times New Roman" w:hAnsi="Times New Roman" w:cs="Times New Roman"/>
          <w:sz w:val="18"/>
          <w:lang w:eastAsia="zh-CN"/>
        </w:rPr>
        <w:t>）、</w:t>
      </w:r>
      <w:r>
        <w:rPr>
          <w:rFonts w:ascii="Times New Roman" w:hAnsi="Times New Roman" w:eastAsia="Times New Roman" w:cs="Times New Roman"/>
          <w:sz w:val="18"/>
          <w:lang w:eastAsia="zh-CN"/>
        </w:rPr>
        <w:t>%</w:t>
      </w:r>
      <w:r>
        <w:rPr>
          <w:rFonts w:ascii="Times New Roman" w:hAnsi="Times New Roman" w:cs="Times New Roman"/>
          <w:sz w:val="18"/>
          <w:lang w:eastAsia="zh-CN"/>
        </w:rPr>
        <w:t>（</w:t>
      </w:r>
      <w:r>
        <w:rPr>
          <w:rFonts w:ascii="Times New Roman" w:hAnsi="Times New Roman" w:eastAsia="Times New Roman" w:cs="Times New Roman"/>
          <w:sz w:val="18"/>
          <w:lang w:eastAsia="zh-CN"/>
        </w:rPr>
        <w:t>0.00</w:t>
      </w:r>
      <w:r>
        <w:rPr>
          <w:rFonts w:ascii="Times New Roman" w:hAnsi="Times New Roman" w:cs="Times New Roman"/>
          <w:sz w:val="18"/>
          <w:lang w:eastAsia="zh-CN"/>
        </w:rPr>
        <w:t>）</w:t>
      </w:r>
    </w:p>
    <w:tbl>
      <w:tblPr>
        <w:tblStyle w:val="9"/>
        <w:tblW w:w="14372" w:type="dxa"/>
        <w:tblInd w:w="0" w:type="dxa"/>
        <w:tblLayout w:type="autofit"/>
        <w:tblCellMar>
          <w:top w:w="0" w:type="dxa"/>
          <w:left w:w="108" w:type="dxa"/>
          <w:bottom w:w="0" w:type="dxa"/>
          <w:right w:w="108" w:type="dxa"/>
        </w:tblCellMar>
      </w:tblPr>
      <w:tblGrid>
        <w:gridCol w:w="704"/>
        <w:gridCol w:w="1985"/>
        <w:gridCol w:w="2126"/>
        <w:gridCol w:w="1843"/>
        <w:gridCol w:w="1701"/>
        <w:gridCol w:w="1559"/>
        <w:gridCol w:w="1417"/>
        <w:gridCol w:w="1560"/>
        <w:gridCol w:w="1477"/>
      </w:tblGrid>
      <w:tr w14:paraId="5DBA6FE1">
        <w:tblPrEx>
          <w:tblCellMar>
            <w:top w:w="0" w:type="dxa"/>
            <w:left w:w="108" w:type="dxa"/>
            <w:bottom w:w="0" w:type="dxa"/>
            <w:right w:w="108" w:type="dxa"/>
          </w:tblCellMar>
        </w:tblPrEx>
        <w:trPr>
          <w:trHeight w:val="283" w:hRule="atLeast"/>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5259A">
            <w:pPr>
              <w:widowControl/>
              <w:autoSpaceDE/>
              <w:autoSpaceDN/>
              <w:spacing w:line="240" w:lineRule="auto"/>
              <w:ind w:firstLine="0" w:firstLineChars="0"/>
              <w:jc w:val="center"/>
              <w:rPr>
                <w:rFonts w:ascii="仿宋" w:hAnsi="仿宋"/>
                <w:color w:val="000000"/>
                <w:sz w:val="18"/>
                <w:szCs w:val="18"/>
                <w:lang w:eastAsia="zh-CN"/>
              </w:rPr>
            </w:pPr>
            <w:r>
              <w:rPr>
                <w:rFonts w:hint="eastAsia" w:ascii="仿宋" w:hAnsi="仿宋"/>
                <w:color w:val="000000"/>
                <w:sz w:val="18"/>
                <w:szCs w:val="18"/>
                <w:lang w:eastAsia="zh-CN"/>
              </w:rPr>
              <w:t>序号</w:t>
            </w:r>
          </w:p>
        </w:tc>
        <w:tc>
          <w:tcPr>
            <w:tcW w:w="1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2040A9">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开发片区编号</w:t>
            </w:r>
          </w:p>
        </w:tc>
        <w:tc>
          <w:tcPr>
            <w:tcW w:w="21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D8AAE">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开发片区名称</w:t>
            </w:r>
          </w:p>
        </w:tc>
        <w:tc>
          <w:tcPr>
            <w:tcW w:w="18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E15A5">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所在乡（镇、街道）或园区名称</w:t>
            </w:r>
          </w:p>
        </w:tc>
        <w:tc>
          <w:tcPr>
            <w:tcW w:w="17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B12C04">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功能定位和主要用途</w:t>
            </w:r>
          </w:p>
        </w:tc>
        <w:tc>
          <w:tcPr>
            <w:tcW w:w="29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F25D76">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土地总面积</w:t>
            </w:r>
          </w:p>
        </w:tc>
        <w:tc>
          <w:tcPr>
            <w:tcW w:w="15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840B2">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拟征收农民集体土地面积</w:t>
            </w:r>
          </w:p>
        </w:tc>
        <w:tc>
          <w:tcPr>
            <w:tcW w:w="14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6DBC8">
            <w:pPr>
              <w:widowControl/>
              <w:autoSpaceDE/>
              <w:autoSpaceDN/>
              <w:spacing w:line="240" w:lineRule="auto"/>
              <w:ind w:firstLine="0" w:firstLineChars="0"/>
              <w:jc w:val="center"/>
              <w:rPr>
                <w:rFonts w:hint="eastAsia" w:ascii="仿宋" w:hAnsi="仿宋"/>
                <w:color w:val="000000"/>
                <w:sz w:val="18"/>
                <w:szCs w:val="18"/>
                <w:lang w:eastAsia="zh-CN"/>
              </w:rPr>
            </w:pPr>
            <w:r>
              <w:rPr>
                <w:rFonts w:hint="eastAsia" w:ascii="仿宋" w:hAnsi="仿宋"/>
                <w:color w:val="000000"/>
                <w:sz w:val="18"/>
                <w:szCs w:val="18"/>
                <w:lang w:eastAsia="zh-CN"/>
              </w:rPr>
              <w:t>公益性用地比例</w:t>
            </w:r>
          </w:p>
        </w:tc>
      </w:tr>
      <w:tr w14:paraId="355CF87F">
        <w:tblPrEx>
          <w:tblCellMar>
            <w:top w:w="0" w:type="dxa"/>
            <w:left w:w="108" w:type="dxa"/>
            <w:bottom w:w="0" w:type="dxa"/>
            <w:right w:w="108" w:type="dxa"/>
          </w:tblCellMar>
        </w:tblPrEx>
        <w:trPr>
          <w:trHeight w:val="435" w:hRule="atLeast"/>
        </w:trPr>
        <w:tc>
          <w:tcPr>
            <w:tcW w:w="704" w:type="dxa"/>
            <w:vMerge w:val="continue"/>
            <w:tcBorders>
              <w:top w:val="single" w:color="000000" w:sz="4" w:space="0"/>
              <w:left w:val="single" w:color="000000" w:sz="4" w:space="0"/>
              <w:bottom w:val="single" w:color="000000" w:sz="4" w:space="0"/>
              <w:right w:val="single" w:color="000000" w:sz="4" w:space="0"/>
            </w:tcBorders>
            <w:vAlign w:val="center"/>
          </w:tcPr>
          <w:p w14:paraId="5462FDFA">
            <w:pPr>
              <w:widowControl/>
              <w:autoSpaceDE/>
              <w:autoSpaceDN/>
              <w:spacing w:line="240" w:lineRule="auto"/>
              <w:ind w:firstLine="0" w:firstLineChars="0"/>
              <w:rPr>
                <w:rFonts w:ascii="仿宋" w:hAnsi="仿宋"/>
                <w:color w:val="000000"/>
                <w:sz w:val="18"/>
                <w:szCs w:val="18"/>
                <w:lang w:eastAsia="zh-CN"/>
              </w:rPr>
            </w:pPr>
          </w:p>
        </w:tc>
        <w:tc>
          <w:tcPr>
            <w:tcW w:w="1985" w:type="dxa"/>
            <w:vMerge w:val="continue"/>
            <w:tcBorders>
              <w:top w:val="single" w:color="000000" w:sz="4" w:space="0"/>
              <w:left w:val="single" w:color="000000" w:sz="4" w:space="0"/>
              <w:bottom w:val="single" w:color="000000" w:sz="4" w:space="0"/>
              <w:right w:val="single" w:color="000000" w:sz="4" w:space="0"/>
            </w:tcBorders>
            <w:vAlign w:val="center"/>
          </w:tcPr>
          <w:p w14:paraId="74B64798">
            <w:pPr>
              <w:widowControl/>
              <w:autoSpaceDE/>
              <w:autoSpaceDN/>
              <w:spacing w:line="240" w:lineRule="auto"/>
              <w:ind w:firstLine="0" w:firstLineChars="0"/>
              <w:rPr>
                <w:rFonts w:ascii="仿宋" w:hAnsi="仿宋"/>
                <w:color w:val="000000"/>
                <w:sz w:val="18"/>
                <w:szCs w:val="18"/>
                <w:lang w:eastAsia="zh-CN"/>
              </w:rPr>
            </w:pPr>
          </w:p>
        </w:tc>
        <w:tc>
          <w:tcPr>
            <w:tcW w:w="2126" w:type="dxa"/>
            <w:vMerge w:val="continue"/>
            <w:tcBorders>
              <w:top w:val="single" w:color="000000" w:sz="4" w:space="0"/>
              <w:left w:val="single" w:color="000000" w:sz="4" w:space="0"/>
              <w:bottom w:val="single" w:color="000000" w:sz="4" w:space="0"/>
              <w:right w:val="single" w:color="000000" w:sz="4" w:space="0"/>
            </w:tcBorders>
            <w:vAlign w:val="center"/>
          </w:tcPr>
          <w:p w14:paraId="0FE58204">
            <w:pPr>
              <w:widowControl/>
              <w:autoSpaceDE/>
              <w:autoSpaceDN/>
              <w:spacing w:line="240" w:lineRule="auto"/>
              <w:ind w:firstLine="0" w:firstLineChars="0"/>
              <w:rPr>
                <w:rFonts w:ascii="仿宋" w:hAnsi="仿宋"/>
                <w:color w:val="000000"/>
                <w:sz w:val="18"/>
                <w:szCs w:val="18"/>
                <w:lang w:eastAsia="zh-CN"/>
              </w:rPr>
            </w:pPr>
          </w:p>
        </w:tc>
        <w:tc>
          <w:tcPr>
            <w:tcW w:w="1843" w:type="dxa"/>
            <w:vMerge w:val="continue"/>
            <w:tcBorders>
              <w:top w:val="single" w:color="000000" w:sz="4" w:space="0"/>
              <w:left w:val="single" w:color="000000" w:sz="4" w:space="0"/>
              <w:bottom w:val="single" w:color="000000" w:sz="4" w:space="0"/>
              <w:right w:val="single" w:color="000000" w:sz="4" w:space="0"/>
            </w:tcBorders>
            <w:vAlign w:val="center"/>
          </w:tcPr>
          <w:p w14:paraId="72B9873A">
            <w:pPr>
              <w:widowControl/>
              <w:autoSpaceDE/>
              <w:autoSpaceDN/>
              <w:spacing w:line="240" w:lineRule="auto"/>
              <w:ind w:firstLine="0" w:firstLineChars="0"/>
              <w:rPr>
                <w:rFonts w:ascii="仿宋" w:hAnsi="仿宋"/>
                <w:color w:val="000000"/>
                <w:sz w:val="18"/>
                <w:szCs w:val="18"/>
                <w:lang w:eastAsia="zh-CN"/>
              </w:rPr>
            </w:pPr>
          </w:p>
        </w:tc>
        <w:tc>
          <w:tcPr>
            <w:tcW w:w="1701" w:type="dxa"/>
            <w:vMerge w:val="continue"/>
            <w:tcBorders>
              <w:top w:val="single" w:color="000000" w:sz="4" w:space="0"/>
              <w:left w:val="single" w:color="000000" w:sz="4" w:space="0"/>
              <w:bottom w:val="single" w:color="000000" w:sz="4" w:space="0"/>
              <w:right w:val="single" w:color="000000" w:sz="4" w:space="0"/>
            </w:tcBorders>
            <w:vAlign w:val="center"/>
          </w:tcPr>
          <w:p w14:paraId="5285A99D">
            <w:pPr>
              <w:widowControl/>
              <w:autoSpaceDE/>
              <w:autoSpaceDN/>
              <w:spacing w:line="240" w:lineRule="auto"/>
              <w:ind w:firstLine="0" w:firstLineChars="0"/>
              <w:rPr>
                <w:rFonts w:ascii="仿宋" w:hAnsi="仿宋"/>
                <w:color w:val="000000"/>
                <w:sz w:val="18"/>
                <w:szCs w:val="18"/>
                <w:lang w:eastAsia="zh-CN"/>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DB73">
            <w:pPr>
              <w:widowControl/>
              <w:autoSpaceDE/>
              <w:autoSpaceDN/>
              <w:spacing w:line="240" w:lineRule="auto"/>
              <w:ind w:firstLine="0" w:firstLineChars="0"/>
              <w:jc w:val="center"/>
              <w:rPr>
                <w:rFonts w:hint="eastAsia" w:ascii="仿宋" w:hAnsi="仿宋"/>
                <w:color w:val="000000"/>
                <w:sz w:val="18"/>
                <w:szCs w:val="18"/>
                <w:lang w:eastAsia="zh-CN"/>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CECC">
            <w:pPr>
              <w:widowControl/>
              <w:autoSpaceDE/>
              <w:autoSpaceDN/>
              <w:spacing w:line="240" w:lineRule="auto"/>
              <w:ind w:firstLine="0" w:firstLineChars="0"/>
              <w:jc w:val="center"/>
              <w:rPr>
                <w:rFonts w:ascii="仿宋" w:hAnsi="仿宋"/>
                <w:color w:val="000000"/>
                <w:sz w:val="18"/>
                <w:szCs w:val="18"/>
                <w:lang w:eastAsia="zh-CN"/>
              </w:rPr>
            </w:pPr>
            <w:r>
              <w:rPr>
                <w:rFonts w:hint="eastAsia" w:ascii="仿宋" w:hAnsi="仿宋"/>
                <w:color w:val="000000"/>
                <w:sz w:val="18"/>
                <w:szCs w:val="18"/>
                <w:lang w:eastAsia="zh-CN"/>
              </w:rPr>
              <w:t>其中耕地面积</w:t>
            </w:r>
          </w:p>
        </w:tc>
        <w:tc>
          <w:tcPr>
            <w:tcW w:w="1560" w:type="dxa"/>
            <w:vMerge w:val="continue"/>
            <w:tcBorders>
              <w:top w:val="single" w:color="000000" w:sz="4" w:space="0"/>
              <w:left w:val="single" w:color="000000" w:sz="4" w:space="0"/>
              <w:bottom w:val="single" w:color="000000" w:sz="4" w:space="0"/>
              <w:right w:val="single" w:color="000000" w:sz="4" w:space="0"/>
            </w:tcBorders>
            <w:vAlign w:val="center"/>
          </w:tcPr>
          <w:p w14:paraId="0AE56A6A">
            <w:pPr>
              <w:widowControl/>
              <w:autoSpaceDE/>
              <w:autoSpaceDN/>
              <w:spacing w:line="240" w:lineRule="auto"/>
              <w:ind w:firstLine="0" w:firstLineChars="0"/>
              <w:rPr>
                <w:rFonts w:ascii="仿宋" w:hAnsi="仿宋"/>
                <w:color w:val="000000"/>
                <w:sz w:val="18"/>
                <w:szCs w:val="18"/>
                <w:lang w:eastAsia="zh-CN"/>
              </w:rPr>
            </w:pPr>
          </w:p>
        </w:tc>
        <w:tc>
          <w:tcPr>
            <w:tcW w:w="1477" w:type="dxa"/>
            <w:vMerge w:val="continue"/>
            <w:tcBorders>
              <w:top w:val="single" w:color="000000" w:sz="4" w:space="0"/>
              <w:left w:val="single" w:color="000000" w:sz="4" w:space="0"/>
              <w:bottom w:val="single" w:color="000000" w:sz="4" w:space="0"/>
              <w:right w:val="single" w:color="000000" w:sz="4" w:space="0"/>
            </w:tcBorders>
            <w:vAlign w:val="center"/>
          </w:tcPr>
          <w:p w14:paraId="1E301331">
            <w:pPr>
              <w:widowControl/>
              <w:autoSpaceDE/>
              <w:autoSpaceDN/>
              <w:spacing w:line="240" w:lineRule="auto"/>
              <w:ind w:firstLine="0" w:firstLineChars="0"/>
              <w:rPr>
                <w:rFonts w:ascii="仿宋" w:hAnsi="仿宋"/>
                <w:color w:val="000000"/>
                <w:sz w:val="18"/>
                <w:szCs w:val="18"/>
                <w:lang w:eastAsia="zh-CN"/>
              </w:rPr>
            </w:pPr>
          </w:p>
        </w:tc>
      </w:tr>
      <w:tr w14:paraId="4A89EA78">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F4BB">
            <w:pPr>
              <w:widowControl/>
              <w:autoSpaceDE/>
              <w:autoSpaceDN/>
              <w:spacing w:line="240" w:lineRule="auto"/>
              <w:ind w:firstLine="0" w:firstLineChars="0"/>
              <w:jc w:val="center"/>
              <w:rPr>
                <w:rFonts w:hint="eastAsia"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868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CP330483-2024-15</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6FD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7F4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15F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AE0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6.4149</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906D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0.3274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8C4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6.1100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14C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40.03 </w:t>
            </w:r>
          </w:p>
        </w:tc>
      </w:tr>
      <w:tr w14:paraId="61236874">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C9F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264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CP330483-2024-16</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1B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2</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C4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4AC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497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14.6565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767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1.9816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5BB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11.8997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988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40.02 </w:t>
            </w:r>
          </w:p>
        </w:tc>
      </w:tr>
      <w:tr w14:paraId="47649C12">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1C2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FC1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CP330483-2024-17</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96A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3</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98F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47C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632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1.0487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7CDB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040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0.3810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67D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60.06 </w:t>
            </w:r>
          </w:p>
        </w:tc>
      </w:tr>
      <w:tr w14:paraId="507BFCB5">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320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5DE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CP330483-2024-18</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2456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开发区工业片区</w:t>
            </w:r>
            <w:r>
              <w:rPr>
                <w:rFonts w:ascii="Times New Roman" w:hAnsi="Times New Roman" w:eastAsia="等线" w:cs="Times New Roman"/>
                <w:color w:val="000000"/>
                <w:sz w:val="18"/>
                <w:szCs w:val="18"/>
                <w:lang w:eastAsia="zh-CN"/>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5C3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244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E5D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3.3341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9B42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6C2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1.8666</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FC7A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44.01 </w:t>
            </w:r>
          </w:p>
        </w:tc>
      </w:tr>
      <w:tr w14:paraId="48C3EA61">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8E5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2CAC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CP330483-2024-19</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A698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乌镇镇工业片区</w:t>
            </w:r>
            <w:r>
              <w:rPr>
                <w:rFonts w:ascii="Times New Roman" w:hAnsi="Times New Roman" w:eastAsia="等线" w:cs="Times New Roman"/>
                <w:color w:val="000000"/>
                <w:sz w:val="18"/>
                <w:szCs w:val="18"/>
                <w:lang w:eastAsia="zh-CN"/>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E24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7622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E49A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0.2395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E4A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DC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0.1579</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C60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34.61 </w:t>
            </w:r>
          </w:p>
        </w:tc>
      </w:tr>
      <w:tr w14:paraId="7BC09ED9">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3792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DF4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CP330483-2024-20</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884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洲泉镇工业片区</w:t>
            </w:r>
            <w:r>
              <w:rPr>
                <w:rFonts w:ascii="Times New Roman" w:hAnsi="Times New Roman" w:eastAsia="等线" w:cs="Times New Roman"/>
                <w:color w:val="000000"/>
                <w:sz w:val="18"/>
                <w:szCs w:val="18"/>
                <w:lang w:eastAsia="zh-CN"/>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CB5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56E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437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1.3219</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509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0.6252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AB7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1.3219</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C7D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25.56 </w:t>
            </w:r>
          </w:p>
        </w:tc>
      </w:tr>
      <w:tr w14:paraId="019DA40E">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E9B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CC5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CP330483-2024-21</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29C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崇福镇工业片区</w:t>
            </w:r>
            <w:r>
              <w:rPr>
                <w:rFonts w:ascii="Times New Roman" w:hAnsi="Times New Roman" w:eastAsia="等线" w:cs="Times New Roman"/>
                <w:color w:val="000000"/>
                <w:sz w:val="18"/>
                <w:szCs w:val="18"/>
                <w:lang w:eastAsia="zh-CN"/>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A10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FB9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4B8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10.3004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CBF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4.0018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A77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9.6604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520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25.33 </w:t>
            </w:r>
          </w:p>
        </w:tc>
      </w:tr>
      <w:tr w14:paraId="1EB08220">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B4CC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682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CP330483-2024-22</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864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崇福镇工业片区</w:t>
            </w:r>
            <w:r>
              <w:rPr>
                <w:rFonts w:ascii="Times New Roman" w:hAnsi="Times New Roman" w:eastAsia="等线" w:cs="Times New Roman"/>
                <w:color w:val="000000"/>
                <w:sz w:val="18"/>
                <w:szCs w:val="18"/>
                <w:lang w:eastAsia="zh-CN"/>
              </w:rPr>
              <w:t>2</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250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791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B322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30.4737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70A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2.6839</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53B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24.3148</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AC0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38.46 </w:t>
            </w:r>
          </w:p>
        </w:tc>
      </w:tr>
      <w:tr w14:paraId="77BBAFAC">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CBE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231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CP330483-2024-23</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08A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石门镇商住片区</w:t>
            </w:r>
            <w:r>
              <w:rPr>
                <w:rFonts w:ascii="Times New Roman" w:hAnsi="Times New Roman" w:eastAsia="等线" w:cs="Times New Roman"/>
                <w:color w:val="000000"/>
                <w:sz w:val="18"/>
                <w:szCs w:val="18"/>
                <w:lang w:eastAsia="zh-CN"/>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176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石门镇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A6A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1F6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0.8042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16C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828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0.3493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369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68.43 </w:t>
            </w:r>
          </w:p>
        </w:tc>
      </w:tr>
      <w:tr w14:paraId="5F383F65">
        <w:tblPrEx>
          <w:tblCellMar>
            <w:top w:w="0" w:type="dxa"/>
            <w:left w:w="108" w:type="dxa"/>
            <w:bottom w:w="0" w:type="dxa"/>
            <w:right w:w="108" w:type="dxa"/>
          </w:tblCellMar>
        </w:tblPrEx>
        <w:trPr>
          <w:trHeight w:val="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51B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D46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CP330483-2024-24</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EF9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4</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904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E45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BBE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25.3604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208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16.4115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8B5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15.1998</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E1A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40.07 </w:t>
            </w:r>
          </w:p>
        </w:tc>
      </w:tr>
      <w:tr w14:paraId="721BC810">
        <w:tblPrEx>
          <w:tblCellMar>
            <w:top w:w="0" w:type="dxa"/>
            <w:left w:w="108" w:type="dxa"/>
            <w:bottom w:w="0" w:type="dxa"/>
            <w:right w:w="108" w:type="dxa"/>
          </w:tblCellMar>
        </w:tblPrEx>
        <w:trPr>
          <w:trHeight w:val="745"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F86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8B2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CP330483-2021-01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CA5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CP330483-2021-01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DC9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5D33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8AD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205.8883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8FF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50.5244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7DC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57.3102</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F1C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47.20 </w:t>
            </w:r>
          </w:p>
        </w:tc>
      </w:tr>
      <w:tr w14:paraId="389F8F84">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022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55A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CP330483-2021-02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072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CP330483-2021-02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8B8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BFD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6AD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65.0834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2513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1.2982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75E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9.4619</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37B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42.86 </w:t>
            </w:r>
          </w:p>
        </w:tc>
      </w:tr>
      <w:tr w14:paraId="3C1C9FA3">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8B5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D1B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CP330483-2021-04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210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CP330483-2021-04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420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74F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DAB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135.7843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FEC9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43.3871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EAC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28.1693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85B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41.26 </w:t>
            </w:r>
          </w:p>
        </w:tc>
      </w:tr>
      <w:tr w14:paraId="190B6941">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081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D01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CP330483-2021-05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06B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CP330483-2021-05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38A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266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2A4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3.4616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2FC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1.5795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99E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1.4654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D37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52.76 </w:t>
            </w:r>
          </w:p>
        </w:tc>
      </w:tr>
      <w:tr w14:paraId="1105AFCB">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A11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4F0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CP330483-2021-06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2DD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梧桐街道工业片区</w:t>
            </w:r>
            <w:r>
              <w:rPr>
                <w:rFonts w:ascii="Times New Roman" w:hAnsi="Times New Roman" w:eastAsia="等线" w:cs="Times New Roman"/>
                <w:color w:val="000000"/>
                <w:sz w:val="18"/>
                <w:szCs w:val="18"/>
                <w:lang w:eastAsia="zh-CN"/>
              </w:rPr>
              <w:t>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CP330483-2021-06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2FD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C3B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378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32.7774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B73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0.5637</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2E1F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9.7472</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4852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29.72 </w:t>
            </w:r>
          </w:p>
        </w:tc>
      </w:tr>
      <w:tr w14:paraId="6D442CD1">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CB2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03B5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CP330483-2021-08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4E3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凤鸣街道工业片区</w:t>
            </w:r>
            <w:r>
              <w:rPr>
                <w:rFonts w:ascii="Times New Roman" w:hAnsi="Times New Roman" w:eastAsia="等线" w:cs="Times New Roman"/>
                <w:color w:val="000000"/>
                <w:sz w:val="18"/>
                <w:szCs w:val="18"/>
                <w:lang w:eastAsia="zh-CN"/>
              </w:rPr>
              <w:t>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CP330483-2021-08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923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凤鸣街道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E41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6D79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40.5559</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B33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5.1156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527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7.2298</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DCF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33.00 </w:t>
            </w:r>
          </w:p>
        </w:tc>
      </w:tr>
      <w:tr w14:paraId="76BFDB6C">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8464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C476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CP330483-2021-09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931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凤鸣街道商住片区</w:t>
            </w:r>
            <w:r>
              <w:rPr>
                <w:rFonts w:ascii="Times New Roman" w:hAnsi="Times New Roman" w:eastAsia="等线" w:cs="Times New Roman"/>
                <w:color w:val="000000"/>
                <w:sz w:val="18"/>
                <w:szCs w:val="18"/>
                <w:lang w:eastAsia="zh-CN"/>
              </w:rPr>
              <w:t>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CP330483-2021-09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589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凤鸣街道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219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FA7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45.9134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717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1.8281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C25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5.5881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1F4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42.90 </w:t>
            </w:r>
          </w:p>
        </w:tc>
      </w:tr>
      <w:tr w14:paraId="64886B4A">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C42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169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CP330483-2021-10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126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凤鸣街道商住片区</w:t>
            </w:r>
            <w:r>
              <w:rPr>
                <w:rFonts w:ascii="Times New Roman" w:hAnsi="Times New Roman" w:eastAsia="等线" w:cs="Times New Roman"/>
                <w:color w:val="000000"/>
                <w:sz w:val="18"/>
                <w:szCs w:val="18"/>
                <w:lang w:eastAsia="zh-CN"/>
              </w:rPr>
              <w:t>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CP330483-2021-10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AD1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凤鸣街道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186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36F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4.9031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EFD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2.5828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72E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2.7527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EE6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40.38 </w:t>
            </w:r>
          </w:p>
        </w:tc>
      </w:tr>
      <w:tr w14:paraId="1E8685C9">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EFB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26A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CP330483-2021-11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4D97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330483-2021-11</w:t>
            </w:r>
            <w:r>
              <w:rPr>
                <w:rFonts w:ascii="Times New Roman" w:hAnsi="Times New Roman" w:eastAsia="等线" w:cs="Times New Roman"/>
                <w:color w:val="000000"/>
                <w:sz w:val="18"/>
                <w:szCs w:val="18"/>
                <w:lang w:eastAsia="zh-CN"/>
              </w:rPr>
              <w:br w:type="textWrapping"/>
            </w:r>
            <w:r>
              <w:rPr>
                <w:rFonts w:ascii="Times New Roman" w:hAnsi="Times New Roman" w:eastAsia="等线" w:cs="Times New Roman"/>
                <w:color w:val="000000"/>
                <w:sz w:val="18"/>
                <w:szCs w:val="18"/>
                <w:lang w:eastAsia="zh-CN"/>
              </w:rPr>
              <w:t>(</w:t>
            </w:r>
            <w:r>
              <w:rPr>
                <w:rFonts w:ascii="仿宋" w:hAnsi="仿宋" w:cs="Times New Roman"/>
                <w:color w:val="000000"/>
                <w:sz w:val="18"/>
                <w:szCs w:val="18"/>
                <w:lang w:eastAsia="zh-CN"/>
              </w:rPr>
              <w:t>调</w:t>
            </w:r>
            <w:r>
              <w:rPr>
                <w:rFonts w:ascii="Times New Roman" w:hAnsi="Times New Roman" w:eastAsia="等线" w:cs="Times New Roman"/>
                <w:color w:val="000000"/>
                <w:sz w:val="18"/>
                <w:szCs w:val="18"/>
                <w:lang w:eastAsia="zh-CN"/>
              </w:rPr>
              <w:t>)</w:t>
            </w:r>
            <w:r>
              <w:rPr>
                <w:rFonts w:ascii="仿宋" w:hAnsi="仿宋" w:cs="Times New Roman"/>
                <w:color w:val="000000"/>
                <w:sz w:val="18"/>
                <w:szCs w:val="18"/>
                <w:lang w:eastAsia="zh-CN"/>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98C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9CA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79FA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102.8493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4E0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8.0259</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B77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22.6488</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F2B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26.95 </w:t>
            </w:r>
          </w:p>
        </w:tc>
      </w:tr>
      <w:tr w14:paraId="7F20A07D">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731C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981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CP330483-2021-12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2FB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330483-2021-12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FBC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11D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00B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103.5081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30D2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5.6065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C4C2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28.0334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B2A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41.58 </w:t>
            </w:r>
          </w:p>
        </w:tc>
      </w:tr>
      <w:tr w14:paraId="1F71EB47">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9CF1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DD4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CP330483-2021-13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D06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开发区工业片区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330483-2021-13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DBF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05F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D6C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87.5382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C97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7.3516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814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16.7694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6262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28.60 </w:t>
            </w:r>
          </w:p>
        </w:tc>
      </w:tr>
      <w:tr w14:paraId="49FD7F43">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BF4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373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CP330483-2021-14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3D1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开发区商住片区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330483-2021-14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0B0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A81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5C1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54.2738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A64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12.4466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00A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15.2694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D5D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51.84 </w:t>
            </w:r>
          </w:p>
        </w:tc>
      </w:tr>
      <w:tr w14:paraId="6D3E3116">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107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B1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CP330483-2021-15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706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开发区工业片区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330483-2021-15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28A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FF0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CAF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234.2202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2EE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40.1132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B8A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87.6934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674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33.74 </w:t>
            </w:r>
          </w:p>
        </w:tc>
      </w:tr>
      <w:tr w14:paraId="085E75E5">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037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CA6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CP330483-2021-18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D2AB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开发区商住片区</w:t>
            </w:r>
            <w:r>
              <w:rPr>
                <w:rFonts w:ascii="Times New Roman" w:hAnsi="Times New Roman" w:eastAsia="等线" w:cs="Times New Roman"/>
                <w:color w:val="000000"/>
                <w:sz w:val="18"/>
                <w:szCs w:val="18"/>
                <w:lang w:eastAsia="zh-CN"/>
              </w:rPr>
              <w:t>5</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330483-2021-18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58A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55B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F0CC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41.6731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B43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5.8604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88F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16.9347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288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41.21 </w:t>
            </w:r>
          </w:p>
        </w:tc>
      </w:tr>
      <w:tr w14:paraId="538FC23E">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78E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18C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CP330483-2021-19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6DB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开发区商住片区</w:t>
            </w:r>
            <w:r>
              <w:rPr>
                <w:rFonts w:ascii="Times New Roman" w:hAnsi="Times New Roman" w:eastAsia="等线" w:cs="Times New Roman"/>
                <w:color w:val="000000"/>
                <w:sz w:val="18"/>
                <w:szCs w:val="18"/>
                <w:lang w:eastAsia="zh-CN"/>
              </w:rPr>
              <w:t>6</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330483-2021-19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22D7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379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DA3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21.2401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F6BB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13.2441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149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10.4737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633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46.28 </w:t>
            </w:r>
          </w:p>
        </w:tc>
      </w:tr>
      <w:tr w14:paraId="4C7D60B1">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A42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7D8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F667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1B0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CB0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FCE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152.2075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DB3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17.2269</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9E11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6.4652</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F3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42.31 </w:t>
            </w:r>
          </w:p>
        </w:tc>
      </w:tr>
      <w:tr w14:paraId="0B52DB14">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4B7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833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F2A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乌镇镇商住片区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F66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6CF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C2B5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42.6538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2F2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27.2931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D6F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22.3893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907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47.49 </w:t>
            </w:r>
          </w:p>
        </w:tc>
      </w:tr>
      <w:tr w14:paraId="5144D607">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3F3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2C1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60C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4D6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D24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771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28.3408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4E8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10.2712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3C9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19.8770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E7F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31.61 </w:t>
            </w:r>
          </w:p>
        </w:tc>
      </w:tr>
      <w:tr w14:paraId="7FC84CC9">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9D7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A12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E9E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乌镇镇商住片区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52ED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8AC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105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12.7850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A79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4.3533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4C28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5.3301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40A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57.54 </w:t>
            </w:r>
          </w:p>
        </w:tc>
      </w:tr>
      <w:tr w14:paraId="0FAB66BD">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C07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826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75D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乌镇镇商住片区</w:t>
            </w:r>
            <w:r>
              <w:rPr>
                <w:rFonts w:ascii="Times New Roman" w:hAnsi="Times New Roman" w:eastAsia="等线" w:cs="Times New Roman"/>
                <w:color w:val="000000"/>
                <w:sz w:val="18"/>
                <w:szCs w:val="18"/>
                <w:lang w:eastAsia="zh-CN"/>
              </w:rPr>
              <w:t>6</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2C3C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4B4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479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0.9791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96E8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0.2574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28D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0.1500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1E0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100.00 </w:t>
            </w:r>
          </w:p>
        </w:tc>
      </w:tr>
      <w:tr w14:paraId="29131024">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12D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769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CP330483-2021-27</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2B3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330483-2021-27</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A4D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928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181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12.1914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BB5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1.5639</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07C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3.1551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0AEE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51.58 </w:t>
            </w:r>
          </w:p>
        </w:tc>
      </w:tr>
      <w:tr w14:paraId="3AF4E19F">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EF3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4EA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8A9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D39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71C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2B1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43.8762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143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1.4083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C20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10.5214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4289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26.56 </w:t>
            </w:r>
          </w:p>
        </w:tc>
      </w:tr>
      <w:tr w14:paraId="23F60227">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6B4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0467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AAC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濮院镇商住片区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726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6DEC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17B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211.1603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52A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2.9898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86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21.7953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D37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41.96 </w:t>
            </w:r>
          </w:p>
        </w:tc>
      </w:tr>
      <w:tr w14:paraId="686A4757">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530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257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CP330483-2021-30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216D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濮院镇商住片区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330483-2021-30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941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247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630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5.8597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410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B82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0.1019</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770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49.35 </w:t>
            </w:r>
          </w:p>
        </w:tc>
      </w:tr>
      <w:tr w14:paraId="27C64229">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B69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D6EF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CP330483-2021-31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C47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330483-2021-31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D9E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4AF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A95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7.7868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823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2.6986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4B6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3.0358</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821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28.72 </w:t>
            </w:r>
          </w:p>
        </w:tc>
      </w:tr>
      <w:tr w14:paraId="39FD4017">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F35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81F4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CP330483-2021-32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DC8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屠甸镇工业片区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330483-2021-32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286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456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E1A3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12.9810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B63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1.6353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7C2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9.5499</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EB18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25.28 </w:t>
            </w:r>
          </w:p>
        </w:tc>
      </w:tr>
      <w:tr w14:paraId="4CCCC92B">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0871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B4A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CP330483-2021-36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699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石门镇工业片区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330483-2021-36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BAC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石门镇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AC6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B1A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15.2905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4EC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7.3803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EC7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11.5847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E96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27.11 </w:t>
            </w:r>
          </w:p>
        </w:tc>
      </w:tr>
      <w:tr w14:paraId="3BC08FDE">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4BA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998D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CP330483-2021-38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5E8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石门镇商住片区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330483-2021-38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F0E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石门镇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DA16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6603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27.5504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B9E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4.4273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F60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3.6694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7B9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41.75 </w:t>
            </w:r>
          </w:p>
        </w:tc>
      </w:tr>
      <w:tr w14:paraId="5A58913C">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0CD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821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EBC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河山镇商住片区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CE7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河山镇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3B7D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BD8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25.4116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C3E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6.8726</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4E6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1.2605</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949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47.07 </w:t>
            </w:r>
          </w:p>
        </w:tc>
      </w:tr>
      <w:tr w14:paraId="1C1B16A1">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88FB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9FB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3FA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河山镇工业片区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88C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河山镇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AF6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220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13.6755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830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1.7980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546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0.8976</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910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33.18 </w:t>
            </w:r>
          </w:p>
        </w:tc>
      </w:tr>
      <w:tr w14:paraId="2727A0F6">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DF9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EAD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0AE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河山镇工业片区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526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河山镇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176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B58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3.2410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25A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0.2053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670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2.2891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DAE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27.58 </w:t>
            </w:r>
          </w:p>
        </w:tc>
      </w:tr>
      <w:tr w14:paraId="57CD5DB3">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D23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469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EFD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DA0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F63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9A5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3.2620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D21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1.3703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EDE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2.0877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B04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35.96 </w:t>
            </w:r>
          </w:p>
        </w:tc>
      </w:tr>
      <w:tr w14:paraId="420B4D4A">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932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84C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B98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洲泉镇工业片区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581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361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9C2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4.6297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3ED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67A3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2.0919</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AC3E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2.75 </w:t>
            </w:r>
          </w:p>
        </w:tc>
      </w:tr>
      <w:tr w14:paraId="592BD045">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E2D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BBC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962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洲泉镇工业片区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819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27C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25E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1.9130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1D1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0.2457</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4BA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1.3550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446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35.39 </w:t>
            </w:r>
          </w:p>
        </w:tc>
      </w:tr>
      <w:tr w14:paraId="1A88670D">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C62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8CE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3F6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洲泉镇工业片区</w:t>
            </w:r>
            <w:r>
              <w:rPr>
                <w:rFonts w:ascii="Times New Roman" w:hAnsi="Times New Roman" w:eastAsia="等线" w:cs="Times New Roman"/>
                <w:color w:val="000000"/>
                <w:sz w:val="18"/>
                <w:szCs w:val="18"/>
                <w:lang w:eastAsia="zh-CN"/>
              </w:rPr>
              <w:t>4</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39E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93E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544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95.0574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792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1.5403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474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26.6757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2EC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25.48 </w:t>
            </w:r>
          </w:p>
        </w:tc>
      </w:tr>
      <w:tr w14:paraId="71CB1A2E">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156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9BF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DEF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B4C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AEB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5E22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2.5387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97B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0.5127</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D4A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0.3634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7CC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50.18 </w:t>
            </w:r>
          </w:p>
        </w:tc>
      </w:tr>
      <w:tr w14:paraId="7FDE304F">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52B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280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CP330483-2021-49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429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洲泉镇工业片区</w:t>
            </w:r>
            <w:r>
              <w:rPr>
                <w:rFonts w:ascii="Times New Roman" w:hAnsi="Times New Roman" w:eastAsia="等线" w:cs="Times New Roman"/>
                <w:color w:val="000000"/>
                <w:sz w:val="18"/>
                <w:szCs w:val="18"/>
                <w:lang w:eastAsia="zh-CN"/>
              </w:rPr>
              <w:t>6</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330483-2021-49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9CB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89D4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783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38.9405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DF6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6.8841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50E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13.2475</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AFB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25.48 </w:t>
            </w:r>
          </w:p>
        </w:tc>
      </w:tr>
      <w:tr w14:paraId="6AD5D165">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3A5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F36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CP330483-2021-50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257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洲泉镇商住片区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330483-2021-50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DDF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1C8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2BF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14.5172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CDC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6.2569</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8C6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1.0333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229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40.69 </w:t>
            </w:r>
          </w:p>
        </w:tc>
      </w:tr>
      <w:tr w14:paraId="22D2FD2C">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080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C39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CP330483-2021-51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69E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洲泉镇商住片区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330483-2021-51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619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B65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159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66.4900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5B3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5.1658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B99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2.9869</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F148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43.04 </w:t>
            </w:r>
          </w:p>
        </w:tc>
      </w:tr>
      <w:tr w14:paraId="2CAC064B">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461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E62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CP330483-2021-52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0FD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洲泉镇商住片区</w:t>
            </w:r>
            <w:r>
              <w:rPr>
                <w:rFonts w:ascii="Times New Roman" w:hAnsi="Times New Roman" w:eastAsia="等线" w:cs="Times New Roman"/>
                <w:color w:val="000000"/>
                <w:sz w:val="18"/>
                <w:szCs w:val="18"/>
                <w:lang w:eastAsia="zh-CN"/>
              </w:rPr>
              <w:t>4</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330483-2021-52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118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50B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994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17.7181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6C2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1.8290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81E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3.1383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AF0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44.72 </w:t>
            </w:r>
          </w:p>
        </w:tc>
      </w:tr>
      <w:tr w14:paraId="768EDD12">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3CF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2BCA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CP330483-2021-53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5CF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大麻镇工业片区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330483-2021-53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9EF2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大麻镇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B3C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D87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6.6859</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96B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0.5371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AE8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1.5484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D51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26.00 </w:t>
            </w:r>
          </w:p>
        </w:tc>
      </w:tr>
      <w:tr w14:paraId="392D1E0C">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3F63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8C35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CP330483-2021-54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ABF0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乌镇镇工业片区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330483-2021-54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D13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55C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EC1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2.3790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1F2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0.0064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8A0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1.2673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7E2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25.54 </w:t>
            </w:r>
          </w:p>
        </w:tc>
      </w:tr>
      <w:tr w14:paraId="0974DF45">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697D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DE2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CP330483-2021-55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64F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大麻镇工业片区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330483-2021-55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600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大麻镇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AF8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B6B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1.8771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812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1.5501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B1DA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1.3052</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1B2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25.52 </w:t>
            </w:r>
          </w:p>
        </w:tc>
      </w:tr>
      <w:tr w14:paraId="20AF52E7">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18B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C2E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CP330483-2021-57</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8C0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330483-2021-57</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E0D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C08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7AE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117.9349</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953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9.6963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72A0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7.8347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35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40.43 </w:t>
            </w:r>
          </w:p>
        </w:tc>
      </w:tr>
      <w:tr w14:paraId="13CA44EE">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C2AE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C89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CP330483-2021-59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A3F8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330483-2021-59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920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40C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E06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123.3887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141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9.5174</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224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25.2732</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E3A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25.25 </w:t>
            </w:r>
          </w:p>
        </w:tc>
      </w:tr>
      <w:tr w14:paraId="75235BA1">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07F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A70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CP330483-2021-61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CED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崇福镇工业片区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330483-2021-61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6A5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9F9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F0DA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15.6463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F42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5.9208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DF5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10.7393</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294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27.82 </w:t>
            </w:r>
          </w:p>
        </w:tc>
      </w:tr>
      <w:tr w14:paraId="4C82AA08">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387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BBD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CP330483-2021-62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110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屠甸镇工业片区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330483-2021-62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19E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A31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7FB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1.4252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F30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6CA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0.0510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A6E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6.71 </w:t>
            </w:r>
          </w:p>
        </w:tc>
      </w:tr>
      <w:tr w14:paraId="50F9C914">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E50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B00A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CP330483-2022-65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BD5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乌镇镇商住片区</w:t>
            </w:r>
            <w:r>
              <w:rPr>
                <w:rFonts w:ascii="Times New Roman" w:hAnsi="Times New Roman" w:eastAsia="等线" w:cs="Times New Roman"/>
                <w:color w:val="000000"/>
                <w:sz w:val="18"/>
                <w:szCs w:val="18"/>
                <w:lang w:eastAsia="zh-CN"/>
              </w:rPr>
              <w:t>7</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330483-2021-65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898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CE3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23F0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0.5577</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56C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2B23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0.5577</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8C9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100.00 </w:t>
            </w:r>
          </w:p>
        </w:tc>
      </w:tr>
      <w:tr w14:paraId="4A9AF538">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F0C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59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434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CP330483-2022-66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DDD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崇福镇商住片区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330483-2021-66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AC9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FAB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05B9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2.1301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5F93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0.2573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3CA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0.1560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967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95.73 </w:t>
            </w:r>
          </w:p>
        </w:tc>
      </w:tr>
      <w:tr w14:paraId="055CD1A9">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377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AD1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CP330483-2022-68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410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洲泉镇工业片区</w:t>
            </w:r>
            <w:r>
              <w:rPr>
                <w:rFonts w:ascii="Times New Roman" w:hAnsi="Times New Roman" w:eastAsia="等线" w:cs="Times New Roman"/>
                <w:color w:val="000000"/>
                <w:sz w:val="18"/>
                <w:szCs w:val="18"/>
                <w:lang w:eastAsia="zh-CN"/>
              </w:rPr>
              <w:t>7</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330483-2021-68</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EAA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261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0C2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0.9998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13ED">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4A2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0.1364</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B3C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2.32 </w:t>
            </w:r>
          </w:p>
        </w:tc>
      </w:tr>
      <w:tr w14:paraId="537A916B">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027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0A7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CP330483-2022-69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52A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屠甸镇商住片区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330483-2021-69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54E8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2DB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753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0.9133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672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B7B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0.5778</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563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28.82 </w:t>
            </w:r>
          </w:p>
        </w:tc>
      </w:tr>
      <w:tr w14:paraId="7052CE77">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8A5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141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CP330483-2022-01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F8A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CP330483-2022-01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ABA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299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412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49.9330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361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22.4028</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563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28.9970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575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45.95 </w:t>
            </w:r>
          </w:p>
        </w:tc>
      </w:tr>
      <w:tr w14:paraId="09207BC1">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A2F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C1C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CP330483-2022-09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D1C1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开发区商住片区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330483-2022-09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B9A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7D0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551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4.8210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AA7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1.4867</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AA8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2.2155</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27E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56.04 </w:t>
            </w:r>
          </w:p>
        </w:tc>
      </w:tr>
      <w:tr w14:paraId="6B766465">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479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748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CP330483-2022-11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4449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开发区商住片区</w:t>
            </w:r>
            <w:r>
              <w:rPr>
                <w:rFonts w:ascii="Times New Roman" w:hAnsi="Times New Roman" w:eastAsia="等线" w:cs="Times New Roman"/>
                <w:color w:val="000000"/>
                <w:sz w:val="18"/>
                <w:szCs w:val="18"/>
                <w:lang w:eastAsia="zh-CN"/>
              </w:rPr>
              <w:t>4</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330483-2022-11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99B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FBA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4C8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1.1734</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96B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0.0662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46D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0.4480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881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84.64 </w:t>
            </w:r>
          </w:p>
        </w:tc>
      </w:tr>
      <w:tr w14:paraId="21EC445D">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5D9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6CA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CP330483-2022-20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088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330483-2022-20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FB6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839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2803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3.4681</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8C9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1.1713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F85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0.9138</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BF2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72.90 </w:t>
            </w:r>
          </w:p>
        </w:tc>
      </w:tr>
      <w:tr w14:paraId="5C2440EC">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6DA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F05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CP330483-2022-21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34C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屠甸镇商住片区</w:t>
            </w:r>
            <w:r>
              <w:rPr>
                <w:rFonts w:ascii="Times New Roman" w:hAnsi="Times New Roman" w:eastAsia="等线" w:cs="Times New Roman"/>
                <w:color w:val="000000"/>
                <w:sz w:val="18"/>
                <w:szCs w:val="18"/>
                <w:lang w:eastAsia="zh-CN"/>
              </w:rPr>
              <w:t>2</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330483-2022-21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022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354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3F1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2.6156</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BAA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D22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0.2170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4BA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56.37 </w:t>
            </w:r>
          </w:p>
        </w:tc>
      </w:tr>
      <w:tr w14:paraId="195AA495">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963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BF2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CP330483-2022-40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23A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CP330483-2022-40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6C4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928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0D10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1.6392</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FC2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1.0800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E1F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0.3405</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C34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85.30 </w:t>
            </w:r>
          </w:p>
        </w:tc>
      </w:tr>
      <w:tr w14:paraId="2527432B">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8B28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FEE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CP330483-2022-41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F73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梧桐街道工业片区</w:t>
            </w:r>
            <w:r>
              <w:rPr>
                <w:rFonts w:ascii="Times New Roman" w:hAnsi="Times New Roman" w:eastAsia="等线" w:cs="Times New Roman"/>
                <w:color w:val="000000"/>
                <w:sz w:val="18"/>
                <w:szCs w:val="18"/>
                <w:lang w:eastAsia="zh-CN"/>
              </w:rPr>
              <w:t>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CP330483-2022-41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49F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7065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D77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4.3968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382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3.2052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0420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3.2950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25E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36.47 </w:t>
            </w:r>
          </w:p>
        </w:tc>
      </w:tr>
      <w:tr w14:paraId="4A8DF4DA">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89F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64D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CP330483-2021-24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F75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乌镇镇商住片区</w:t>
            </w:r>
            <w:r>
              <w:rPr>
                <w:rFonts w:ascii="Times New Roman" w:hAnsi="Times New Roman" w:eastAsia="等线" w:cs="Times New Roman"/>
                <w:color w:val="000000"/>
                <w:sz w:val="18"/>
                <w:szCs w:val="18"/>
                <w:lang w:eastAsia="zh-CN"/>
              </w:rPr>
              <w:t>4</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330483-2021-24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058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乌镇镇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9B2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481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3AA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D72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3061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3948A6CE">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2E2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872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CP330483-2021-60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8A8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崇福镇工业片区</w:t>
            </w:r>
            <w:r>
              <w:rPr>
                <w:rFonts w:ascii="Times New Roman" w:hAnsi="Times New Roman" w:eastAsia="等线" w:cs="Times New Roman"/>
                <w:color w:val="000000"/>
                <w:sz w:val="18"/>
                <w:szCs w:val="18"/>
                <w:lang w:eastAsia="zh-CN"/>
              </w:rPr>
              <w:t>2(CP3 30483-2021-60</w:t>
            </w:r>
            <w:r>
              <w:rPr>
                <w:rFonts w:ascii="仿宋" w:hAnsi="仿宋" w:cs="Times New Roman"/>
                <w:color w:val="000000"/>
                <w:sz w:val="18"/>
                <w:szCs w:val="18"/>
                <w:lang w:eastAsia="zh-CN"/>
              </w:rPr>
              <w:t>（调）</w:t>
            </w:r>
            <w:r>
              <w:rPr>
                <w:rFonts w:ascii="Times New Roman" w:hAnsi="Times New Roman" w:eastAsia="等线" w:cs="Times New Roman"/>
                <w:color w:val="000000"/>
                <w:sz w:val="18"/>
                <w:szCs w:val="18"/>
                <w:lang w:eastAsia="zh-CN"/>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5E9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崇福镇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A32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53F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64C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000A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091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6B450A2F">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3FDA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71</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FC0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CP330483-2022-02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CE0D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2(C P330483-2022-02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ECB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488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3C4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7CD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E55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3A2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3056F5CE">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932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72</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1BC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CP330483-2022-04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688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4(C P330483-2022-04</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r>
              <w:rPr>
                <w:rFonts w:ascii="Times New Roman" w:hAnsi="Times New Roman" w:eastAsia="等线" w:cs="Times New Roman"/>
                <w:color w:val="000000"/>
                <w:sz w:val="18"/>
                <w:szCs w:val="18"/>
                <w:lang w:eastAsia="zh-CN"/>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930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5B4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AFC1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341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0F87">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E783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011F5995">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A42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73</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F8A2">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CP330483-2022-05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581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凤鸣街道商住片区</w:t>
            </w:r>
            <w:r>
              <w:rPr>
                <w:rFonts w:ascii="Times New Roman" w:hAnsi="Times New Roman" w:eastAsia="等线" w:cs="Times New Roman"/>
                <w:color w:val="000000"/>
                <w:sz w:val="18"/>
                <w:szCs w:val="18"/>
                <w:lang w:eastAsia="zh-CN"/>
              </w:rPr>
              <w:t>1(C P330483-2022-05</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r>
              <w:rPr>
                <w:rFonts w:ascii="Times New Roman" w:hAnsi="Times New Roman" w:eastAsia="等线" w:cs="Times New Roman"/>
                <w:color w:val="000000"/>
                <w:sz w:val="18"/>
                <w:szCs w:val="18"/>
                <w:lang w:eastAsia="zh-CN"/>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19C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凤鸣街道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0D0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E40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4DC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EEA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E25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640F2267">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4AE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74</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168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CP330483-2022-10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1EE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开发区商住片区</w:t>
            </w:r>
            <w:r>
              <w:rPr>
                <w:rFonts w:ascii="Times New Roman" w:hAnsi="Times New Roman" w:eastAsia="等线" w:cs="Times New Roman"/>
                <w:color w:val="000000"/>
                <w:sz w:val="18"/>
                <w:szCs w:val="18"/>
                <w:lang w:eastAsia="zh-CN"/>
              </w:rPr>
              <w:t>3(CP3 30483-2022-10</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r>
              <w:rPr>
                <w:rFonts w:ascii="Times New Roman" w:hAnsi="Times New Roman" w:eastAsia="等线" w:cs="Times New Roman"/>
                <w:color w:val="000000"/>
                <w:sz w:val="18"/>
                <w:szCs w:val="18"/>
                <w:lang w:eastAsia="zh-CN"/>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6EE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开发区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395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7DC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CD2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274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BDA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05BD8E95">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C3D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75</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546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CP330483-2022-19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6423">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濮院镇商住片区</w:t>
            </w:r>
            <w:r>
              <w:rPr>
                <w:rFonts w:ascii="Times New Roman" w:hAnsi="Times New Roman" w:eastAsia="等线" w:cs="Times New Roman"/>
                <w:color w:val="000000"/>
                <w:sz w:val="18"/>
                <w:szCs w:val="18"/>
                <w:lang w:eastAsia="zh-CN"/>
              </w:rPr>
              <w:t>3</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330483-2022-19</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441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濮院镇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1B1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2416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1CE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C56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49B1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035C5299">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38E7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76</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D861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CP330483-2022-22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48F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屠甸镇工业片区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330483-2022-22</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139E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屠甸镇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A34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538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4A3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64C2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D0D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27A13B98">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7B8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77</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53A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CP330483-2022-23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7AE9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石门镇商住片区</w:t>
            </w:r>
            <w:r>
              <w:rPr>
                <w:rFonts w:ascii="Times New Roman" w:hAnsi="Times New Roman" w:eastAsia="等线" w:cs="Times New Roman"/>
                <w:color w:val="000000"/>
                <w:sz w:val="18"/>
                <w:szCs w:val="18"/>
                <w:lang w:eastAsia="zh-CN"/>
              </w:rPr>
              <w:t>1</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 330483-2022-23</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F78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石门镇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D42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955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CEB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31B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3C6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073C0340">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EE5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78</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5B5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CP330483-2022-37</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18D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梧桐街道商住片区</w:t>
            </w:r>
            <w:r>
              <w:rPr>
                <w:rFonts w:ascii="Times New Roman" w:hAnsi="Times New Roman" w:eastAsia="等线" w:cs="Times New Roman"/>
                <w:color w:val="000000"/>
                <w:sz w:val="18"/>
                <w:szCs w:val="18"/>
                <w:lang w:eastAsia="zh-CN"/>
              </w:rPr>
              <w:t>6</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CP330483-2022-37</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48A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梧桐街道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E00C">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经营性</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FAD0">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B7D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3288">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293C6">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78E3FC4F">
        <w:tblPrEx>
          <w:tblCellMar>
            <w:top w:w="0" w:type="dxa"/>
            <w:left w:w="108" w:type="dxa"/>
            <w:bottom w:w="0" w:type="dxa"/>
            <w:right w:w="108" w:type="dxa"/>
          </w:tblCellMar>
        </w:tblPrEx>
        <w:trPr>
          <w:trHeight w:val="8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6C84">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79</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DB9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CP330483-2022-61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2A2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洲泉镇工业片区</w:t>
            </w:r>
            <w:r>
              <w:rPr>
                <w:rFonts w:ascii="Times New Roman" w:hAnsi="Times New Roman" w:eastAsia="等线" w:cs="Times New Roman"/>
                <w:color w:val="000000"/>
                <w:sz w:val="18"/>
                <w:szCs w:val="18"/>
                <w:lang w:eastAsia="zh-CN"/>
              </w:rPr>
              <w:t>10</w:t>
            </w:r>
            <w:r>
              <w:rPr>
                <w:rFonts w:ascii="仿宋" w:hAnsi="仿宋" w:cs="Times New Roman"/>
                <w:color w:val="000000"/>
                <w:sz w:val="18"/>
                <w:szCs w:val="18"/>
                <w:lang w:eastAsia="zh-CN"/>
              </w:rPr>
              <w:t>（</w:t>
            </w:r>
            <w:r>
              <w:rPr>
                <w:rFonts w:ascii="Times New Roman" w:hAnsi="Times New Roman" w:eastAsia="等线" w:cs="Times New Roman"/>
                <w:color w:val="000000"/>
                <w:sz w:val="18"/>
                <w:szCs w:val="18"/>
                <w:lang w:eastAsia="zh-CN"/>
              </w:rPr>
              <w:t>C P330483-2022-61</w:t>
            </w:r>
            <w:r>
              <w:rPr>
                <w:rFonts w:ascii="Times New Roman" w:hAnsi="Times New Roman" w:eastAsia="等线" w:cs="Times New Roman"/>
                <w:color w:val="000000"/>
                <w:sz w:val="18"/>
                <w:szCs w:val="18"/>
                <w:lang w:eastAsia="zh-CN"/>
              </w:rPr>
              <w:br w:type="textWrapping"/>
            </w:r>
            <w:r>
              <w:rPr>
                <w:rFonts w:ascii="仿宋" w:hAnsi="仿宋" w:cs="Times New Roman"/>
                <w:color w:val="000000"/>
                <w:sz w:val="18"/>
                <w:szCs w:val="18"/>
                <w:lang w:eastAsia="zh-CN"/>
              </w:rPr>
              <w:t>（调））</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918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洲泉镇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F2A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工业</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F27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183BF">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042B">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0.0000</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9E91">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0.00 </w:t>
            </w:r>
          </w:p>
        </w:tc>
      </w:tr>
      <w:tr w14:paraId="23697195">
        <w:tblPrEx>
          <w:tblCellMar>
            <w:top w:w="0" w:type="dxa"/>
            <w:left w:w="108" w:type="dxa"/>
            <w:bottom w:w="0" w:type="dxa"/>
            <w:right w:w="108" w:type="dxa"/>
          </w:tblCellMar>
        </w:tblPrEx>
        <w:trPr>
          <w:trHeight w:val="280" w:hRule="atLeast"/>
        </w:trPr>
        <w:tc>
          <w:tcPr>
            <w:tcW w:w="835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536885">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仿宋" w:hAnsi="仿宋" w:cs="Times New Roman"/>
                <w:color w:val="000000"/>
                <w:sz w:val="18"/>
                <w:szCs w:val="18"/>
                <w:lang w:eastAsia="zh-CN"/>
              </w:rPr>
              <w:t>合计</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A00A">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2476.6668</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84C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396.6429</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F519">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651.7346</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B75E">
            <w:pPr>
              <w:widowControl/>
              <w:autoSpaceDE/>
              <w:autoSpaceDN/>
              <w:spacing w:line="240" w:lineRule="auto"/>
              <w:ind w:firstLine="0" w:firstLineChars="0"/>
              <w:jc w:val="center"/>
              <w:rPr>
                <w:rFonts w:ascii="Times New Roman" w:hAnsi="Times New Roman" w:eastAsia="等线" w:cs="Times New Roman"/>
                <w:color w:val="000000"/>
                <w:sz w:val="18"/>
                <w:szCs w:val="18"/>
                <w:lang w:eastAsia="zh-CN"/>
              </w:rPr>
            </w:pPr>
            <w:r>
              <w:rPr>
                <w:rFonts w:ascii="Times New Roman" w:hAnsi="Times New Roman" w:eastAsia="等线" w:cs="Times New Roman"/>
                <w:color w:val="000000"/>
                <w:sz w:val="18"/>
                <w:szCs w:val="18"/>
                <w:lang w:eastAsia="zh-CN"/>
              </w:rPr>
              <w:t xml:space="preserve">38.20 </w:t>
            </w:r>
          </w:p>
        </w:tc>
      </w:tr>
    </w:tbl>
    <w:p w14:paraId="524E6DF9">
      <w:pPr>
        <w:tabs>
          <w:tab w:val="left" w:pos="1050"/>
        </w:tabs>
        <w:ind w:right="456" w:firstLine="0" w:firstLineChars="0"/>
        <w:jc w:val="center"/>
        <w:rPr>
          <w:rFonts w:ascii="Times New Roman" w:hAnsi="Times New Roman" w:eastAsia="黑体" w:cs="Times New Roman"/>
          <w:sz w:val="28"/>
          <w:lang w:eastAsia="zh-CN"/>
        </w:rPr>
        <w:sectPr>
          <w:pgSz w:w="16838" w:h="11906" w:orient="landscape"/>
          <w:pgMar w:top="1797" w:right="1440" w:bottom="1797" w:left="1440" w:header="851" w:footer="992" w:gutter="0"/>
          <w:cols w:space="425" w:num="1"/>
          <w:docGrid w:linePitch="312" w:charSpace="0"/>
        </w:sectPr>
      </w:pPr>
    </w:p>
    <w:p w14:paraId="67DC6313">
      <w:pPr>
        <w:ind w:firstLine="0" w:firstLineChars="0"/>
        <w:rPr>
          <w:rFonts w:ascii="Times New Roman" w:hAnsi="Times New Roman" w:eastAsia="黑体" w:cs="Times New Roman"/>
          <w:bCs/>
          <w:szCs w:val="32"/>
          <w:lang w:eastAsia="zh-CN"/>
        </w:rPr>
      </w:pPr>
      <w:r>
        <w:rPr>
          <w:rFonts w:ascii="Times New Roman" w:hAnsi="Times New Roman" w:eastAsia="黑体" w:cs="Times New Roman"/>
          <w:bCs/>
          <w:szCs w:val="32"/>
          <w:lang w:eastAsia="zh-CN"/>
        </w:rPr>
        <w:t>附图：</w:t>
      </w:r>
      <w:r>
        <w:rPr>
          <w:rFonts w:ascii="Times New Roman" w:hAnsi="Times New Roman" w:eastAsia="黑体" w:cs="Times New Roman"/>
          <w:bCs/>
          <w:szCs w:val="32"/>
          <w:lang w:eastAsia="zh-CN"/>
        </w:rPr>
        <w:drawing>
          <wp:inline distT="0" distB="0" distL="0" distR="0">
            <wp:extent cx="5796280" cy="8191500"/>
            <wp:effectExtent l="0" t="0" r="0" b="0"/>
            <wp:docPr id="17650089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08982"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6808" cy="8191701"/>
                    </a:xfrm>
                    <a:prstGeom prst="rect">
                      <a:avLst/>
                    </a:prstGeom>
                  </pic:spPr>
                </pic:pic>
              </a:graphicData>
            </a:graphic>
          </wp:inline>
        </w:drawing>
      </w:r>
    </w:p>
    <w:p w14:paraId="0CD1AD31">
      <w:pPr>
        <w:ind w:leftChars="-88" w:hanging="281" w:hangingChars="88"/>
        <w:jc w:val="center"/>
        <w:rPr>
          <w:rFonts w:ascii="Times New Roman" w:hAnsi="Times New Roman" w:eastAsia="黑体" w:cs="Times New Roman"/>
          <w:bCs/>
          <w:szCs w:val="32"/>
          <w:lang w:eastAsia="zh-CN"/>
        </w:rPr>
      </w:pPr>
      <w:r>
        <w:rPr>
          <w:rFonts w:ascii="Times New Roman" w:hAnsi="Times New Roman" w:eastAsia="黑体" w:cs="Times New Roman"/>
          <w:bCs/>
          <w:szCs w:val="32"/>
          <w:lang w:eastAsia="zh-CN"/>
        </w:rPr>
        <w:drawing>
          <wp:inline distT="0" distB="0" distL="0" distR="0">
            <wp:extent cx="6072505" cy="8581390"/>
            <wp:effectExtent l="0" t="0" r="4445" b="0"/>
            <wp:docPr id="2029706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06156"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2827" cy="8581753"/>
                    </a:xfrm>
                    <a:prstGeom prst="rect">
                      <a:avLst/>
                    </a:prstGeom>
                  </pic:spPr>
                </pic:pic>
              </a:graphicData>
            </a:graphic>
          </wp:inline>
        </w:drawing>
      </w:r>
    </w:p>
    <w:p w14:paraId="62EDE9BF">
      <w:pPr>
        <w:ind w:leftChars="-133" w:hanging="425" w:hangingChars="133"/>
        <w:jc w:val="center"/>
        <w:rPr>
          <w:rFonts w:ascii="Times New Roman" w:hAnsi="Times New Roman" w:eastAsia="黑体" w:cs="Times New Roman"/>
          <w:bCs/>
          <w:szCs w:val="32"/>
          <w:lang w:eastAsia="zh-CN"/>
        </w:rPr>
      </w:pPr>
      <w:r>
        <w:rPr>
          <w:rFonts w:ascii="Times New Roman" w:hAnsi="Times New Roman" w:eastAsia="黑体" w:cs="Times New Roman"/>
          <w:bCs/>
          <w:szCs w:val="32"/>
          <w:lang w:eastAsia="zh-CN"/>
        </w:rPr>
        <w:drawing>
          <wp:inline distT="0" distB="0" distL="0" distR="0">
            <wp:extent cx="6051550" cy="8552180"/>
            <wp:effectExtent l="0" t="0" r="6350" b="1270"/>
            <wp:docPr id="1636922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294"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2086" cy="8552445"/>
                    </a:xfrm>
                    <a:prstGeom prst="rect">
                      <a:avLst/>
                    </a:prstGeom>
                  </pic:spPr>
                </pic:pic>
              </a:graphicData>
            </a:graphic>
          </wp:inline>
        </w:drawing>
      </w:r>
    </w:p>
    <w:p w14:paraId="5C2D2006">
      <w:pPr>
        <w:ind w:left="-282" w:leftChars="-88" w:firstLine="3" w:firstLineChars="0"/>
        <w:jc w:val="center"/>
        <w:rPr>
          <w:rFonts w:ascii="Times New Roman" w:hAnsi="Times New Roman" w:eastAsia="黑体" w:cs="Times New Roman"/>
          <w:bCs/>
          <w:szCs w:val="32"/>
          <w:lang w:eastAsia="zh-CN"/>
        </w:rPr>
      </w:pPr>
      <w:r>
        <w:rPr>
          <w:rFonts w:ascii="Times New Roman" w:hAnsi="Times New Roman" w:eastAsia="黑体" w:cs="Times New Roman"/>
          <w:bCs/>
          <w:szCs w:val="32"/>
          <w:lang w:eastAsia="zh-CN"/>
        </w:rPr>
        <w:drawing>
          <wp:inline distT="0" distB="0" distL="0" distR="0">
            <wp:extent cx="6039485" cy="8534400"/>
            <wp:effectExtent l="0" t="0" r="0" b="0"/>
            <wp:docPr id="12282544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54438"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9485" cy="8534638"/>
                    </a:xfrm>
                    <a:prstGeom prst="rect">
                      <a:avLst/>
                    </a:prstGeom>
                  </pic:spPr>
                </pic:pic>
              </a:graphicData>
            </a:graphic>
          </wp:inline>
        </w:drawing>
      </w:r>
      <w:r>
        <w:rPr>
          <w:rFonts w:ascii="Times New Roman" w:hAnsi="Times New Roman" w:eastAsia="黑体" w:cs="Times New Roman"/>
          <w:bCs/>
          <w:szCs w:val="32"/>
          <w:lang w:eastAsia="zh-CN"/>
        </w:rPr>
        <w:drawing>
          <wp:inline distT="0" distB="0" distL="0" distR="0">
            <wp:extent cx="6064250" cy="8569325"/>
            <wp:effectExtent l="0" t="0" r="0" b="3175"/>
            <wp:docPr id="2111740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4080" name="图片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64336" cy="8569756"/>
                    </a:xfrm>
                    <a:prstGeom prst="rect">
                      <a:avLst/>
                    </a:prstGeom>
                  </pic:spPr>
                </pic:pic>
              </a:graphicData>
            </a:graphic>
          </wp:inline>
        </w:drawing>
      </w:r>
    </w:p>
    <w:p w14:paraId="4A3265A3">
      <w:pPr>
        <w:ind w:left="-282" w:leftChars="-88" w:firstLine="3" w:firstLineChars="0"/>
        <w:jc w:val="center"/>
        <w:rPr>
          <w:rFonts w:ascii="Times New Roman" w:hAnsi="Times New Roman" w:eastAsia="黑体" w:cs="Times New Roman"/>
          <w:bCs/>
          <w:szCs w:val="32"/>
          <w:lang w:eastAsia="zh-CN"/>
        </w:rPr>
      </w:pPr>
      <w:r>
        <w:rPr>
          <w:rFonts w:ascii="Times New Roman" w:hAnsi="Times New Roman" w:eastAsia="黑体" w:cs="Times New Roman"/>
          <w:bCs/>
          <w:szCs w:val="32"/>
          <w:lang w:eastAsia="zh-CN"/>
        </w:rPr>
        <w:drawing>
          <wp:inline distT="0" distB="0" distL="0" distR="0">
            <wp:extent cx="6057900" cy="8560435"/>
            <wp:effectExtent l="0" t="0" r="0" b="0"/>
            <wp:docPr id="680735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35043"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58012" cy="8560818"/>
                    </a:xfrm>
                    <a:prstGeom prst="rect">
                      <a:avLst/>
                    </a:prstGeom>
                  </pic:spPr>
                </pic:pic>
              </a:graphicData>
            </a:graphic>
          </wp:inline>
        </w:drawing>
      </w:r>
    </w:p>
    <w:p w14:paraId="35A75DFF">
      <w:pPr>
        <w:pStyle w:val="2"/>
        <w:ind w:left="-709" w:firstLine="883"/>
        <w:rPr>
          <w:rFonts w:hint="default"/>
          <w:lang w:eastAsia="zh-CN"/>
        </w:rPr>
      </w:pPr>
      <w:r>
        <w:rPr>
          <w:lang w:eastAsia="zh-CN"/>
        </w:rPr>
        <w:drawing>
          <wp:inline distT="0" distB="0" distL="0" distR="0">
            <wp:extent cx="5428615" cy="7676515"/>
            <wp:effectExtent l="0" t="0" r="635" b="635"/>
            <wp:docPr id="1579002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02540"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28615" cy="7676515"/>
                    </a:xfrm>
                    <a:prstGeom prst="rect">
                      <a:avLst/>
                    </a:prstGeom>
                  </pic:spPr>
                </pic:pic>
              </a:graphicData>
            </a:graphic>
          </wp:inline>
        </w:drawing>
      </w:r>
    </w:p>
    <w:p w14:paraId="7AD9021F">
      <w:pPr>
        <w:ind w:firstLine="640"/>
        <w:rPr>
          <w:lang w:eastAsia="zh-CN"/>
        </w:rPr>
      </w:pPr>
    </w:p>
    <w:p w14:paraId="3732D1F1">
      <w:pPr>
        <w:pStyle w:val="2"/>
        <w:ind w:firstLine="883"/>
        <w:rPr>
          <w:rFonts w:hint="default"/>
          <w:lang w:eastAsia="zh-CN"/>
        </w:rPr>
      </w:pPr>
    </w:p>
    <w:p w14:paraId="0A38A836">
      <w:pPr>
        <w:ind w:firstLine="0" w:firstLineChars="0"/>
        <w:rPr>
          <w:rFonts w:hint="eastAsia"/>
          <w:lang w:eastAsia="zh-CN"/>
        </w:rPr>
      </w:pPr>
      <w:r>
        <w:rPr>
          <w:rFonts w:hint="eastAsia"/>
          <w:lang w:eastAsia="zh-CN"/>
        </w:rPr>
        <w:drawing>
          <wp:inline distT="0" distB="0" distL="0" distR="0">
            <wp:extent cx="5428615" cy="7676515"/>
            <wp:effectExtent l="0" t="0" r="635" b="635"/>
            <wp:docPr id="1562128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28517"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8615" cy="7676515"/>
                    </a:xfrm>
                    <a:prstGeom prst="rect">
                      <a:avLst/>
                    </a:prstGeom>
                  </pic:spPr>
                </pic:pic>
              </a:graphicData>
            </a:graphic>
          </wp:inline>
        </w:drawing>
      </w:r>
    </w:p>
    <w:sectPr>
      <w:footerReference r:id="rId12" w:type="default"/>
      <w:footerReference r:id="rId13" w:type="even"/>
      <w:pgSz w:w="11906" w:h="16838"/>
      <w:pgMar w:top="1440" w:right="1797" w:bottom="1440" w:left="1560" w:header="851" w:footer="992" w:gutter="0"/>
      <w:cols w:space="425"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6368848"/>
    </w:sdtPr>
    <w:sdtContent>
      <w:p w14:paraId="6F54EFC1">
        <w:pPr>
          <w:pStyle w:val="6"/>
          <w:ind w:firstLine="360"/>
          <w:jc w:val="center"/>
        </w:pPr>
        <w:r>
          <w:fldChar w:fldCharType="begin"/>
        </w:r>
        <w:r>
          <w:instrText xml:space="preserve">PAGE   \* MERGEFORMAT</w:instrText>
        </w:r>
        <w:r>
          <w:fldChar w:fldCharType="separate"/>
        </w:r>
        <w:r>
          <w:rPr>
            <w:lang w:val="zh-CN" w:eastAsia="zh-CN"/>
          </w:rPr>
          <w:t>2</w:t>
        </w:r>
        <w:r>
          <w:fldChar w:fldCharType="end"/>
        </w:r>
      </w:p>
    </w:sdtContent>
  </w:sdt>
  <w:p w14:paraId="287EC310">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35C81">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E777B">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8417193"/>
    </w:sdtPr>
    <w:sdtContent>
      <w:p w14:paraId="096522FD">
        <w:pPr>
          <w:pStyle w:val="6"/>
          <w:ind w:firstLine="360"/>
          <w:jc w:val="center"/>
        </w:pPr>
        <w:r>
          <w:fldChar w:fldCharType="begin"/>
        </w:r>
        <w:r>
          <w:instrText xml:space="preserve">PAGE   \* MERGEFORMAT</w:instrText>
        </w:r>
        <w:r>
          <w:fldChar w:fldCharType="separate"/>
        </w:r>
        <w:r>
          <w:rPr>
            <w:lang w:val="zh-CN" w:eastAsia="zh-CN"/>
          </w:rPr>
          <w:t>2</w:t>
        </w:r>
        <w:r>
          <w:fldChar w:fldCharType="end"/>
        </w:r>
      </w:p>
    </w:sdtContent>
  </w:sdt>
  <w:p w14:paraId="07FBF464">
    <w:pPr>
      <w:pStyle w:val="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5C1E4">
    <w:pPr>
      <w:pStyle w:val="6"/>
      <w:tabs>
        <w:tab w:val="left" w:pos="142"/>
      </w:tabs>
      <w:ind w:firstLine="560"/>
      <w:rPr>
        <w:szCs w:val="28"/>
      </w:rPr>
    </w:pPr>
    <w:r>
      <w:rPr>
        <w:rStyle w:val="12"/>
        <w:rFonts w:hint="eastAsia" w:ascii="仿宋_GB2312" w:eastAsia="仿宋_GB2312"/>
      </w:rPr>
      <w:t xml:space="preserve">   — </w:t>
    </w:r>
    <w:r>
      <w:rPr>
        <w:rFonts w:hint="eastAsia"/>
        <w:sz w:val="28"/>
        <w:szCs w:val="28"/>
      </w:rPr>
      <w:fldChar w:fldCharType="begin"/>
    </w:r>
    <w:r>
      <w:rPr>
        <w:rStyle w:val="12"/>
        <w:rFonts w:hint="eastAsia" w:ascii="仿宋_GB2312" w:eastAsia="仿宋_GB2312"/>
      </w:rPr>
      <w:instrText xml:space="preserve">PAGE  </w:instrText>
    </w:r>
    <w:r>
      <w:rPr>
        <w:rFonts w:hint="eastAsia"/>
        <w:sz w:val="28"/>
        <w:szCs w:val="28"/>
      </w:rPr>
      <w:fldChar w:fldCharType="separate"/>
    </w:r>
    <w:r>
      <w:rPr>
        <w:rStyle w:val="12"/>
        <w:rFonts w:ascii="仿宋_GB2312" w:eastAsia="仿宋_GB2312"/>
      </w:rPr>
      <w:t>18</w:t>
    </w:r>
    <w:r>
      <w:rPr>
        <w:rFonts w:hint="eastAsia"/>
        <w:sz w:val="28"/>
        <w:szCs w:val="28"/>
      </w:rPr>
      <w:fldChar w:fldCharType="end"/>
    </w:r>
    <w:r>
      <w:rPr>
        <w:rStyle w:val="12"/>
        <w:rFonts w:hint="eastAsia" w:ascii="仿宋_GB2312" w:eastAsia="仿宋_GB231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898A2">
    <w:pPr>
      <w:ind w:left="64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FA8B6">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A1EE1">
    <w:pPr>
      <w:ind w:left="64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E51C9">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07137"/>
    <w:multiLevelType w:val="singleLevel"/>
    <w:tmpl w:val="98007137"/>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5MjVkZDU1MTkzN2U2YzE1YjM3NDE5MmExZWE1NjkifQ=="/>
  </w:docVars>
  <w:rsids>
    <w:rsidRoot w:val="00172A27"/>
    <w:rsid w:val="000009BC"/>
    <w:rsid w:val="0000113D"/>
    <w:rsid w:val="0000175B"/>
    <w:rsid w:val="00004D69"/>
    <w:rsid w:val="00010138"/>
    <w:rsid w:val="0001238C"/>
    <w:rsid w:val="000175BF"/>
    <w:rsid w:val="0002027A"/>
    <w:rsid w:val="00021822"/>
    <w:rsid w:val="00022C79"/>
    <w:rsid w:val="00027C82"/>
    <w:rsid w:val="00036417"/>
    <w:rsid w:val="00036AFC"/>
    <w:rsid w:val="000447C4"/>
    <w:rsid w:val="000458C1"/>
    <w:rsid w:val="00060AAF"/>
    <w:rsid w:val="00065CE2"/>
    <w:rsid w:val="00067824"/>
    <w:rsid w:val="0007114B"/>
    <w:rsid w:val="00071EF5"/>
    <w:rsid w:val="0007655B"/>
    <w:rsid w:val="0007679F"/>
    <w:rsid w:val="0008020B"/>
    <w:rsid w:val="00081A6E"/>
    <w:rsid w:val="000837F8"/>
    <w:rsid w:val="000848EE"/>
    <w:rsid w:val="00086436"/>
    <w:rsid w:val="00092C1B"/>
    <w:rsid w:val="00093069"/>
    <w:rsid w:val="000955B3"/>
    <w:rsid w:val="000979A7"/>
    <w:rsid w:val="000A3143"/>
    <w:rsid w:val="000A365D"/>
    <w:rsid w:val="000A726D"/>
    <w:rsid w:val="000B211A"/>
    <w:rsid w:val="000B3694"/>
    <w:rsid w:val="000B3F25"/>
    <w:rsid w:val="000B6906"/>
    <w:rsid w:val="000C0F35"/>
    <w:rsid w:val="000C2B0A"/>
    <w:rsid w:val="000C5E76"/>
    <w:rsid w:val="000D1373"/>
    <w:rsid w:val="000D2F2F"/>
    <w:rsid w:val="000D7D5F"/>
    <w:rsid w:val="000F6DB1"/>
    <w:rsid w:val="00101A27"/>
    <w:rsid w:val="0010266B"/>
    <w:rsid w:val="001036CE"/>
    <w:rsid w:val="00110652"/>
    <w:rsid w:val="001121F6"/>
    <w:rsid w:val="00114922"/>
    <w:rsid w:val="00131D22"/>
    <w:rsid w:val="00133E33"/>
    <w:rsid w:val="001352A3"/>
    <w:rsid w:val="00136872"/>
    <w:rsid w:val="001415E5"/>
    <w:rsid w:val="00144657"/>
    <w:rsid w:val="00144EA2"/>
    <w:rsid w:val="001473BB"/>
    <w:rsid w:val="00147BDC"/>
    <w:rsid w:val="00147D96"/>
    <w:rsid w:val="00152D00"/>
    <w:rsid w:val="00153C86"/>
    <w:rsid w:val="00154B4A"/>
    <w:rsid w:val="00154D53"/>
    <w:rsid w:val="00156434"/>
    <w:rsid w:val="00160996"/>
    <w:rsid w:val="00161627"/>
    <w:rsid w:val="00164519"/>
    <w:rsid w:val="001672E5"/>
    <w:rsid w:val="00167641"/>
    <w:rsid w:val="00172A27"/>
    <w:rsid w:val="00175537"/>
    <w:rsid w:val="001770B3"/>
    <w:rsid w:val="00185094"/>
    <w:rsid w:val="0019004A"/>
    <w:rsid w:val="001900F8"/>
    <w:rsid w:val="00194B41"/>
    <w:rsid w:val="001A40FB"/>
    <w:rsid w:val="001A7D54"/>
    <w:rsid w:val="001B3FC3"/>
    <w:rsid w:val="001B778A"/>
    <w:rsid w:val="001C233E"/>
    <w:rsid w:val="001C27BE"/>
    <w:rsid w:val="001C66A6"/>
    <w:rsid w:val="001C71CE"/>
    <w:rsid w:val="001D696A"/>
    <w:rsid w:val="001E0483"/>
    <w:rsid w:val="001E05D1"/>
    <w:rsid w:val="001E59E4"/>
    <w:rsid w:val="001E5D47"/>
    <w:rsid w:val="001E7AE9"/>
    <w:rsid w:val="001F105A"/>
    <w:rsid w:val="001F1B6F"/>
    <w:rsid w:val="00204AE9"/>
    <w:rsid w:val="0020696A"/>
    <w:rsid w:val="00210090"/>
    <w:rsid w:val="00215B8F"/>
    <w:rsid w:val="002203CA"/>
    <w:rsid w:val="00233630"/>
    <w:rsid w:val="00234172"/>
    <w:rsid w:val="002419CE"/>
    <w:rsid w:val="002450AC"/>
    <w:rsid w:val="00251D0E"/>
    <w:rsid w:val="00251EAE"/>
    <w:rsid w:val="00256A97"/>
    <w:rsid w:val="00263591"/>
    <w:rsid w:val="00266D52"/>
    <w:rsid w:val="002700CB"/>
    <w:rsid w:val="002703D4"/>
    <w:rsid w:val="0027715C"/>
    <w:rsid w:val="0028400B"/>
    <w:rsid w:val="00286461"/>
    <w:rsid w:val="0028646E"/>
    <w:rsid w:val="00291981"/>
    <w:rsid w:val="0029262F"/>
    <w:rsid w:val="002A20F3"/>
    <w:rsid w:val="002A250B"/>
    <w:rsid w:val="002A3B6A"/>
    <w:rsid w:val="002A6622"/>
    <w:rsid w:val="002B5096"/>
    <w:rsid w:val="002C0DED"/>
    <w:rsid w:val="002C25EF"/>
    <w:rsid w:val="002C28ED"/>
    <w:rsid w:val="002C2DAE"/>
    <w:rsid w:val="002C4D0E"/>
    <w:rsid w:val="002C5F69"/>
    <w:rsid w:val="002C72B3"/>
    <w:rsid w:val="002D0AB7"/>
    <w:rsid w:val="002D34DF"/>
    <w:rsid w:val="002D3A70"/>
    <w:rsid w:val="002D52BB"/>
    <w:rsid w:val="002D7212"/>
    <w:rsid w:val="002E5703"/>
    <w:rsid w:val="002F233A"/>
    <w:rsid w:val="002F25D6"/>
    <w:rsid w:val="00302C0D"/>
    <w:rsid w:val="00304181"/>
    <w:rsid w:val="0030673A"/>
    <w:rsid w:val="00307220"/>
    <w:rsid w:val="003233AB"/>
    <w:rsid w:val="00324084"/>
    <w:rsid w:val="003302FB"/>
    <w:rsid w:val="0033412B"/>
    <w:rsid w:val="00334DDE"/>
    <w:rsid w:val="00340FD9"/>
    <w:rsid w:val="003541AA"/>
    <w:rsid w:val="0035549B"/>
    <w:rsid w:val="00356CAE"/>
    <w:rsid w:val="00357837"/>
    <w:rsid w:val="00366077"/>
    <w:rsid w:val="00381AA6"/>
    <w:rsid w:val="00382101"/>
    <w:rsid w:val="003836EA"/>
    <w:rsid w:val="00385505"/>
    <w:rsid w:val="00387CF5"/>
    <w:rsid w:val="003904B5"/>
    <w:rsid w:val="00390DE6"/>
    <w:rsid w:val="003940D0"/>
    <w:rsid w:val="0039411D"/>
    <w:rsid w:val="003A157C"/>
    <w:rsid w:val="003A30EB"/>
    <w:rsid w:val="003A51CD"/>
    <w:rsid w:val="003B4939"/>
    <w:rsid w:val="003B5184"/>
    <w:rsid w:val="003B60B0"/>
    <w:rsid w:val="003B70B8"/>
    <w:rsid w:val="003B725A"/>
    <w:rsid w:val="003C112B"/>
    <w:rsid w:val="003C196F"/>
    <w:rsid w:val="003C2625"/>
    <w:rsid w:val="003C30B3"/>
    <w:rsid w:val="003C33B9"/>
    <w:rsid w:val="003C4AA7"/>
    <w:rsid w:val="003C4DED"/>
    <w:rsid w:val="003C5E75"/>
    <w:rsid w:val="003C6C03"/>
    <w:rsid w:val="003D100F"/>
    <w:rsid w:val="003D254F"/>
    <w:rsid w:val="003D487A"/>
    <w:rsid w:val="003E2A4D"/>
    <w:rsid w:val="003F63BA"/>
    <w:rsid w:val="003F69ED"/>
    <w:rsid w:val="003F6E2A"/>
    <w:rsid w:val="003F7420"/>
    <w:rsid w:val="00400E71"/>
    <w:rsid w:val="0040442B"/>
    <w:rsid w:val="00411854"/>
    <w:rsid w:val="00412250"/>
    <w:rsid w:val="00412F72"/>
    <w:rsid w:val="00416FC1"/>
    <w:rsid w:val="00417165"/>
    <w:rsid w:val="00421BE2"/>
    <w:rsid w:val="004243E1"/>
    <w:rsid w:val="00427775"/>
    <w:rsid w:val="00436641"/>
    <w:rsid w:val="004420BA"/>
    <w:rsid w:val="00447ED7"/>
    <w:rsid w:val="00453EC9"/>
    <w:rsid w:val="0045767F"/>
    <w:rsid w:val="00460A64"/>
    <w:rsid w:val="00465B72"/>
    <w:rsid w:val="00472C8F"/>
    <w:rsid w:val="004735A4"/>
    <w:rsid w:val="00475317"/>
    <w:rsid w:val="00476372"/>
    <w:rsid w:val="00480AC6"/>
    <w:rsid w:val="004824FD"/>
    <w:rsid w:val="00484963"/>
    <w:rsid w:val="004901FE"/>
    <w:rsid w:val="00496B78"/>
    <w:rsid w:val="00497BA5"/>
    <w:rsid w:val="004B54E9"/>
    <w:rsid w:val="004B626B"/>
    <w:rsid w:val="004B6C0A"/>
    <w:rsid w:val="004B700A"/>
    <w:rsid w:val="004C7514"/>
    <w:rsid w:val="004D5777"/>
    <w:rsid w:val="004D7B62"/>
    <w:rsid w:val="004E084C"/>
    <w:rsid w:val="004E1318"/>
    <w:rsid w:val="004F67E6"/>
    <w:rsid w:val="00504ADD"/>
    <w:rsid w:val="00507487"/>
    <w:rsid w:val="00515247"/>
    <w:rsid w:val="00515DFF"/>
    <w:rsid w:val="00521189"/>
    <w:rsid w:val="005233CC"/>
    <w:rsid w:val="0052699C"/>
    <w:rsid w:val="0053200F"/>
    <w:rsid w:val="0053250A"/>
    <w:rsid w:val="0054147B"/>
    <w:rsid w:val="00543C90"/>
    <w:rsid w:val="00544B54"/>
    <w:rsid w:val="00545732"/>
    <w:rsid w:val="00545BA4"/>
    <w:rsid w:val="005470A0"/>
    <w:rsid w:val="0055463F"/>
    <w:rsid w:val="00554950"/>
    <w:rsid w:val="005549C2"/>
    <w:rsid w:val="00556A2B"/>
    <w:rsid w:val="00557519"/>
    <w:rsid w:val="0056212F"/>
    <w:rsid w:val="005630AA"/>
    <w:rsid w:val="00565C12"/>
    <w:rsid w:val="005710A0"/>
    <w:rsid w:val="005761A4"/>
    <w:rsid w:val="00576307"/>
    <w:rsid w:val="005847EB"/>
    <w:rsid w:val="00584A75"/>
    <w:rsid w:val="005906B1"/>
    <w:rsid w:val="00594A95"/>
    <w:rsid w:val="00595056"/>
    <w:rsid w:val="00597F7A"/>
    <w:rsid w:val="005B1F8E"/>
    <w:rsid w:val="005B426C"/>
    <w:rsid w:val="005B56CE"/>
    <w:rsid w:val="005B6267"/>
    <w:rsid w:val="005B6D6C"/>
    <w:rsid w:val="005C0D9E"/>
    <w:rsid w:val="005C10CC"/>
    <w:rsid w:val="005C1C0E"/>
    <w:rsid w:val="005C539B"/>
    <w:rsid w:val="005D2772"/>
    <w:rsid w:val="005D536D"/>
    <w:rsid w:val="005D7ACF"/>
    <w:rsid w:val="005D7FC3"/>
    <w:rsid w:val="005F2B44"/>
    <w:rsid w:val="005F3028"/>
    <w:rsid w:val="005F3583"/>
    <w:rsid w:val="005F3E68"/>
    <w:rsid w:val="005F47F3"/>
    <w:rsid w:val="00601F9B"/>
    <w:rsid w:val="006139EB"/>
    <w:rsid w:val="00614FD6"/>
    <w:rsid w:val="00620BE6"/>
    <w:rsid w:val="00620C43"/>
    <w:rsid w:val="00626255"/>
    <w:rsid w:val="00627192"/>
    <w:rsid w:val="0063288E"/>
    <w:rsid w:val="00634E46"/>
    <w:rsid w:val="00642E97"/>
    <w:rsid w:val="006442C7"/>
    <w:rsid w:val="00651DA3"/>
    <w:rsid w:val="00651E9C"/>
    <w:rsid w:val="006548C2"/>
    <w:rsid w:val="00662C78"/>
    <w:rsid w:val="00663F78"/>
    <w:rsid w:val="006670B9"/>
    <w:rsid w:val="00681443"/>
    <w:rsid w:val="0068418A"/>
    <w:rsid w:val="00693656"/>
    <w:rsid w:val="0069543C"/>
    <w:rsid w:val="00697942"/>
    <w:rsid w:val="006A2693"/>
    <w:rsid w:val="006A6DA9"/>
    <w:rsid w:val="006A7070"/>
    <w:rsid w:val="006C000A"/>
    <w:rsid w:val="006C6BA1"/>
    <w:rsid w:val="006D38D7"/>
    <w:rsid w:val="006E05BE"/>
    <w:rsid w:val="006E17CF"/>
    <w:rsid w:val="006E233B"/>
    <w:rsid w:val="006F0120"/>
    <w:rsid w:val="006F22F9"/>
    <w:rsid w:val="006F7D5B"/>
    <w:rsid w:val="00706084"/>
    <w:rsid w:val="00706C93"/>
    <w:rsid w:val="00712C12"/>
    <w:rsid w:val="0071308F"/>
    <w:rsid w:val="007163D1"/>
    <w:rsid w:val="00716F5F"/>
    <w:rsid w:val="00717202"/>
    <w:rsid w:val="00720A5C"/>
    <w:rsid w:val="007235FA"/>
    <w:rsid w:val="00733AD6"/>
    <w:rsid w:val="00740BA4"/>
    <w:rsid w:val="00743804"/>
    <w:rsid w:val="00744D33"/>
    <w:rsid w:val="00750065"/>
    <w:rsid w:val="00750FB1"/>
    <w:rsid w:val="00755D0A"/>
    <w:rsid w:val="007578F0"/>
    <w:rsid w:val="00766B32"/>
    <w:rsid w:val="00766B39"/>
    <w:rsid w:val="00771363"/>
    <w:rsid w:val="007736B7"/>
    <w:rsid w:val="007759D4"/>
    <w:rsid w:val="00776ABA"/>
    <w:rsid w:val="00780971"/>
    <w:rsid w:val="00780B40"/>
    <w:rsid w:val="007811AA"/>
    <w:rsid w:val="00781B65"/>
    <w:rsid w:val="00785B83"/>
    <w:rsid w:val="007865D0"/>
    <w:rsid w:val="0079074E"/>
    <w:rsid w:val="00792D0C"/>
    <w:rsid w:val="0079490F"/>
    <w:rsid w:val="007952CA"/>
    <w:rsid w:val="00796BBE"/>
    <w:rsid w:val="007A07A5"/>
    <w:rsid w:val="007A18C7"/>
    <w:rsid w:val="007A408F"/>
    <w:rsid w:val="007A4425"/>
    <w:rsid w:val="007A4927"/>
    <w:rsid w:val="007A7194"/>
    <w:rsid w:val="007B5BA0"/>
    <w:rsid w:val="007C0770"/>
    <w:rsid w:val="007C4A6A"/>
    <w:rsid w:val="007C7896"/>
    <w:rsid w:val="007D1D87"/>
    <w:rsid w:val="007D36BA"/>
    <w:rsid w:val="007D425E"/>
    <w:rsid w:val="007D5D1B"/>
    <w:rsid w:val="007D631B"/>
    <w:rsid w:val="007D7EE0"/>
    <w:rsid w:val="007E1585"/>
    <w:rsid w:val="007F0DAA"/>
    <w:rsid w:val="007F5DC7"/>
    <w:rsid w:val="007F617C"/>
    <w:rsid w:val="007F6434"/>
    <w:rsid w:val="007F73DD"/>
    <w:rsid w:val="00801003"/>
    <w:rsid w:val="00801233"/>
    <w:rsid w:val="00801B67"/>
    <w:rsid w:val="0080490A"/>
    <w:rsid w:val="00805E9F"/>
    <w:rsid w:val="008142E5"/>
    <w:rsid w:val="008153A9"/>
    <w:rsid w:val="00821319"/>
    <w:rsid w:val="008218BB"/>
    <w:rsid w:val="00824A9E"/>
    <w:rsid w:val="00833C20"/>
    <w:rsid w:val="00836BF6"/>
    <w:rsid w:val="008449C1"/>
    <w:rsid w:val="00844FE9"/>
    <w:rsid w:val="00853EA4"/>
    <w:rsid w:val="0085570A"/>
    <w:rsid w:val="00864B06"/>
    <w:rsid w:val="00864D90"/>
    <w:rsid w:val="00865FDC"/>
    <w:rsid w:val="008665C7"/>
    <w:rsid w:val="008675B4"/>
    <w:rsid w:val="0087532A"/>
    <w:rsid w:val="008849EB"/>
    <w:rsid w:val="008864E6"/>
    <w:rsid w:val="00893F0B"/>
    <w:rsid w:val="00894351"/>
    <w:rsid w:val="00895115"/>
    <w:rsid w:val="00896716"/>
    <w:rsid w:val="008A22C2"/>
    <w:rsid w:val="008A3B89"/>
    <w:rsid w:val="008A3C31"/>
    <w:rsid w:val="008B02C5"/>
    <w:rsid w:val="008B0552"/>
    <w:rsid w:val="008B0AFF"/>
    <w:rsid w:val="008B15E0"/>
    <w:rsid w:val="008B2158"/>
    <w:rsid w:val="008B506D"/>
    <w:rsid w:val="008B551E"/>
    <w:rsid w:val="008D496E"/>
    <w:rsid w:val="008D5A7A"/>
    <w:rsid w:val="008E1D87"/>
    <w:rsid w:val="008E36DD"/>
    <w:rsid w:val="008F003A"/>
    <w:rsid w:val="00901808"/>
    <w:rsid w:val="00906C01"/>
    <w:rsid w:val="009136C7"/>
    <w:rsid w:val="009138F4"/>
    <w:rsid w:val="009139C3"/>
    <w:rsid w:val="009257C3"/>
    <w:rsid w:val="00927475"/>
    <w:rsid w:val="009311B0"/>
    <w:rsid w:val="009449C6"/>
    <w:rsid w:val="009449E4"/>
    <w:rsid w:val="00945398"/>
    <w:rsid w:val="009468C5"/>
    <w:rsid w:val="00951555"/>
    <w:rsid w:val="0095330F"/>
    <w:rsid w:val="00957B37"/>
    <w:rsid w:val="00961FBF"/>
    <w:rsid w:val="00966F6E"/>
    <w:rsid w:val="009679B9"/>
    <w:rsid w:val="00970DCC"/>
    <w:rsid w:val="009819D0"/>
    <w:rsid w:val="00981DA5"/>
    <w:rsid w:val="00983569"/>
    <w:rsid w:val="009914BC"/>
    <w:rsid w:val="009951D9"/>
    <w:rsid w:val="00996F8F"/>
    <w:rsid w:val="009A4EC2"/>
    <w:rsid w:val="009B1551"/>
    <w:rsid w:val="009B52D3"/>
    <w:rsid w:val="009B62A6"/>
    <w:rsid w:val="009C0B2F"/>
    <w:rsid w:val="009C27E0"/>
    <w:rsid w:val="009C3CC7"/>
    <w:rsid w:val="009C6F65"/>
    <w:rsid w:val="009C7EF7"/>
    <w:rsid w:val="009D20ED"/>
    <w:rsid w:val="009D3EA4"/>
    <w:rsid w:val="009D4931"/>
    <w:rsid w:val="009E1C7B"/>
    <w:rsid w:val="009F0F42"/>
    <w:rsid w:val="00A06FF4"/>
    <w:rsid w:val="00A115FF"/>
    <w:rsid w:val="00A12245"/>
    <w:rsid w:val="00A135EC"/>
    <w:rsid w:val="00A13D75"/>
    <w:rsid w:val="00A153C2"/>
    <w:rsid w:val="00A17E8E"/>
    <w:rsid w:val="00A25DBE"/>
    <w:rsid w:val="00A36169"/>
    <w:rsid w:val="00A4411B"/>
    <w:rsid w:val="00A479F1"/>
    <w:rsid w:val="00A54686"/>
    <w:rsid w:val="00A54E65"/>
    <w:rsid w:val="00A5540B"/>
    <w:rsid w:val="00A56331"/>
    <w:rsid w:val="00A565A0"/>
    <w:rsid w:val="00A57292"/>
    <w:rsid w:val="00A66331"/>
    <w:rsid w:val="00A66E8A"/>
    <w:rsid w:val="00A717E1"/>
    <w:rsid w:val="00A72511"/>
    <w:rsid w:val="00A7713D"/>
    <w:rsid w:val="00A827BD"/>
    <w:rsid w:val="00A86091"/>
    <w:rsid w:val="00A875C3"/>
    <w:rsid w:val="00A8793F"/>
    <w:rsid w:val="00AA1991"/>
    <w:rsid w:val="00AA1B36"/>
    <w:rsid w:val="00AA27BF"/>
    <w:rsid w:val="00AA6C70"/>
    <w:rsid w:val="00AA7F9B"/>
    <w:rsid w:val="00AB1F79"/>
    <w:rsid w:val="00AB717C"/>
    <w:rsid w:val="00AC2B2B"/>
    <w:rsid w:val="00AC6A16"/>
    <w:rsid w:val="00AD0221"/>
    <w:rsid w:val="00AD3BAA"/>
    <w:rsid w:val="00AD618B"/>
    <w:rsid w:val="00AD7ADE"/>
    <w:rsid w:val="00AE5E44"/>
    <w:rsid w:val="00AF12C8"/>
    <w:rsid w:val="00AF2602"/>
    <w:rsid w:val="00AF4998"/>
    <w:rsid w:val="00B0117A"/>
    <w:rsid w:val="00B01401"/>
    <w:rsid w:val="00B044BD"/>
    <w:rsid w:val="00B067E9"/>
    <w:rsid w:val="00B11D97"/>
    <w:rsid w:val="00B124ED"/>
    <w:rsid w:val="00B234C6"/>
    <w:rsid w:val="00B25E43"/>
    <w:rsid w:val="00B26A01"/>
    <w:rsid w:val="00B27406"/>
    <w:rsid w:val="00B305A1"/>
    <w:rsid w:val="00B3232F"/>
    <w:rsid w:val="00B40770"/>
    <w:rsid w:val="00B41127"/>
    <w:rsid w:val="00B42617"/>
    <w:rsid w:val="00B5495F"/>
    <w:rsid w:val="00B702F5"/>
    <w:rsid w:val="00B71DD0"/>
    <w:rsid w:val="00B80BBB"/>
    <w:rsid w:val="00B9445B"/>
    <w:rsid w:val="00B9560F"/>
    <w:rsid w:val="00B97F91"/>
    <w:rsid w:val="00BA0C66"/>
    <w:rsid w:val="00BA0DBE"/>
    <w:rsid w:val="00BA408F"/>
    <w:rsid w:val="00BA5EC5"/>
    <w:rsid w:val="00BB236A"/>
    <w:rsid w:val="00BC036D"/>
    <w:rsid w:val="00BC038F"/>
    <w:rsid w:val="00BC0866"/>
    <w:rsid w:val="00BC2272"/>
    <w:rsid w:val="00BC27DA"/>
    <w:rsid w:val="00BC404F"/>
    <w:rsid w:val="00BC7B0E"/>
    <w:rsid w:val="00BD08BD"/>
    <w:rsid w:val="00BD176F"/>
    <w:rsid w:val="00BD2AEA"/>
    <w:rsid w:val="00BD76DB"/>
    <w:rsid w:val="00BD786E"/>
    <w:rsid w:val="00BE0177"/>
    <w:rsid w:val="00BE1574"/>
    <w:rsid w:val="00BE3C58"/>
    <w:rsid w:val="00BE754C"/>
    <w:rsid w:val="00BF19B7"/>
    <w:rsid w:val="00BF297D"/>
    <w:rsid w:val="00BF2A6E"/>
    <w:rsid w:val="00BF3CBA"/>
    <w:rsid w:val="00BF528D"/>
    <w:rsid w:val="00BF7D6E"/>
    <w:rsid w:val="00C03020"/>
    <w:rsid w:val="00C04E11"/>
    <w:rsid w:val="00C16239"/>
    <w:rsid w:val="00C20166"/>
    <w:rsid w:val="00C20F76"/>
    <w:rsid w:val="00C21319"/>
    <w:rsid w:val="00C22B98"/>
    <w:rsid w:val="00C23A4D"/>
    <w:rsid w:val="00C23C4F"/>
    <w:rsid w:val="00C23F70"/>
    <w:rsid w:val="00C30D6F"/>
    <w:rsid w:val="00C34A7B"/>
    <w:rsid w:val="00C417C9"/>
    <w:rsid w:val="00C42452"/>
    <w:rsid w:val="00C4596A"/>
    <w:rsid w:val="00C51B21"/>
    <w:rsid w:val="00C534CA"/>
    <w:rsid w:val="00C565B3"/>
    <w:rsid w:val="00C63A25"/>
    <w:rsid w:val="00C641E9"/>
    <w:rsid w:val="00C752B5"/>
    <w:rsid w:val="00C82295"/>
    <w:rsid w:val="00C83578"/>
    <w:rsid w:val="00C87806"/>
    <w:rsid w:val="00C956D2"/>
    <w:rsid w:val="00C97AA8"/>
    <w:rsid w:val="00CB0A9B"/>
    <w:rsid w:val="00CB6E22"/>
    <w:rsid w:val="00CC0C8E"/>
    <w:rsid w:val="00CC6A9C"/>
    <w:rsid w:val="00CD1475"/>
    <w:rsid w:val="00CD437A"/>
    <w:rsid w:val="00CE0220"/>
    <w:rsid w:val="00CE47FD"/>
    <w:rsid w:val="00CE6453"/>
    <w:rsid w:val="00CE683E"/>
    <w:rsid w:val="00CE7169"/>
    <w:rsid w:val="00CF0C16"/>
    <w:rsid w:val="00CF1917"/>
    <w:rsid w:val="00CF1A4F"/>
    <w:rsid w:val="00CF224B"/>
    <w:rsid w:val="00CF31CA"/>
    <w:rsid w:val="00CF5C55"/>
    <w:rsid w:val="00CF7675"/>
    <w:rsid w:val="00D12787"/>
    <w:rsid w:val="00D14E67"/>
    <w:rsid w:val="00D14F96"/>
    <w:rsid w:val="00D16D89"/>
    <w:rsid w:val="00D20283"/>
    <w:rsid w:val="00D21D69"/>
    <w:rsid w:val="00D2764B"/>
    <w:rsid w:val="00D30D54"/>
    <w:rsid w:val="00D3208D"/>
    <w:rsid w:val="00D43EAB"/>
    <w:rsid w:val="00D44284"/>
    <w:rsid w:val="00D468AC"/>
    <w:rsid w:val="00D5160F"/>
    <w:rsid w:val="00D5179D"/>
    <w:rsid w:val="00D53100"/>
    <w:rsid w:val="00D63719"/>
    <w:rsid w:val="00D64FF4"/>
    <w:rsid w:val="00D76492"/>
    <w:rsid w:val="00D77302"/>
    <w:rsid w:val="00D8138F"/>
    <w:rsid w:val="00D84F00"/>
    <w:rsid w:val="00D9276E"/>
    <w:rsid w:val="00DA016D"/>
    <w:rsid w:val="00DA2DEB"/>
    <w:rsid w:val="00DA524B"/>
    <w:rsid w:val="00DA5A8F"/>
    <w:rsid w:val="00DB0810"/>
    <w:rsid w:val="00DB4997"/>
    <w:rsid w:val="00DC2545"/>
    <w:rsid w:val="00DC34C2"/>
    <w:rsid w:val="00DD26B1"/>
    <w:rsid w:val="00DE2663"/>
    <w:rsid w:val="00DE2DD6"/>
    <w:rsid w:val="00DE3813"/>
    <w:rsid w:val="00DE67F8"/>
    <w:rsid w:val="00DF07D7"/>
    <w:rsid w:val="00DF6BD4"/>
    <w:rsid w:val="00E062D4"/>
    <w:rsid w:val="00E13255"/>
    <w:rsid w:val="00E15DAC"/>
    <w:rsid w:val="00E25838"/>
    <w:rsid w:val="00E3370E"/>
    <w:rsid w:val="00E33A90"/>
    <w:rsid w:val="00E35CF9"/>
    <w:rsid w:val="00E36CE6"/>
    <w:rsid w:val="00E3749A"/>
    <w:rsid w:val="00E4117F"/>
    <w:rsid w:val="00E41C12"/>
    <w:rsid w:val="00E433AE"/>
    <w:rsid w:val="00E43DE3"/>
    <w:rsid w:val="00E46DC1"/>
    <w:rsid w:val="00E51142"/>
    <w:rsid w:val="00E5123A"/>
    <w:rsid w:val="00E567E6"/>
    <w:rsid w:val="00E642C4"/>
    <w:rsid w:val="00E6761B"/>
    <w:rsid w:val="00E70740"/>
    <w:rsid w:val="00E712C5"/>
    <w:rsid w:val="00E758B6"/>
    <w:rsid w:val="00E82890"/>
    <w:rsid w:val="00E91071"/>
    <w:rsid w:val="00E95E31"/>
    <w:rsid w:val="00EA1109"/>
    <w:rsid w:val="00EA14CD"/>
    <w:rsid w:val="00EA2CE9"/>
    <w:rsid w:val="00EA2E80"/>
    <w:rsid w:val="00EA302B"/>
    <w:rsid w:val="00EA39DA"/>
    <w:rsid w:val="00EA6843"/>
    <w:rsid w:val="00EA7B94"/>
    <w:rsid w:val="00EB24AB"/>
    <w:rsid w:val="00EB65AC"/>
    <w:rsid w:val="00EB692D"/>
    <w:rsid w:val="00EC420D"/>
    <w:rsid w:val="00EC538C"/>
    <w:rsid w:val="00ED0EF7"/>
    <w:rsid w:val="00ED3A74"/>
    <w:rsid w:val="00EE3823"/>
    <w:rsid w:val="00EE50E2"/>
    <w:rsid w:val="00EE53B2"/>
    <w:rsid w:val="00EF32BE"/>
    <w:rsid w:val="00EF48C7"/>
    <w:rsid w:val="00EF50E7"/>
    <w:rsid w:val="00F0285B"/>
    <w:rsid w:val="00F04436"/>
    <w:rsid w:val="00F067FC"/>
    <w:rsid w:val="00F1110E"/>
    <w:rsid w:val="00F1186B"/>
    <w:rsid w:val="00F1749A"/>
    <w:rsid w:val="00F2071A"/>
    <w:rsid w:val="00F20C87"/>
    <w:rsid w:val="00F27AF6"/>
    <w:rsid w:val="00F33736"/>
    <w:rsid w:val="00F33B4A"/>
    <w:rsid w:val="00F3412F"/>
    <w:rsid w:val="00F41F74"/>
    <w:rsid w:val="00F52866"/>
    <w:rsid w:val="00F53CFF"/>
    <w:rsid w:val="00F60D6D"/>
    <w:rsid w:val="00F61078"/>
    <w:rsid w:val="00F61C0E"/>
    <w:rsid w:val="00F64817"/>
    <w:rsid w:val="00F76C20"/>
    <w:rsid w:val="00F81E30"/>
    <w:rsid w:val="00F84E2C"/>
    <w:rsid w:val="00F854D8"/>
    <w:rsid w:val="00F86A99"/>
    <w:rsid w:val="00F8784A"/>
    <w:rsid w:val="00F91671"/>
    <w:rsid w:val="00F94173"/>
    <w:rsid w:val="00F96746"/>
    <w:rsid w:val="00FA2CAF"/>
    <w:rsid w:val="00FB08A4"/>
    <w:rsid w:val="00FB2586"/>
    <w:rsid w:val="00FB646F"/>
    <w:rsid w:val="00FB75B1"/>
    <w:rsid w:val="00FB78E6"/>
    <w:rsid w:val="00FC060C"/>
    <w:rsid w:val="00FC45AA"/>
    <w:rsid w:val="00FD0D5A"/>
    <w:rsid w:val="00FD6406"/>
    <w:rsid w:val="00FD7F41"/>
    <w:rsid w:val="00FE0CBB"/>
    <w:rsid w:val="00FE7D7F"/>
    <w:rsid w:val="00FF6A6E"/>
    <w:rsid w:val="01BA2CCC"/>
    <w:rsid w:val="0C232E53"/>
    <w:rsid w:val="0F697C50"/>
    <w:rsid w:val="13B654A0"/>
    <w:rsid w:val="344A657B"/>
    <w:rsid w:val="3A233E04"/>
    <w:rsid w:val="49DE4FEC"/>
    <w:rsid w:val="542C7B18"/>
    <w:rsid w:val="61934F0B"/>
    <w:rsid w:val="6BCD62ED"/>
    <w:rsid w:val="77792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line="360" w:lineRule="auto"/>
      <w:ind w:firstLine="200" w:firstLineChars="200"/>
    </w:pPr>
    <w:rPr>
      <w:rFonts w:ascii="宋体" w:hAnsi="宋体" w:eastAsia="仿宋" w:cs="宋体"/>
      <w:sz w:val="32"/>
      <w:szCs w:val="22"/>
      <w:lang w:val="en-US" w:eastAsia="en-US" w:bidi="ar-SA"/>
    </w:rPr>
  </w:style>
  <w:style w:type="paragraph" w:styleId="2">
    <w:name w:val="heading 1"/>
    <w:basedOn w:val="1"/>
    <w:next w:val="1"/>
    <w:link w:val="37"/>
    <w:unhideWhenUsed/>
    <w:qFormat/>
    <w:uiPriority w:val="9"/>
    <w:pPr>
      <w:ind w:left="1163"/>
      <w:outlineLvl w:val="0"/>
    </w:pPr>
    <w:rPr>
      <w:rFonts w:hint="eastAsia" w:ascii="方正小标宋简体" w:eastAsia="方正小标宋简体" w:cs="方正小标宋简体"/>
      <w:b/>
      <w:sz w:val="44"/>
      <w:szCs w:val="44"/>
    </w:rPr>
  </w:style>
  <w:style w:type="paragraph" w:styleId="3">
    <w:name w:val="heading 2"/>
    <w:basedOn w:val="1"/>
    <w:next w:val="1"/>
    <w:link w:val="30"/>
    <w:semiHidden/>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8"/>
    <w:semiHidden/>
    <w:unhideWhenUsed/>
    <w:qFormat/>
    <w:uiPriority w:val="99"/>
  </w:style>
  <w:style w:type="paragraph" w:styleId="5">
    <w:name w:val="Body Text"/>
    <w:basedOn w:val="1"/>
    <w:link w:val="18"/>
    <w:autoRedefine/>
    <w:qFormat/>
    <w:uiPriority w:val="1"/>
    <w:rPr>
      <w:sz w:val="30"/>
      <w:szCs w:val="30"/>
    </w:rPr>
  </w:style>
  <w:style w:type="paragraph" w:styleId="6">
    <w:name w:val="footer"/>
    <w:basedOn w:val="1"/>
    <w:link w:val="17"/>
    <w:autoRedefine/>
    <w:unhideWhenUsed/>
    <w:qFormat/>
    <w:uiPriority w:val="99"/>
    <w:pPr>
      <w:tabs>
        <w:tab w:val="center" w:pos="4153"/>
        <w:tab w:val="right" w:pos="8306"/>
      </w:tabs>
      <w:snapToGrid w:val="0"/>
    </w:pPr>
    <w:rPr>
      <w:sz w:val="18"/>
      <w:szCs w:val="18"/>
    </w:rPr>
  </w:style>
  <w:style w:type="paragraph" w:styleId="7">
    <w:name w:val="header"/>
    <w:basedOn w:val="1"/>
    <w:link w:val="1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29"/>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rPr>
      <w:rFonts w:ascii="Times New Roman" w:hAnsi="Times New Roman" w:eastAsia="宋体" w:cs="Times New Roman"/>
      <w:sz w:val="28"/>
      <w:szCs w:val="28"/>
    </w:rPr>
  </w:style>
  <w:style w:type="character" w:styleId="13">
    <w:name w:val="FollowedHyperlink"/>
    <w:basedOn w:val="11"/>
    <w:semiHidden/>
    <w:unhideWhenUsed/>
    <w:qFormat/>
    <w:uiPriority w:val="99"/>
    <w:rPr>
      <w:color w:val="954F72"/>
      <w:u w:val="single"/>
    </w:rPr>
  </w:style>
  <w:style w:type="character" w:styleId="14">
    <w:name w:val="Hyperlink"/>
    <w:basedOn w:val="11"/>
    <w:semiHidden/>
    <w:unhideWhenUsed/>
    <w:qFormat/>
    <w:uiPriority w:val="99"/>
    <w:rPr>
      <w:color w:val="0563C1"/>
      <w:u w:val="single"/>
    </w:rPr>
  </w:style>
  <w:style w:type="character" w:styleId="15">
    <w:name w:val="annotation reference"/>
    <w:basedOn w:val="11"/>
    <w:semiHidden/>
    <w:unhideWhenUsed/>
    <w:qFormat/>
    <w:uiPriority w:val="99"/>
    <w:rPr>
      <w:sz w:val="21"/>
      <w:szCs w:val="21"/>
    </w:rPr>
  </w:style>
  <w:style w:type="character" w:customStyle="1" w:styleId="16">
    <w:name w:val="页眉 字符"/>
    <w:basedOn w:val="11"/>
    <w:link w:val="7"/>
    <w:qFormat/>
    <w:uiPriority w:val="99"/>
    <w:rPr>
      <w:sz w:val="18"/>
      <w:szCs w:val="18"/>
    </w:rPr>
  </w:style>
  <w:style w:type="character" w:customStyle="1" w:styleId="17">
    <w:name w:val="页脚 字符"/>
    <w:basedOn w:val="11"/>
    <w:link w:val="6"/>
    <w:qFormat/>
    <w:uiPriority w:val="99"/>
    <w:rPr>
      <w:sz w:val="18"/>
      <w:szCs w:val="18"/>
    </w:rPr>
  </w:style>
  <w:style w:type="character" w:customStyle="1" w:styleId="18">
    <w:name w:val="正文文本 字符"/>
    <w:basedOn w:val="11"/>
    <w:link w:val="5"/>
    <w:autoRedefine/>
    <w:qFormat/>
    <w:uiPriority w:val="1"/>
    <w:rPr>
      <w:rFonts w:ascii="宋体" w:hAnsi="宋体" w:eastAsia="宋体" w:cs="宋体"/>
      <w:kern w:val="0"/>
      <w:sz w:val="30"/>
      <w:szCs w:val="30"/>
      <w:lang w:eastAsia="en-US"/>
    </w:rPr>
  </w:style>
  <w:style w:type="paragraph" w:styleId="19">
    <w:name w:val="List Paragraph"/>
    <w:basedOn w:val="1"/>
    <w:autoRedefine/>
    <w:qFormat/>
    <w:uiPriority w:val="1"/>
    <w:pPr>
      <w:ind w:left="220" w:firstLine="600"/>
    </w:pPr>
  </w:style>
  <w:style w:type="paragraph" w:customStyle="1" w:styleId="20">
    <w:name w:val="Table Paragraph"/>
    <w:basedOn w:val="1"/>
    <w:qFormat/>
    <w:uiPriority w:val="1"/>
    <w:pPr>
      <w:spacing w:line="240" w:lineRule="auto"/>
      <w:ind w:firstLine="0" w:firstLineChars="0"/>
    </w:pPr>
    <w:rPr>
      <w:rFonts w:eastAsia="宋体"/>
      <w:sz w:val="22"/>
    </w:rPr>
  </w:style>
  <w:style w:type="paragraph" w:customStyle="1" w:styleId="21">
    <w:name w:val="msonormal"/>
    <w:basedOn w:val="1"/>
    <w:qFormat/>
    <w:uiPriority w:val="0"/>
    <w:pPr>
      <w:widowControl/>
      <w:autoSpaceDE/>
      <w:autoSpaceDN/>
      <w:spacing w:before="100" w:beforeAutospacing="1" w:after="100" w:afterAutospacing="1" w:line="240" w:lineRule="auto"/>
      <w:ind w:firstLine="0" w:firstLineChars="0"/>
    </w:pPr>
    <w:rPr>
      <w:rFonts w:eastAsia="宋体"/>
      <w:sz w:val="24"/>
      <w:szCs w:val="24"/>
      <w:lang w:eastAsia="zh-CN"/>
    </w:rPr>
  </w:style>
  <w:style w:type="paragraph" w:customStyle="1" w:styleId="22">
    <w:name w:val="font5"/>
    <w:basedOn w:val="1"/>
    <w:qFormat/>
    <w:uiPriority w:val="0"/>
    <w:pPr>
      <w:widowControl/>
      <w:autoSpaceDE/>
      <w:autoSpaceDN/>
      <w:spacing w:before="100" w:beforeAutospacing="1" w:after="100" w:afterAutospacing="1" w:line="240" w:lineRule="auto"/>
      <w:ind w:firstLine="0" w:firstLineChars="0"/>
    </w:pPr>
    <w:rPr>
      <w:rFonts w:ascii="等线" w:hAnsi="等线" w:eastAsia="等线"/>
      <w:sz w:val="18"/>
      <w:szCs w:val="18"/>
      <w:lang w:eastAsia="zh-CN"/>
    </w:rPr>
  </w:style>
  <w:style w:type="paragraph" w:customStyle="1" w:styleId="23">
    <w:name w:val="xl65"/>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jc w:val="center"/>
    </w:pPr>
    <w:rPr>
      <w:rFonts w:eastAsia="宋体"/>
      <w:sz w:val="18"/>
      <w:szCs w:val="18"/>
      <w:lang w:eastAsia="zh-CN"/>
    </w:rPr>
  </w:style>
  <w:style w:type="paragraph" w:customStyle="1" w:styleId="24">
    <w:name w:val="xl6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jc w:val="center"/>
    </w:pPr>
    <w:rPr>
      <w:rFonts w:eastAsia="宋体"/>
      <w:sz w:val="18"/>
      <w:szCs w:val="18"/>
      <w:lang w:eastAsia="zh-CN"/>
    </w:rPr>
  </w:style>
  <w:style w:type="paragraph" w:customStyle="1" w:styleId="25">
    <w:name w:val="xl67"/>
    <w:basedOn w:val="1"/>
    <w:autoRedefine/>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line="240" w:lineRule="auto"/>
      <w:ind w:firstLine="0" w:firstLineChars="0"/>
    </w:pPr>
    <w:rPr>
      <w:rFonts w:eastAsia="宋体"/>
      <w:sz w:val="18"/>
      <w:szCs w:val="18"/>
      <w:lang w:eastAsia="zh-CN"/>
    </w:rPr>
  </w:style>
  <w:style w:type="paragraph" w:customStyle="1" w:styleId="26">
    <w:name w:val="样式1"/>
    <w:basedOn w:val="1"/>
    <w:link w:val="27"/>
    <w:qFormat/>
    <w:uiPriority w:val="1"/>
    <w:pPr>
      <w:widowControl/>
      <w:autoSpaceDE/>
      <w:autoSpaceDN/>
      <w:spacing w:line="240" w:lineRule="auto"/>
    </w:pPr>
    <w:rPr>
      <w:rFonts w:ascii="Times New Roman" w:hAnsi="Times New Roman" w:eastAsia="仿宋_GB2312"/>
      <w:color w:val="000000"/>
      <w:szCs w:val="21"/>
      <w:lang w:eastAsia="zh-CN"/>
    </w:rPr>
  </w:style>
  <w:style w:type="character" w:customStyle="1" w:styleId="27">
    <w:name w:val="样式1 字符"/>
    <w:basedOn w:val="11"/>
    <w:link w:val="26"/>
    <w:qFormat/>
    <w:uiPriority w:val="1"/>
    <w:rPr>
      <w:rFonts w:ascii="Times New Roman" w:hAnsi="Times New Roman" w:eastAsia="仿宋_GB2312" w:cs="宋体"/>
      <w:color w:val="000000"/>
      <w:kern w:val="0"/>
      <w:sz w:val="32"/>
      <w:szCs w:val="21"/>
    </w:rPr>
  </w:style>
  <w:style w:type="character" w:customStyle="1" w:styleId="28">
    <w:name w:val="批注文字 字符"/>
    <w:basedOn w:val="11"/>
    <w:link w:val="4"/>
    <w:semiHidden/>
    <w:qFormat/>
    <w:uiPriority w:val="99"/>
    <w:rPr>
      <w:rFonts w:ascii="宋体" w:hAnsi="宋体" w:eastAsia="仿宋" w:cs="宋体"/>
      <w:kern w:val="0"/>
      <w:sz w:val="32"/>
      <w:lang w:eastAsia="en-US"/>
    </w:rPr>
  </w:style>
  <w:style w:type="character" w:customStyle="1" w:styleId="29">
    <w:name w:val="批注主题 字符"/>
    <w:basedOn w:val="28"/>
    <w:link w:val="8"/>
    <w:autoRedefine/>
    <w:semiHidden/>
    <w:qFormat/>
    <w:uiPriority w:val="99"/>
    <w:rPr>
      <w:rFonts w:ascii="宋体" w:hAnsi="宋体" w:eastAsia="仿宋" w:cs="宋体"/>
      <w:b/>
      <w:bCs/>
      <w:kern w:val="0"/>
      <w:sz w:val="32"/>
      <w:lang w:eastAsia="en-US"/>
    </w:rPr>
  </w:style>
  <w:style w:type="character" w:customStyle="1" w:styleId="30">
    <w:name w:val="标题 2 字符"/>
    <w:basedOn w:val="11"/>
    <w:link w:val="3"/>
    <w:semiHidden/>
    <w:qFormat/>
    <w:uiPriority w:val="9"/>
    <w:rPr>
      <w:rFonts w:asciiTheme="majorHAnsi" w:hAnsiTheme="majorHAnsi" w:eastAsiaTheme="majorEastAsia" w:cstheme="majorBidi"/>
      <w:b/>
      <w:bCs/>
      <w:kern w:val="0"/>
      <w:sz w:val="32"/>
      <w:szCs w:val="32"/>
      <w:lang w:eastAsia="en-US"/>
    </w:rPr>
  </w:style>
  <w:style w:type="paragraph" w:customStyle="1" w:styleId="31">
    <w:name w:val="文本"/>
    <w:basedOn w:val="1"/>
    <w:qFormat/>
    <w:uiPriority w:val="0"/>
    <w:pPr>
      <w:spacing w:line="240" w:lineRule="auto"/>
    </w:pPr>
    <w:rPr>
      <w:rFonts w:eastAsia="仿宋_GB2312"/>
      <w:sz w:val="30"/>
    </w:rPr>
  </w:style>
  <w:style w:type="character" w:customStyle="1" w:styleId="32">
    <w:name w:val="font21"/>
    <w:basedOn w:val="11"/>
    <w:qFormat/>
    <w:uiPriority w:val="0"/>
    <w:rPr>
      <w:rFonts w:hint="eastAsia" w:ascii="仿宋" w:hAnsi="仿宋" w:eastAsia="仿宋"/>
      <w:color w:val="000000"/>
      <w:sz w:val="16"/>
      <w:szCs w:val="16"/>
      <w:u w:val="none"/>
    </w:rPr>
  </w:style>
  <w:style w:type="character" w:customStyle="1" w:styleId="33">
    <w:name w:val="font31"/>
    <w:basedOn w:val="11"/>
    <w:qFormat/>
    <w:uiPriority w:val="0"/>
    <w:rPr>
      <w:rFonts w:hint="default" w:ascii="Times New Roman" w:hAnsi="Times New Roman" w:cs="Times New Roman"/>
      <w:color w:val="000000"/>
      <w:sz w:val="16"/>
      <w:szCs w:val="16"/>
      <w:u w:val="none"/>
    </w:rPr>
  </w:style>
  <w:style w:type="character" w:customStyle="1" w:styleId="34">
    <w:name w:val="font41"/>
    <w:basedOn w:val="11"/>
    <w:qFormat/>
    <w:uiPriority w:val="0"/>
    <w:rPr>
      <w:rFonts w:hint="eastAsia" w:ascii="宋体" w:hAnsi="宋体" w:eastAsia="宋体"/>
      <w:color w:val="000000"/>
      <w:sz w:val="16"/>
      <w:szCs w:val="16"/>
      <w:u w:val="none"/>
    </w:rPr>
  </w:style>
  <w:style w:type="character" w:customStyle="1" w:styleId="35">
    <w:name w:val="font61"/>
    <w:basedOn w:val="11"/>
    <w:qFormat/>
    <w:uiPriority w:val="0"/>
    <w:rPr>
      <w:rFonts w:hint="eastAsia" w:ascii="仿宋" w:hAnsi="仿宋" w:eastAsia="仿宋"/>
      <w:color w:val="000000"/>
      <w:sz w:val="16"/>
      <w:szCs w:val="16"/>
      <w:u w:val="none"/>
    </w:rPr>
  </w:style>
  <w:style w:type="character" w:customStyle="1" w:styleId="36">
    <w:name w:val="font11"/>
    <w:basedOn w:val="11"/>
    <w:qFormat/>
    <w:uiPriority w:val="0"/>
    <w:rPr>
      <w:rFonts w:hint="eastAsia" w:ascii="仿宋" w:hAnsi="仿宋" w:eastAsia="仿宋"/>
      <w:color w:val="000000"/>
      <w:sz w:val="18"/>
      <w:szCs w:val="18"/>
      <w:u w:val="none"/>
    </w:rPr>
  </w:style>
  <w:style w:type="character" w:customStyle="1" w:styleId="37">
    <w:name w:val="标题 1 字符"/>
    <w:basedOn w:val="11"/>
    <w:link w:val="2"/>
    <w:qFormat/>
    <w:uiPriority w:val="9"/>
    <w:rPr>
      <w:rFonts w:ascii="方正小标宋简体" w:hAnsi="宋体" w:eastAsia="方正小标宋简体" w:cs="方正小标宋简体"/>
      <w:b/>
      <w:sz w:val="44"/>
      <w:szCs w:val="44"/>
      <w:lang w:eastAsia="en-US"/>
    </w:rPr>
  </w:style>
  <w:style w:type="paragraph" w:customStyle="1" w:styleId="38">
    <w:name w:val="font0"/>
    <w:basedOn w:val="1"/>
    <w:qFormat/>
    <w:uiPriority w:val="0"/>
    <w:pPr>
      <w:widowControl/>
      <w:autoSpaceDE/>
      <w:autoSpaceDN/>
      <w:spacing w:before="100" w:beforeAutospacing="1" w:after="100" w:afterAutospacing="1" w:line="240" w:lineRule="auto"/>
      <w:ind w:firstLine="0" w:firstLineChars="0"/>
    </w:pPr>
    <w:rPr>
      <w:rFonts w:ascii="等线" w:hAnsi="等线" w:eastAsia="等线"/>
      <w:color w:val="000000"/>
      <w:sz w:val="22"/>
      <w:lang w:eastAsia="zh-CN"/>
    </w:rPr>
  </w:style>
  <w:style w:type="paragraph" w:customStyle="1" w:styleId="39">
    <w:name w:val="font1"/>
    <w:basedOn w:val="1"/>
    <w:qFormat/>
    <w:uiPriority w:val="0"/>
    <w:pPr>
      <w:widowControl/>
      <w:autoSpaceDE/>
      <w:autoSpaceDN/>
      <w:spacing w:before="100" w:beforeAutospacing="1" w:after="100" w:afterAutospacing="1" w:line="240" w:lineRule="auto"/>
      <w:ind w:firstLine="0" w:firstLineChars="0"/>
    </w:pPr>
    <w:rPr>
      <w:rFonts w:ascii="仿宋" w:hAnsi="仿宋"/>
      <w:color w:val="000000"/>
      <w:sz w:val="22"/>
      <w:lang w:eastAsia="zh-CN"/>
    </w:rPr>
  </w:style>
  <w:style w:type="paragraph" w:customStyle="1" w:styleId="40">
    <w:name w:val="font2"/>
    <w:basedOn w:val="1"/>
    <w:qFormat/>
    <w:uiPriority w:val="0"/>
    <w:pPr>
      <w:widowControl/>
      <w:autoSpaceDE/>
      <w:autoSpaceDN/>
      <w:spacing w:before="100" w:beforeAutospacing="1" w:after="100" w:afterAutospacing="1" w:line="240" w:lineRule="auto"/>
      <w:ind w:firstLine="0" w:firstLineChars="0"/>
    </w:pPr>
    <w:rPr>
      <w:rFonts w:ascii="仿宋" w:hAnsi="仿宋"/>
      <w:color w:val="000000"/>
      <w:sz w:val="22"/>
      <w:lang w:eastAsia="zh-CN"/>
    </w:rPr>
  </w:style>
  <w:style w:type="paragraph" w:customStyle="1" w:styleId="41">
    <w:name w:val="font3"/>
    <w:basedOn w:val="1"/>
    <w:qFormat/>
    <w:uiPriority w:val="0"/>
    <w:pPr>
      <w:widowControl/>
      <w:autoSpaceDE/>
      <w:autoSpaceDN/>
      <w:spacing w:before="100" w:beforeAutospacing="1" w:after="100" w:afterAutospacing="1" w:line="240" w:lineRule="auto"/>
      <w:ind w:firstLine="0" w:firstLineChars="0"/>
    </w:pPr>
    <w:rPr>
      <w:rFonts w:ascii="仿宋" w:hAnsi="仿宋"/>
      <w:color w:val="000000"/>
      <w:sz w:val="18"/>
      <w:szCs w:val="18"/>
      <w:lang w:eastAsia="zh-CN"/>
    </w:rPr>
  </w:style>
  <w:style w:type="paragraph" w:customStyle="1" w:styleId="42">
    <w:name w:val="font4"/>
    <w:basedOn w:val="1"/>
    <w:qFormat/>
    <w:uiPriority w:val="0"/>
    <w:pPr>
      <w:widowControl/>
      <w:autoSpaceDE/>
      <w:autoSpaceDN/>
      <w:spacing w:before="100" w:beforeAutospacing="1" w:after="100" w:afterAutospacing="1" w:line="240" w:lineRule="auto"/>
      <w:ind w:firstLine="0" w:firstLineChars="0"/>
    </w:pPr>
    <w:rPr>
      <w:rFonts w:ascii="Times New Roman" w:hAnsi="Times New Roman" w:eastAsia="宋体" w:cs="Times New Roman"/>
      <w:color w:val="000000"/>
      <w:sz w:val="18"/>
      <w:szCs w:val="18"/>
      <w:lang w:eastAsia="zh-CN"/>
    </w:rPr>
  </w:style>
  <w:style w:type="paragraph" w:customStyle="1" w:styleId="43">
    <w:name w:val="font6"/>
    <w:basedOn w:val="1"/>
    <w:qFormat/>
    <w:uiPriority w:val="0"/>
    <w:pPr>
      <w:widowControl/>
      <w:autoSpaceDE/>
      <w:autoSpaceDN/>
      <w:spacing w:before="100" w:beforeAutospacing="1" w:after="100" w:afterAutospacing="1" w:line="240" w:lineRule="auto"/>
      <w:ind w:firstLine="0" w:firstLineChars="0"/>
    </w:pPr>
    <w:rPr>
      <w:rFonts w:ascii="仿宋" w:hAnsi="仿宋"/>
      <w:color w:val="000000"/>
      <w:sz w:val="18"/>
      <w:szCs w:val="18"/>
      <w:lang w:eastAsia="zh-CN"/>
    </w:rPr>
  </w:style>
  <w:style w:type="paragraph" w:customStyle="1" w:styleId="44">
    <w:name w:val="et3"/>
    <w:basedOn w:val="1"/>
    <w:qFormat/>
    <w:uiPriority w:val="0"/>
    <w:pPr>
      <w:widowControl/>
      <w:autoSpaceDE/>
      <w:autoSpaceDN/>
      <w:spacing w:before="100" w:beforeAutospacing="1" w:after="100" w:afterAutospacing="1" w:line="240" w:lineRule="auto"/>
      <w:ind w:firstLine="0" w:firstLineChars="0"/>
    </w:pPr>
    <w:rPr>
      <w:rFonts w:ascii="仿宋" w:hAnsi="仿宋"/>
      <w:color w:val="000000"/>
      <w:sz w:val="24"/>
      <w:szCs w:val="24"/>
      <w:lang w:eastAsia="zh-CN"/>
    </w:rPr>
  </w:style>
  <w:style w:type="paragraph" w:customStyle="1" w:styleId="45">
    <w:name w:val="et4"/>
    <w:basedOn w:val="1"/>
    <w:qFormat/>
    <w:uiPriority w:val="0"/>
    <w:pPr>
      <w:widowControl/>
      <w:autoSpaceDE/>
      <w:autoSpaceDN/>
      <w:spacing w:before="100" w:beforeAutospacing="1" w:after="100" w:afterAutospacing="1" w:line="240" w:lineRule="auto"/>
      <w:ind w:firstLine="0" w:firstLineChars="0"/>
    </w:pPr>
    <w:rPr>
      <w:rFonts w:ascii="仿宋" w:hAnsi="仿宋"/>
      <w:sz w:val="24"/>
      <w:szCs w:val="24"/>
      <w:lang w:eastAsia="zh-CN"/>
    </w:rPr>
  </w:style>
  <w:style w:type="paragraph" w:customStyle="1" w:styleId="46">
    <w:name w:val="et5"/>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仿宋" w:hAnsi="仿宋"/>
      <w:color w:val="000000"/>
      <w:sz w:val="18"/>
      <w:szCs w:val="18"/>
      <w:lang w:eastAsia="zh-CN"/>
    </w:rPr>
  </w:style>
  <w:style w:type="paragraph" w:customStyle="1" w:styleId="47">
    <w:name w:val="et6"/>
    <w:basedOn w:val="1"/>
    <w:qFormat/>
    <w:uiPriority w:val="0"/>
    <w:pPr>
      <w:widowControl/>
      <w:pBdr>
        <w:top w:val="single" w:color="000000" w:sz="4" w:space="0"/>
        <w:left w:val="single" w:color="000000" w:sz="4" w:space="0"/>
        <w:bottom w:val="single" w:color="000000" w:sz="4" w:space="0"/>
      </w:pBdr>
      <w:autoSpaceDE/>
      <w:autoSpaceDN/>
      <w:spacing w:before="100" w:beforeAutospacing="1" w:after="100" w:afterAutospacing="1" w:line="240" w:lineRule="auto"/>
      <w:ind w:firstLine="0" w:firstLineChars="0"/>
      <w:jc w:val="center"/>
    </w:pPr>
    <w:rPr>
      <w:rFonts w:ascii="仿宋" w:hAnsi="仿宋"/>
      <w:color w:val="000000"/>
      <w:sz w:val="18"/>
      <w:szCs w:val="18"/>
      <w:lang w:eastAsia="zh-CN"/>
    </w:rPr>
  </w:style>
  <w:style w:type="paragraph" w:customStyle="1" w:styleId="48">
    <w:name w:val="et7"/>
    <w:basedOn w:val="1"/>
    <w:qFormat/>
    <w:uiPriority w:val="0"/>
    <w:pPr>
      <w:widowControl/>
      <w:pBdr>
        <w:top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仿宋" w:hAnsi="仿宋"/>
      <w:color w:val="000000"/>
      <w:sz w:val="18"/>
      <w:szCs w:val="18"/>
      <w:lang w:eastAsia="zh-CN"/>
    </w:rPr>
  </w:style>
  <w:style w:type="paragraph" w:customStyle="1" w:styleId="49">
    <w:name w:val="et8"/>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仿宋" w:hAnsi="仿宋"/>
      <w:color w:val="000000"/>
      <w:sz w:val="24"/>
      <w:szCs w:val="24"/>
      <w:lang w:eastAsia="zh-CN"/>
    </w:rPr>
  </w:style>
  <w:style w:type="paragraph" w:customStyle="1" w:styleId="50">
    <w:name w:val="et9"/>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Times New Roman" w:hAnsi="Times New Roman" w:eastAsia="宋体" w:cs="Times New Roman"/>
      <w:color w:val="000000"/>
      <w:sz w:val="18"/>
      <w:szCs w:val="18"/>
      <w:lang w:eastAsia="zh-CN"/>
    </w:rPr>
  </w:style>
  <w:style w:type="paragraph" w:customStyle="1" w:styleId="51">
    <w:name w:val="et10"/>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Times New Roman" w:hAnsi="Times New Roman" w:eastAsia="宋体" w:cs="Times New Roman"/>
      <w:sz w:val="18"/>
      <w:szCs w:val="18"/>
      <w:lang w:eastAsia="zh-CN"/>
    </w:rPr>
  </w:style>
  <w:style w:type="paragraph" w:customStyle="1" w:styleId="52">
    <w:name w:val="et11"/>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Times New Roman" w:hAnsi="Times New Roman" w:eastAsia="宋体" w:cs="Times New Roman"/>
      <w:color w:val="000000"/>
      <w:sz w:val="18"/>
      <w:szCs w:val="18"/>
      <w:lang w:eastAsia="zh-CN"/>
    </w:rPr>
  </w:style>
  <w:style w:type="paragraph" w:customStyle="1" w:styleId="53">
    <w:name w:val="et12"/>
    <w:basedOn w:val="1"/>
    <w:uiPriority w:val="0"/>
    <w:pPr>
      <w:widowControl/>
      <w:pBdr>
        <w:top w:val="single" w:color="000000" w:sz="4" w:space="0"/>
        <w:left w:val="single" w:color="000000" w:sz="4" w:space="0"/>
        <w:right w:val="single" w:color="000000" w:sz="4" w:space="0"/>
      </w:pBdr>
      <w:autoSpaceDE/>
      <w:autoSpaceDN/>
      <w:spacing w:before="100" w:beforeAutospacing="1" w:after="100" w:afterAutospacing="1" w:line="240" w:lineRule="auto"/>
      <w:ind w:firstLine="0" w:firstLineChars="0"/>
      <w:jc w:val="center"/>
    </w:pPr>
    <w:rPr>
      <w:rFonts w:ascii="仿宋" w:hAnsi="仿宋"/>
      <w:color w:val="000000"/>
      <w:sz w:val="18"/>
      <w:szCs w:val="18"/>
      <w:lang w:eastAsia="zh-CN"/>
    </w:rPr>
  </w:style>
  <w:style w:type="paragraph" w:customStyle="1" w:styleId="54">
    <w:name w:val="et13"/>
    <w:basedOn w:val="1"/>
    <w:qFormat/>
    <w:uiPriority w:val="0"/>
    <w:pPr>
      <w:widowControl/>
      <w:pBdr>
        <w:left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仿宋" w:hAnsi="仿宋"/>
      <w:color w:val="000000"/>
      <w:sz w:val="18"/>
      <w:szCs w:val="18"/>
      <w:lang w:eastAsia="zh-CN"/>
    </w:rPr>
  </w:style>
  <w:style w:type="paragraph" w:customStyle="1" w:styleId="55">
    <w:name w:val="et14"/>
    <w:basedOn w:val="1"/>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Times New Roman" w:hAnsi="Times New Roman" w:eastAsia="宋体" w:cs="Times New Roman"/>
      <w:color w:val="000000"/>
      <w:sz w:val="18"/>
      <w:szCs w:val="18"/>
      <w:lang w:eastAsia="zh-CN"/>
    </w:rPr>
  </w:style>
  <w:style w:type="paragraph" w:customStyle="1" w:styleId="56">
    <w:name w:val="et15"/>
    <w:basedOn w:val="1"/>
    <w:qFormat/>
    <w:uiPriority w:val="0"/>
    <w:pPr>
      <w:widowControl/>
      <w:pBdr>
        <w:top w:val="single" w:color="000000" w:sz="4" w:space="0"/>
        <w:left w:val="single" w:color="000000" w:sz="4" w:space="0"/>
        <w:bottom w:val="single" w:color="000000" w:sz="4" w:space="0"/>
      </w:pBdr>
      <w:autoSpaceDE/>
      <w:autoSpaceDN/>
      <w:spacing w:before="100" w:beforeAutospacing="1" w:after="100" w:afterAutospacing="1" w:line="240" w:lineRule="auto"/>
      <w:ind w:firstLine="0" w:firstLineChars="0"/>
      <w:jc w:val="center"/>
    </w:pPr>
    <w:rPr>
      <w:rFonts w:ascii="Times New Roman" w:hAnsi="Times New Roman" w:eastAsia="宋体" w:cs="Times New Roman"/>
      <w:color w:val="000000"/>
      <w:sz w:val="18"/>
      <w:szCs w:val="18"/>
      <w:lang w:eastAsia="zh-CN"/>
    </w:rPr>
  </w:style>
  <w:style w:type="paragraph" w:customStyle="1" w:styleId="57">
    <w:name w:val="et16"/>
    <w:basedOn w:val="1"/>
    <w:qFormat/>
    <w:uiPriority w:val="0"/>
    <w:pPr>
      <w:widowControl/>
      <w:pBdr>
        <w:top w:val="single" w:color="000000" w:sz="4" w:space="0"/>
        <w:bottom w:val="single" w:color="000000" w:sz="4" w:space="0"/>
      </w:pBdr>
      <w:autoSpaceDE/>
      <w:autoSpaceDN/>
      <w:spacing w:before="100" w:beforeAutospacing="1" w:after="100" w:afterAutospacing="1" w:line="240" w:lineRule="auto"/>
      <w:ind w:firstLine="0" w:firstLineChars="0"/>
      <w:jc w:val="center"/>
    </w:pPr>
    <w:rPr>
      <w:rFonts w:ascii="Times New Roman" w:hAnsi="Times New Roman" w:eastAsia="宋体" w:cs="Times New Roman"/>
      <w:color w:val="000000"/>
      <w:sz w:val="18"/>
      <w:szCs w:val="18"/>
      <w:lang w:eastAsia="zh-CN"/>
    </w:rPr>
  </w:style>
  <w:style w:type="paragraph" w:customStyle="1" w:styleId="58">
    <w:name w:val="et17"/>
    <w:basedOn w:val="1"/>
    <w:qFormat/>
    <w:uiPriority w:val="0"/>
    <w:pPr>
      <w:widowControl/>
      <w:pBdr>
        <w:top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Times New Roman" w:hAnsi="Times New Roman" w:eastAsia="宋体" w:cs="Times New Roman"/>
      <w:color w:val="000000"/>
      <w:sz w:val="18"/>
      <w:szCs w:val="18"/>
      <w:lang w:eastAsia="zh-CN"/>
    </w:rPr>
  </w:style>
  <w:style w:type="paragraph" w:customStyle="1" w:styleId="59">
    <w:name w:val="et18"/>
    <w:basedOn w:val="1"/>
    <w:qFormat/>
    <w:uiPriority w:val="0"/>
    <w:pPr>
      <w:widowControl/>
      <w:pBdr>
        <w:top w:val="single" w:color="000000" w:sz="4" w:space="0"/>
        <w:left w:val="single" w:color="000000" w:sz="4" w:space="0"/>
        <w:bottom w:val="single" w:color="000000" w:sz="4" w:space="0"/>
        <w:right w:val="single" w:color="000000" w:sz="4" w:space="0"/>
      </w:pBdr>
      <w:autoSpaceDE/>
      <w:autoSpaceDN/>
      <w:spacing w:before="100" w:beforeAutospacing="1" w:after="100" w:afterAutospacing="1" w:line="240" w:lineRule="auto"/>
      <w:ind w:firstLine="0" w:firstLineChars="0"/>
      <w:jc w:val="center"/>
    </w:pPr>
    <w:rPr>
      <w:rFonts w:ascii="Times New Roman" w:hAnsi="Times New Roman" w:eastAsia="宋体" w:cs="Times New Roman"/>
      <w:color w:val="000000"/>
      <w:sz w:val="18"/>
      <w:szCs w:val="18"/>
      <w:lang w:eastAsia="zh-CN"/>
    </w:rPr>
  </w:style>
  <w:style w:type="character" w:customStyle="1" w:styleId="60">
    <w:name w:val="font51"/>
    <w:basedOn w:val="11"/>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71E33-9EB8-4A80-827F-3149089BE179}">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31</Pages>
  <Words>6019</Words>
  <Characters>6829</Characters>
  <Lines>106</Lines>
  <Paragraphs>29</Paragraphs>
  <TotalTime>1</TotalTime>
  <ScaleCrop>false</ScaleCrop>
  <LinksUpToDate>false</LinksUpToDate>
  <CharactersWithSpaces>6848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2024-06-24T07:21:00Z</dcterms:created>
  <dc:creator>文超</dc:creator>
  <cp:lastModifiedBy>墨渊 MO</cp:lastModifiedBy>
  <cp:lastPrinted>2024-02-01T11:59:00Z</cp:lastPrinted>
  <dcterms:modified xsi:type="dcterms:W3CDTF">2025-06-05T02:05:48Z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F369DB8FFA67495E83709450F0708C06_13</vt:lpwstr>
  </property>
  <property fmtid="{D5CDD505-2E9C-101B-9397-08002B2CF9AE}" pid="4" name="KSOTemplateDocerSaveRecord">
    <vt:lpwstr>eyJoZGlkIjoiMWNjNjY4MWQ0N2JhNmQ2MjFkNWI2NTI1YTBkNjJmZTgiLCJ1c2VySWQiOiI0NjAwNzgzNjUifQ==</vt:lpwstr>
  </property>
</Properties>
</file>