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0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丽水市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莲都区</w:t>
      </w:r>
      <w:r>
        <w:rPr>
          <w:rFonts w:hint="eastAsia" w:ascii="黑体" w:hAnsi="黑体" w:eastAsia="黑体" w:cs="黑体"/>
          <w:bCs/>
          <w:sz w:val="44"/>
          <w:szCs w:val="44"/>
        </w:rPr>
        <w:t>地方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技术性规范</w:t>
      </w:r>
      <w:r>
        <w:rPr>
          <w:rFonts w:hint="eastAsia" w:ascii="黑体" w:hAnsi="黑体" w:eastAsia="黑体" w:cs="黑体"/>
          <w:bCs/>
          <w:sz w:val="44"/>
          <w:szCs w:val="44"/>
        </w:rPr>
        <w:t>《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社区托育角设置规范</w:t>
      </w:r>
      <w:r>
        <w:rPr>
          <w:rFonts w:hint="eastAsia" w:ascii="黑体" w:hAnsi="黑体" w:eastAsia="黑体" w:cs="黑体"/>
          <w:bCs/>
          <w:sz w:val="44"/>
          <w:szCs w:val="44"/>
        </w:rPr>
        <w:t>》编制说明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15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outlineLvl w:val="0"/>
        <w:rPr>
          <w:rFonts w:ascii="黑体" w:hAnsi="黑体" w:eastAsia="黑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项目背景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outlineLvl w:val="1"/>
        <w:rPr>
          <w:rFonts w:ascii="楷体_GB2312" w:hAnsi="仿宋" w:eastAsia="楷体_GB2312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党的二十届三中全会通过的《中共中央关于进一步全面深化改革、推进中国式现代化的决定》提出，加强普惠育幼服务体系建设，支持用人单位办托、社区嵌入式托育、家庭托育点等多种模式发展。国家卫生健康委数据显示，我国现有约3000万名3岁以下婴幼儿，超过三成的婴幼儿家庭有入托需求。随着我国经济社会发展，家庭小型化趋势愈加明显，代际之间照料能力减弱，越来越需要现代化、社会化的托育服务。以及浙卫办妇幼〔2021〕5 号文件：《浙江省卫生健康委办公室关于印发浙江省家庭和社区3岁以下婴幼照护指南（试行）的通知》，明确为贯彻落实党中央、国务院《关于优化生育政策促进人口长期均衡发展的决定》，加快我省3岁以下婴幼儿照护服务事业高质量发展，进一步完善婴幼儿照护服务体系，加强对家庭和社区婴幼儿照护服务的支持和指导，提升养育照护人的科学育儿知识和技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今年5月莲都区卫生健康局关于印发《莲都区托育角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建设标准（试行）》的通知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（莲卫〔2024〕30 号）明确指出：为丰富我区婴幼儿照护服务内涵，助力婴幼儿照护服务事业健康发展，促进托育角规范化建设。本通知明确托育角为非盈利性场所，适用于公共场所和机关、企事业单位等托育角的建设和管理。从而缓解群众“入托难”问题，拓展社区“托育角”服务功能，完善社区婴幼儿活动场所。目前，莲都区0～3岁婴幼儿约1.2万左右，经走访调研，遴选丽阳社区和东港社区为托育角建设示范点，并已建成，群众反响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仿宋" w:eastAsia="楷体_GB2312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）必要性及目的意义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为了持续推进“托育角”的建设，丰富我区婴幼儿照护服务内涵，助力婴幼儿照护服务事业健康发展。目前针对托育方面的标准，均是针对第三方盈利性的托育中心等，针对莲都区托育角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，缺少可操作性的标准文件。因此，为助力婴幼儿照护服务事业健康发展，建设街道办事处辖区内的公共场所和机关、企事业单位的托育角，特制订《社区托育角设置规范》。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社区托育角建设不仅可以为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婴幼儿提供科学养育外，还可以为家庭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育儿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提供指导,提升家长的育儿知识与能力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，提高婴幼儿心理健康，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从起点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开启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关注未来人才的身心健康发展，为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莲都区婴幼儿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成长创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造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良好环境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28"/>
          <w:szCs w:val="28"/>
        </w:rPr>
        <w:t>工作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（一）任务来源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根据2024年8月30日丽水市莲都区市场监督管理局《关于下达2024年莲都区地方技术性规范制修定计划项目的通知》标准名称：《托育角场所设置要求》；项目起草单位：莲都区</w:t>
      </w:r>
      <w:r>
        <w:rPr>
          <w:rFonts w:hint="eastAsia" w:ascii="仿宋_GB2312" w:hAnsi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完成时限：2025年8月。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02" w:firstLineChars="200"/>
        <w:outlineLvl w:val="1"/>
        <w:rPr>
          <w:rFonts w:hint="eastAsia" w:ascii="楷体_GB2312" w:hAnsi="仿宋" w:eastAsia="楷体_GB2312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2024年08月，召开标准制订策划会，并进行前期调研，成立标准起草工作组，负责标准起草具体工作。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2024年09月，组织标准讨论会，进行标准的探讨，形成草案稿。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2024年10月，经编写小组的数次讨论与修改，形成讨论稿。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2024年10月中旬，经标准研讨会，将标准反复修改，形成标准征求意见稿，并公开征求。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2024年11月下旬，针对标准征求意见稿的反馈，再次修订，完善标准，形成标准送审稿，召开评审会。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2024年12月，完成标准报批稿，完成报批。</w:t>
      </w:r>
    </w:p>
    <w:p>
      <w:pPr>
        <w:pStyle w:val="15"/>
        <w:numPr>
          <w:ilvl w:val="0"/>
          <w:numId w:val="0"/>
        </w:numPr>
        <w:ind w:left="567" w:leftChars="0"/>
        <w:outlineLvl w:val="0"/>
        <w:rPr>
          <w:rFonts w:hint="default" w:ascii="Times New Roman" w:hAnsi="Times New Roman" w:eastAsia="楷体_GB2312" w:cs="Times New Roman"/>
          <w:b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（三）保障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rPr>
          <w:rFonts w:ascii="仿宋_GB2312" w:hAnsi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技术保障：</w:t>
      </w:r>
      <w:r>
        <w:rPr>
          <w:rFonts w:hint="eastAsia" w:ascii="仿宋_GB2312" w:hAnsi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牵头起草单位为丽水市莲都区卫生健康局，项目承担单位有编写团队5人，均由卫健局、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卫生健康服务中心</w:t>
      </w:r>
      <w:r>
        <w:rPr>
          <w:rFonts w:hint="eastAsia" w:ascii="仿宋_GB2312" w:hAnsi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等相关人员组成。本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由遂昌原创标准化事务所有限公司组织编写</w:t>
      </w:r>
      <w:r>
        <w:rPr>
          <w:rFonts w:hint="eastAsia" w:ascii="仿宋_GB2312" w:hAnsi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_GB2312" w:hAnsi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公司是一家专业从事标准化咨询的服务公司，曾为市县多家单位提供市（县）级地方标准的编写服务的经验，能为此标准提供有力的技术支撑，确保完成《托育角场所设置要求》的制定服务。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outlineLvl w:val="1"/>
        <w:rPr>
          <w:rFonts w:hint="eastAsia" w:ascii="楷体_GB2312" w:hAnsi="仿宋" w:eastAsia="楷体_GB2312" w:cs="Calibri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经费保障</w:t>
      </w:r>
      <w:r>
        <w:rPr>
          <w:rFonts w:hint="eastAsia" w:ascii="楷体_GB2312" w:hAnsi="仿宋" w:eastAsia="楷体_GB2312" w:cs="Calibri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仿宋_GB2312" w:hAnsi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丽水市莲都区卫生健康局承诺保障标准制订所需经费。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1"/>
        <w:rPr>
          <w:rFonts w:hint="eastAsia"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地方技术性规范起草单位及协调情况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本规范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起䓍单位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丽水市莲都区卫生健康局。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20"/>
        <w:textAlignment w:val="auto"/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起草人员完成项目调研的同时，为本</w:t>
      </w:r>
      <w:r>
        <w:rPr>
          <w:rFonts w:hint="eastAsia" w:hAnsi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规范</w:t>
      </w:r>
      <w:r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的相关内容、编制、审核等工作提供支持，同时负责部分意见的征集工作，及</w:t>
      </w:r>
      <w:r>
        <w:rPr>
          <w:rFonts w:hint="eastAsia" w:hAnsi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与丽水莲都区市场监督管理局标准</w:t>
      </w:r>
      <w:r>
        <w:rPr>
          <w:rFonts w:hint="eastAsia" w:hAnsi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化</w:t>
      </w:r>
      <w:r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部门对接协调。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default" w:ascii="Times New Roman" w:hAnsi="Times New Roman" w:eastAsia="楷体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楷体_GB2312" w:cs="Times New Roman"/>
          <w:b/>
          <w:kern w:val="2"/>
          <w:sz w:val="28"/>
          <w:szCs w:val="28"/>
          <w:lang w:val="en-US" w:eastAsia="zh-CN" w:bidi="ar-SA"/>
        </w:rPr>
        <w:t>地方技术性规范起草人及责任分工</w:t>
      </w:r>
    </w:p>
    <w:p>
      <w:pPr>
        <w:pStyle w:val="20"/>
        <w:ind w:firstLine="420"/>
        <w:rPr>
          <w:rFonts w:hint="eastAsia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起草人：</w:t>
      </w:r>
      <w:r>
        <w:rPr>
          <w:rFonts w:hint="eastAsia" w:asci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曾锋、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虞海勇、叶丽丽、沈益銮、吴宏英、徐媛媛、</w:t>
      </w:r>
      <w:bookmarkStart w:id="4" w:name="_GoBack"/>
      <w:bookmarkEnd w:id="4"/>
      <w:r>
        <w:rPr>
          <w:rFonts w:hint="eastAsia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魏莉莉、李佳译、袁蓉。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人员分工：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仿宋_GB2312" w:hAnsi="仿宋" w:eastAsia="宋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" w:eastAsia="宋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1.标准文本撰写：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李佳译、袁蓉。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2.标准内容与框架拟订：</w:t>
      </w:r>
      <w:bookmarkStart w:id="0" w:name="OLE_LINK1"/>
      <w:r>
        <w:rPr>
          <w:rFonts w:hint="eastAsia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曾锋、</w:t>
      </w:r>
      <w:r>
        <w:rPr>
          <w:rFonts w:hint="eastAsia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虞海勇、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吴宏英、</w:t>
      </w:r>
      <w:bookmarkEnd w:id="0"/>
      <w:r>
        <w:rPr>
          <w:rFonts w:hint="eastAsia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魏莉莉。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0"/>
        <w:rPr>
          <w:rFonts w:hint="default" w:ascii="Times New Roman" w:hAnsi="Times New Roman" w:cs="Times New Roman"/>
          <w:color w:val="FF000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3.标准调研与意见征询：</w:t>
      </w:r>
      <w:r>
        <w:rPr>
          <w:rFonts w:hint="eastAsia" w:ascii="Times New Roman" w:hAnsi="Times New Roman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叶丽丽、沈益銮、徐媛媛。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2"/>
        <w:outlineLvl w:val="1"/>
        <w:rPr>
          <w:rFonts w:ascii="楷体_GB2312" w:hAnsi="仿宋" w:eastAsia="楷体_GB2312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Calibr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（六）有关研究基础和前期研究成果介绍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经前期走访调研，本区的丽阳社区人口多，需求较大，东港社区为新社区，目前这两个社区已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先完成托育角的建设。其中，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丽阳社区托育角使用率颇高，群众反响好。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三、编制原则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一）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协调性原则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本规范</w:t>
      </w:r>
      <w:r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在制定时和已经发布的标准进行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过对比，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目前，国家印发《关于促进医疗卫生机构支持托育服务发展的指导意见》、出台《家庭托育点管理办法（试行）》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了本规范部分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引用了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JGJ 39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托儿所、幼儿园建筑设计规范》、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WS/T 821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-2023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《托育机构质量评估标准》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行业标准。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本规范部分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引用了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JGJ 39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-2024</w:t>
      </w:r>
      <w:r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，具有本区特有的托育角建设要求。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firstLine="562" w:firstLineChars="200"/>
        <w:jc w:val="left"/>
        <w:textAlignment w:val="auto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二）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适用性原则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规范适用于莲都区托育角的建设，为莲都区托育角建设提供了适度使用的标准。参照标准要求，通过利用社区、小区等公共空间，建成集婴幼儿休憩、游乐为一体的规范化托育角，满足群众对婴幼儿活动专有场所的需求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三）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可操作性原则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规范具有可操作性，具体要求切合实际，同时适用于新建社区和老旧社区。参照本规范，目前已在新建社区建成托育角2家，分别为东港社区托育角、和平社区托育角；在老旧社区建成托育角3家，分别为丽阳社区托育角、灯塔社区托育角和北苑路社区托育角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四、与有关法律、法规、规章的关系以及与相关国家标准、行业标准、地方标准的重复性、协调性分析★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有关国家的法律法规文件有：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国家印发《关于促进医疗卫生机构支持托育服务发展的指导意见》《家庭托育点管理办法（试行）》《浙江省卫生健康委办公室关于印发浙江省家庭和社区3岁以下婴幼照护指南（试行）的通知》等。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56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标准方面：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目前发布了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了本规范部分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引用了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JGJ 39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托儿所、幼儿园建筑设计规范》、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WS/T 821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-2023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《托育机构质量评估标准》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行业标准。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上述标准主要是针对托儿所、幼儿园建筑设计要求及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托育机构质量评估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的要求，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而本规范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“托育角”的设置内容覆盖面相对小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与上述标准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有本质的区别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五、主要工作过程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20"/>
        <w:textAlignment w:val="auto"/>
        <w:rPr>
          <w:rFonts w:hint="eastAsia" w:asci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1.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立项前。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Times New Roman" w:hAnsi="Times New Roman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经走访调研，遴选丽阳社区和东港社区为托育角建设示范点，并已建成，群众反响良好。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.立项阶段。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2024年8月10日，规范起草单位莲都区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卫健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局向莲都区市场监督管理局提交了《丽水市莲都区地方技术性规范制（修）定项目建议书》。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2024年8月30日，丽水市莲都区市场监督管理局《关于下达2024年莲都区地方技术性规范制修定计划项目的通知》（莲市监函〔2024〕113号），批准该项目立项。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.起草阶段。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2024年9月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，完成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《托育角场所设置要求》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编制筹备工作，成立编制成员小组。编制小组成员召开座谈会，根据资料研究及实地调研情况，拟定了标准的基本框架。形成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《托育角场所设置要求》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编制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䓍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3.调研讨论阶段。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10日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，编制小组成员会同莲都区市场监管局质标科专家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在莲都区卫生健康局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对标准再次讨论，鉴于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托育角的建设主要以社区为主，且“托育角”“场所”名词有重复，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故将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原《托育角场所设置要求》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标准名称改为《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社区托育角设置规范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》，并拟定标准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讨论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稿，下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步组织专家研讨会，邀请5位专家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调讨，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确定《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社区托育角设置规范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》的结构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研讨会情况。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2024年10月15日下午在丽水市莲都区卫健局三楼会议室组织召开专家研讨会。由丽水市两山学院研究员梅庆君任专家组组长，</w:t>
      </w:r>
      <w:r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莲都区卫生健康服务中心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、丽水市质量检测检验研究院、丽水市妇幼保健院、莲都区岩泉街道和平社区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4位专家成员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组成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。标准起草单位负责人及相关编写人员参与研讨会会议，专家组对标准的内容提出以下主要修改意见和建议：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标准名称变更为《社区托育角设置规范》；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增加“托育角”的术语和定义；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“4 基本要求”的内容逻辑适当调整；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整合“7 娱乐设施”和“9 便民设施”的内容。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.征求意见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汇总情况</w:t>
      </w:r>
      <w:r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规范于2024年10月18日在丽水莲都人民政府网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社会各界公开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征求意见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和建议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，包括本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区相关单位（社区）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。征求意见为10月1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日至11月1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日，共收到意见建议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条，经工作组反复研究讨论，确认采纳意见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条，未采纳意见2条（详见《征求意见汇总表》）。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其中，未采纳建议1为：4.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耐火等级的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的要求；和安全出口和疏散楼梯的设置要求。未采纳理由为：耐火等级要求和安全出口、疏散楼梯的设置等要求，应该在原有的建筑应已设置的。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未采纳建议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6.7室内装修装饰材料应采用不燃、难燃材料。未采纳理由为：已在6.1条款中明确“应选择绿色、环保、防火的装修材料”。</w:t>
      </w:r>
    </w:p>
    <w:p>
      <w:pPr>
        <w:spacing w:line="520" w:lineRule="exact"/>
        <w:ind w:firstLine="600" w:firstLineChars="200"/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评审情况</w:t>
      </w:r>
      <w:r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本规范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评审会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宋体" w:hAnsi="宋体" w:cs="宋体"/>
          <w:color w:val="000000" w:themeColor="text1"/>
          <w:sz w:val="30"/>
          <w:szCs w:val="30"/>
          <w:lang w:val="e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丽水市莲都区卫生健康局（大洋路371号）3楼会议室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举行。评审组由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丽水市质量检验检测研究院应跃跃高级工程师，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丽水市妇幼保健院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保健部项艳主任，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莲都区卫生健康服务中心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陈仁武主任，莲都区学前教育指导中心叶巧燕主任，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岩泉街道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北苑路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徐妙君书记5位专家组成，丽水市质量检验检测研究院应跃跃高级工程师担任评审组组长。评审组认真听取起草单位关于技术性规范编制情况汇报，审阅了技术性规范的送审材料，逐章逐条审查了技术性规范的内容，提出以下主要修改意见：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1、标准名称变更为《社区托育角设置规范》；</w:t>
      </w:r>
    </w:p>
    <w:p>
      <w:pPr>
        <w:spacing w:line="520" w:lineRule="exact"/>
        <w:ind w:firstLine="600" w:firstLineChars="200"/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2、修改并完善编制说明；</w:t>
      </w:r>
    </w:p>
    <w:p>
      <w:pPr>
        <w:spacing w:line="520" w:lineRule="exact"/>
        <w:ind w:firstLine="600" w:firstLineChars="200"/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3、增加“选址要求”条款；</w:t>
      </w:r>
    </w:p>
    <w:p>
      <w:pPr>
        <w:spacing w:line="520" w:lineRule="exact"/>
        <w:ind w:firstLine="600" w:firstLineChars="200"/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4、调整“4 基本要求”的内容，并完善；</w:t>
      </w:r>
    </w:p>
    <w:p>
      <w:pPr>
        <w:spacing w:line="520" w:lineRule="exact"/>
        <w:ind w:firstLine="600" w:firstLineChars="200"/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 环境空间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的内容调整完善；</w:t>
      </w:r>
    </w:p>
    <w:p>
      <w:pPr>
        <w:spacing w:line="520" w:lineRule="exact"/>
        <w:ind w:firstLine="600" w:firstLineChars="200"/>
        <w:rPr>
          <w:rFonts w:hint="default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6、增加“《托育角使用温馨提示》”示例图。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六、主要技术内容确定依据及说明★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3.术语和定义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3.1托育角  在社区内为有专人监护、陪护的婴幼儿提供活动、娱乐、憩息的专用场所。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说明：“有专人监护、陪护的婴幼儿”是根据“托育角”建设实际要求而定，“提供活动、娱乐、憩息的专用场所”参照了莲都区卫生健康局关于印发《莲都区托育角 建设标准（试行）》的通知（莲卫〔2024〕30号）文件。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4.基本要求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4.1应根据原有空间大小合理布局。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说明：按照托育角布局的实际情况，根据原有的空间布局。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如：丽阳社区按照党群服务中心现有空间合理布局，利用其中北边的11平方米的场地规划建成托育角。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4.2装修装饰、功能设置符合婴幼儿活动要求。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充分考虑0-3岁婴幼儿特点，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规定了托育角装修装饰、功能设置满足婴幼儿活动、游乐等要求。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4.3婴幼儿活动应有专人监护或陪护。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说明：根据实际情况，婴幼儿来托育角，必须有家长陪同。婴幼儿在活动中容易发生意外，如跌倒、碰撞等，专人监护或陪护可以及时发现并处理这些情况，防止婴幼儿受伤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‌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4.4应建立相应的管理制度，包含健康教育制度、卫生与消毒制度、意外伤害预防制度等。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说明：必须建立相应的管理制度，包含健康教育制度、卫生与消毒制度、意外伤害预防制度等，并能以合理方式在托育角展现。而这些制度的建立和执行，能够有效保障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托育角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的卫生保健工作，确保婴幼儿的健康和安全。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5.选址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5.1应选择交通便利，周边无污染，结合原有场所因地制宜。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说明：可以确保托育角选址既满足交通便利的需求，又确保周边环境的安全和健康，同时结合原有场所因地制宜，实现最优化的选址方案。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5.2应选择自然采光，通风良好，消防设施配置齐全的场所。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说明：自然采光能够提供充足的日光照明，良好的通风可以保持室内空气新鲜，消防设施的完善是确保场所安全的重要保障。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5.3宜选地面层，面积应不少于10m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，不应设置在地下或半地下层。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说明：规定选址要求，“面积应不少于10m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”，是依据DB33/T 2294《母婴室建设与管理规范》，母婴室使用面积≥10m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，结合社区办公用房实际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情况设定。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6.环境空间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6.1可设置独立成间或敞开式区域。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说明：托育角一般在社区中心，或</w:t>
      </w:r>
      <w:bookmarkStart w:id="1" w:name="OLE_LINK2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党群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服务中心</w:t>
      </w:r>
      <w:bookmarkEnd w:id="1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等场所设置，布置可以是单独成间的，也可以大厅的一角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，如丽阳社区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党群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服务中心有11平方的场地空余，已利用该空间建成托育角。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6.2可设置活动区、游乐区、阅读区等。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说明：根据0—3岁婴幼儿成长的特点，条件宽敞的场所可设置活动区、游乐区、阅读区等。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6.3室内空气质量应符合GB/T 18883的规定。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说明：空气质量引用GB/T 18883的要求。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6.4应有自然采光，其采光应符合JGJ 39-2024中5.1的规定。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说明：应明亮、天然采光，此条引用GJ 39-2024中5.1的规定。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6.5室内宜采用自然通风设施；无自然通风设施时，应符合JGJ 39-2024中6.2.11-1、6.2.11-2的规定。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说明：室内宜采用自然通风设施，此条引用JGJ 39-2024中6.2.11-1、6.2.11-2的规定。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6.6应配置消防设施、器材，消防设施、器材的配置应符合GB 50016、GB 55036、GB 55037、GB 50140等要求。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说明：此条引用GB 50016、GB 55036、GB 55037、GB 50140等规定，构成托育角场所消防安全的基本框架，保障人员安全。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‌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6.7新建的托育角室内的窗户、门、防护栏等设施应符合JGJ 39-2024中4.1.5、4.1.8、4.1.9的规定，改建的应合理利用原有资源。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说明：托育角室内的窗户、门、防护栏等设施应符合JGJ 39-2024中4.1.5、4.1.8、4.1.9的规定。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7.装修装饰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7.1应选择绿色、环保、防火的装修材料，装修材料应符合GB 50325的规定。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说明：考虑婴幼儿活动、游乐环境的安全性，应使用无毒、无害的材料，确保婴幼儿的安全和健康。装修材料的要求，参照GB 50325的规定。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7.2内部装饰色调应柔和温馨，与色彩搭配、图案设计等相协调，体现童趣。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说明：为创造托育角温馨的场景，规定了内部装饰的色彩搭配、图案设计等体现童趣的要求。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7.3‌地面应使用防滑材料并铺设软垫，</w:t>
      </w:r>
      <w:bookmarkStart w:id="2" w:name="OLE_LINK4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柱子、窗台、内墙阳角</w:t>
      </w:r>
      <w:bookmarkEnd w:id="2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宜做成小圆角。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说明：为了确保婴幼儿安全性和舒适性。地面应选用防滑材料，以防止滑倒摔伤。同时，铺设软垫，可以进一步增加安全性。此外，柱子、窗台、内墙阳角做成小圆角，可以避免磕碰，保护婴幼儿免受伤害。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已建成托育角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的地面、柱子、窗台、内墙阳角都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已按要求装修装饰。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‌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7.4线路及插座等通电设置应安装在孩子不易接触到的位置，管道和尖角应有包裹处理。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说明：线路、插座应设计在孩子不易接触到的隐蔽位置，避免孩子用手或导电物触碰电源插座孔；管道和尖角应进行包裹处理，避免孩子触摸或碰撞造成伤害。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8设施配置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8.1应配置符合婴幼儿年龄特点的生活设施，柜、桌、椅等设施设置应光滑无锐角。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这是因为婴幼儿年龄较小，缺乏自我保护能力，容易受到伤害。因此，在设计和布置生活设施时，必须充分考虑婴幼儿的安全需求。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8.2应配备符合不同月龄婴幼儿特点的玩具，质量符合GB 6675的规定，数量充足，满足婴幼儿活动需求。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说明：为了满足不同月龄婴幼儿的发展需求，玩具的数量应充足，质量应符合GB 6675的标准。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8.3应配备符合不同月龄婴幼儿认知的图书，使用</w:t>
      </w:r>
      <w:bookmarkStart w:id="3" w:name="OLE_LINK3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开放性书架</w:t>
      </w:r>
      <w:bookmarkEnd w:id="3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摆放。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为了满足不同月龄婴幼儿的认知需求，使用开放性书架摆放，是方便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婴幼儿想自己取放书籍时不会受伤，同时为不同月龄的婴幼儿提供一个安全、舒适、的阅读环境。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如和平社区建成的托育角就按要求配备了图书、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开放性书架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8.4应配备消毒剂、紫外线消毒灯（柜）或其他空气消毒装置。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说明：为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‌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确保环境和物品的清洁与安全，有效配备和使用消毒剂、紫外线消毒灯(柜)或其他空气消毒装置。如：定期对玩具进行清洁和消毒，保持其卫生状况。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8.5应配置应急处置箱，内置物品至少包括：碘伏、棉签、创口贴等。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说明：准备应急处理设施，配备一些必需的应急物品，一旦有个小擦伤，可用应急处理箱中的物品进行处理。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8.6应配置防蚊蝇灯、带盖垃圾桶等设施。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说明：应配置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常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用的便民设施。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9.安全要求</w:t>
      </w:r>
    </w:p>
    <w:p>
      <w:pPr>
        <w:pStyle w:val="20"/>
        <w:keepNext w:val="0"/>
        <w:keepLines w:val="0"/>
        <w:pageBreakBefore w:val="0"/>
        <w:tabs>
          <w:tab w:val="left" w:pos="523"/>
        </w:tabs>
        <w:kinsoku/>
        <w:wordWrap/>
        <w:overflowPunct/>
        <w:topLinePunct w:val="0"/>
        <w:bidi w:val="0"/>
        <w:adjustRightInd/>
        <w:snapToGrid/>
        <w:spacing w:line="520" w:lineRule="exact"/>
        <w:ind w:firstLine="42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9.1应设置视频安防监控。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设置视频安防监控，以确保婴幼儿的安全和健康</w:t>
      </w:r>
      <w:r>
        <w:rPr>
          <w:rFonts w:hint="eastAsia" w:ascii="宋体" w:hAnsi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“莲都区卫生健康局关于印发《莲都区托育角 建设标准（试行）》的通知（莲卫〔2024〕30号）文件”中也明确要安装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视频安防监控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9.2应有明显安全教育提示、安全监护措施等。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说明：在安全教育提示和安全监护措施方面，</w:t>
      </w:r>
      <w:r>
        <w:rPr>
          <w:rFonts w:hint="eastAsia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用台签等形式提醒家长注意安全，做好监护。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9.3应定期维护、更换损坏的玩具，确保安全。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说明：定期维护玩具，确保玩具无破损、尖锐物等安全隐患。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10.标志标识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10.1应设置统一规范的“小莲宝乐园”标志，样式见图1。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10.2应在醒目位置设置《托育角使用温馨提示》，样式见图2。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说明：规定了“托育角”“托育角使用温馨提示”统一标识的样式</w:t>
      </w:r>
      <w:r>
        <w:rPr>
          <w:rFonts w:hint="eastAsia" w:hAnsi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，通过使用统一的标识，打造莲都区婴幼儿养育照护服务的本土品牌。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七、地方技术性规范基本情况及变更说明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一）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主要参考文献</w:t>
      </w:r>
    </w:p>
    <w:p>
      <w:pPr>
        <w:pStyle w:val="15"/>
        <w:numPr>
          <w:ilvl w:val="0"/>
          <w:numId w:val="0"/>
        </w:numPr>
        <w:ind w:left="643" w:leftChars="0"/>
        <w:outlineLvl w:val="1"/>
        <w:rPr>
          <w:rFonts w:hint="eastAsia" w:ascii="楷体_GB2312" w:hAnsi="仿宋" w:eastAsia="楷体_GB2312" w:cs="Calibri"/>
          <w:b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Calibri"/>
          <w:b/>
          <w:sz w:val="28"/>
          <w:szCs w:val="28"/>
          <w:lang w:val="en-US" w:eastAsia="zh-CN"/>
        </w:rPr>
        <w:t>无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二）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地方技术性规范名称及变更说明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outlineLvl w:val="1"/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鉴于</w:t>
      </w:r>
      <w:r>
        <w:rPr>
          <w:rFonts w:hint="eastAsia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托育角的建设主要以社区为主，且“托育角”“场所”名词有重复，</w:t>
      </w:r>
      <w:r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故将</w:t>
      </w:r>
      <w:r>
        <w:rPr>
          <w:rFonts w:hint="eastAsia" w:hAnsi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原</w:t>
      </w:r>
      <w:r>
        <w:rPr>
          <w:rFonts w:hint="eastAsia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《托育角场所设置要求》</w:t>
      </w:r>
      <w:r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标准名称改为《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社区托育角设置规范</w:t>
      </w:r>
      <w:r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三）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地方技术性规范适用范围及变更说明</w:t>
      </w:r>
    </w:p>
    <w:p>
      <w:pPr>
        <w:pStyle w:val="15"/>
        <w:numPr>
          <w:ilvl w:val="0"/>
          <w:numId w:val="0"/>
        </w:numPr>
        <w:ind w:left="643" w:leftChars="0"/>
        <w:outlineLvl w:val="1"/>
        <w:rPr>
          <w:rFonts w:hint="default" w:ascii="楷体_GB2312" w:hAnsi="仿宋" w:eastAsia="楷体_GB2312" w:cs="Calibri"/>
          <w:b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Calibri"/>
          <w:b/>
          <w:sz w:val="28"/>
          <w:szCs w:val="28"/>
          <w:lang w:val="en-US" w:eastAsia="zh-CN"/>
        </w:rPr>
        <w:t xml:space="preserve"> 无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四）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地方技术性规范结构框架及变更说明</w:t>
      </w:r>
    </w:p>
    <w:p>
      <w:pPr>
        <w:pStyle w:val="15"/>
        <w:numPr>
          <w:ilvl w:val="0"/>
          <w:numId w:val="0"/>
        </w:numPr>
        <w:ind w:left="643" w:leftChars="0" w:firstLine="281" w:firstLineChars="100"/>
        <w:outlineLvl w:val="1"/>
        <w:rPr>
          <w:rFonts w:hint="eastAsia" w:ascii="楷体_GB2312" w:hAnsi="仿宋" w:eastAsia="楷体_GB2312" w:cs="Calibri"/>
          <w:b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 w:cs="Calibri"/>
          <w:b/>
          <w:sz w:val="28"/>
          <w:szCs w:val="28"/>
          <w:lang w:val="en-US" w:eastAsia="zh-CN"/>
        </w:rPr>
        <w:t>无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五）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专利等知识产权问题涉及情况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20"/>
        <w:textAlignment w:val="auto"/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规范</w:t>
      </w:r>
      <w:r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为首次制定，与其他同类标准无冲突，不涉及专利和知识产权问题。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81" w:firstLineChars="10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六）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其他需要补充的内容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八、主要试验（或验证）的分析报告、相关技术和经济影响论证（必要时）</w:t>
      </w:r>
    </w:p>
    <w:p>
      <w:pPr>
        <w:pStyle w:val="15"/>
        <w:numPr>
          <w:ilvl w:val="0"/>
          <w:numId w:val="0"/>
        </w:numPr>
        <w:ind w:left="567" w:leftChars="0"/>
        <w:outlineLvl w:val="0"/>
        <w:rPr>
          <w:rFonts w:hint="default" w:ascii="楷体_GB2312" w:hAnsi="仿宋" w:eastAsia="楷体_GB2312" w:cs="Calibri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 w:cs="Calibri"/>
          <w:b/>
          <w:sz w:val="28"/>
          <w:szCs w:val="28"/>
          <w:lang w:val="en-US" w:eastAsia="zh-CN"/>
        </w:rPr>
        <w:t xml:space="preserve"> 无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九、地方技术性规范实施的情况说明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一）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预期的社会经济效益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为3岁以下婴幼儿照护服务是生命全周期服务管理的重要内容，事关婴幼儿健康成长，事关千家万户。随着社会经济的快速发展，家长对于婴幼儿照护服务越来越重视。该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的制定，为莲都区托育角的建设提供技术支撑；通过该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实施，能够满足孩子活动、娱乐、憩息的需求，为家长提供了养育照护的公共场所，让婴幼儿照护场地和设施更加多元化、多样性。托育角的建设遵循了婴幼儿成长特点和规律，场地布置、提供的设施均有利于婴幼儿在身体发育、动作、语言、认知、情感和社会性的等方面的全面发展，促进婴幼儿健康成长，同时，通过建设托育角，可以盘活利用现有的城乡社区公共服务设施，迭代后为婴幼儿照护创造安全、适宜的环境和条件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二）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贯彻实施地方技术性规范的要求和措施等建议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本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规范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为莲都区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技术性规范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加强指导，推动落实。主管部门切实加强对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社区托育角的设置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指导，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加大宣传力度，结合本区的特色做好托育角建设工作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7" w:leftChars="0"/>
        <w:textAlignment w:val="auto"/>
        <w:outlineLvl w:val="0"/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val="en-US" w:eastAsia="zh-CN"/>
        </w:rPr>
        <w:t>三）</w:t>
      </w:r>
      <w:r>
        <w:rPr>
          <w:rFonts w:hint="eastAsia" w:ascii="Times New Roman" w:hAnsi="Times New Roman" w:eastAsia="楷体_GB2312" w:cs="Times New Roman"/>
          <w:b/>
          <w:sz w:val="28"/>
          <w:szCs w:val="28"/>
          <w:lang w:eastAsia="zh-CN"/>
        </w:rPr>
        <w:t>废止现行有关标准（地方技术性规范）的建议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20"/>
        <w:textAlignment w:val="auto"/>
        <w:rPr>
          <w:rFonts w:hint="default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该地方技术性规范制定实施后，无需废止其它标准。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十、重大意见分歧的处理依据和结果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20"/>
        <w:textAlignment w:val="auto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该地方技术性规范制订过程中，未出现重大意见分歧。</w:t>
      </w:r>
    </w:p>
    <w:p>
      <w:pPr>
        <w:outlineLvl w:val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1 </w:t>
      </w:r>
      <w:r>
        <w:rPr>
          <w:rFonts w:hint="eastAsia" w:ascii="黑体" w:hAnsi="黑体" w:eastAsia="黑体"/>
          <w:sz w:val="30"/>
          <w:szCs w:val="30"/>
        </w:rPr>
        <w:t xml:space="preserve">：     </w:t>
      </w:r>
    </w:p>
    <w:p>
      <w:pPr>
        <w:jc w:val="center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  <w:lang w:val="en-US" w:eastAsia="zh-CN"/>
        </w:rPr>
        <w:t>2024</w:t>
      </w:r>
      <w:r>
        <w:rPr>
          <w:rFonts w:hint="eastAsia" w:ascii="黑体" w:hAnsi="仿宋" w:eastAsia="黑体"/>
          <w:sz w:val="32"/>
          <w:szCs w:val="32"/>
        </w:rPr>
        <w:t>年</w:t>
      </w:r>
      <w:r>
        <w:rPr>
          <w:rFonts w:hint="eastAsia" w:ascii="黑体" w:hAnsi="仿宋" w:eastAsia="黑体"/>
          <w:sz w:val="32"/>
          <w:szCs w:val="32"/>
          <w:lang w:eastAsia="zh-CN"/>
        </w:rPr>
        <w:t>莲都区</w:t>
      </w:r>
      <w:r>
        <w:rPr>
          <w:rFonts w:hint="eastAsia" w:ascii="黑体" w:hAnsi="仿宋" w:eastAsia="黑体"/>
          <w:sz w:val="32"/>
          <w:szCs w:val="32"/>
        </w:rPr>
        <w:t>地方技术性规范征求意见汇总表</w:t>
      </w:r>
    </w:p>
    <w:tbl>
      <w:tblPr>
        <w:tblStyle w:val="7"/>
        <w:tblW w:w="15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02"/>
        <w:gridCol w:w="2693"/>
        <w:gridCol w:w="3398"/>
        <w:gridCol w:w="1970"/>
        <w:gridCol w:w="2645"/>
        <w:gridCol w:w="166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4133" w:type="dxa"/>
            <w:gridSpan w:val="3"/>
            <w:vAlign w:val="center"/>
          </w:tcPr>
          <w:p>
            <w:pPr>
              <w:spacing w:line="0" w:lineRule="atLeast"/>
              <w:ind w:firstLine="630" w:firstLineChars="30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地方技术性规范项目名称</w:t>
            </w:r>
          </w:p>
        </w:tc>
        <w:tc>
          <w:tcPr>
            <w:tcW w:w="1130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《</w:t>
            </w:r>
            <w:r>
              <w:rPr>
                <w:rFonts w:hint="eastAsia" w:ascii="黑体" w:hAnsi="黑体" w:eastAsia="黑体"/>
                <w:lang w:val="en-US" w:eastAsia="zh-CN"/>
              </w:rPr>
              <w:t>社区托育角设置</w:t>
            </w: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规范</w:t>
            </w:r>
            <w:r>
              <w:rPr>
                <w:rFonts w:hint="eastAsia" w:ascii="黑体" w:hAnsi="黑体" w:eastAsia="黑体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53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章条编号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  稿</w:t>
            </w:r>
          </w:p>
          <w:p>
            <w:pPr>
              <w:spacing w:line="0" w:lineRule="atLeast"/>
              <w:jc w:val="center"/>
              <w:rPr>
                <w:rFonts w:ascii="仿宋_GB2312" w:hAnsi="黑体"/>
                <w:b/>
              </w:rPr>
            </w:pPr>
            <w:r>
              <w:rPr>
                <w:rFonts w:hint="eastAsia" w:ascii="黑体" w:hAnsi="黑体" w:eastAsia="黑体"/>
              </w:rPr>
              <w:t>标题名称+条款内容</w:t>
            </w:r>
          </w:p>
        </w:tc>
        <w:tc>
          <w:tcPr>
            <w:tcW w:w="3398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修改建议/意见</w:t>
            </w:r>
          </w:p>
        </w:tc>
        <w:tc>
          <w:tcPr>
            <w:tcW w:w="1970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修改理由</w:t>
            </w:r>
          </w:p>
        </w:tc>
        <w:tc>
          <w:tcPr>
            <w:tcW w:w="264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提出单位（</w:t>
            </w:r>
            <w:r>
              <w:rPr>
                <w:rFonts w:hint="eastAsia" w:ascii="黑体" w:hAnsi="黑体" w:eastAsia="黑体"/>
                <w:lang w:eastAsia="zh-CN"/>
              </w:rPr>
              <w:t>科</w:t>
            </w:r>
            <w:r>
              <w:rPr>
                <w:rFonts w:hint="eastAsia" w:ascii="黑体" w:hAnsi="黑体" w:eastAsia="黑体"/>
              </w:rPr>
              <w:t>室）名称/个人姓名</w:t>
            </w:r>
          </w:p>
        </w:tc>
        <w:tc>
          <w:tcPr>
            <w:tcW w:w="166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处理意见 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(采纳/未采纳)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4基本要求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4.1宜选地面层，面积应不少于10平方米。</w:t>
            </w: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改为：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4.1宜选地面层，面积应不少于10平方米，不应设置在地下或半地下。</w:t>
            </w:r>
          </w:p>
        </w:tc>
        <w:tc>
          <w:tcPr>
            <w:tcW w:w="1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明确不应设置的空间环境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莲都区消防救援大队大队部 李晶晶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采纳</w:t>
            </w:r>
          </w:p>
        </w:tc>
        <w:tc>
          <w:tcPr>
            <w:tcW w:w="162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内容更完整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4.2应适合婴幼儿活动，室内的采光、通风、消防应符合GB 50033、JGJ 39、GB 55036的规定。</w:t>
            </w: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改为：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4.2装修装饰、功能设置适宜与婴幼儿活动相适应。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突出装修装饰、功能设置的要求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 xml:space="preserve">丽水市质量检测检验研究院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吴雨晨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采纳</w:t>
            </w:r>
          </w:p>
        </w:tc>
        <w:tc>
          <w:tcPr>
            <w:tcW w:w="162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明确功能布局的要求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4.3应建立日常管理制度，包含健康教育制度、卫生与消毒制度、意外伤害预防制度等。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4.4配备专兼职管理人员一名。</w:t>
            </w: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改为：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4.3婴幼儿活动应有专人监护或陪护。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4.4应建立相应的管理制度，包含健康教育制度、卫生与消毒制度、意外伤害预防制度等。</w:t>
            </w:r>
          </w:p>
        </w:tc>
        <w:tc>
          <w:tcPr>
            <w:tcW w:w="1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明确婴幼儿活动应有专人监护的要求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 xml:space="preserve">丽水两山学院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梅庆君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采纳</w:t>
            </w:r>
          </w:p>
        </w:tc>
        <w:tc>
          <w:tcPr>
            <w:tcW w:w="162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内容更为切合实际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4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无</w:t>
            </w: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增加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4.6对于一、二级耐火等级建筑，应布置在首层、二层或三层；对于三级耐火等级建筑，应布置在首层或二层；对于四级耐火等级建筑，应布置在首层。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4.7位于高层建筑内时，安全出口和疏散楼梯应独立设置；位于多层建筑内时，应至少设置1个独立的安全出口或1部独立的疏散楼梯。</w:t>
            </w:r>
          </w:p>
        </w:tc>
        <w:tc>
          <w:tcPr>
            <w:tcW w:w="1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建筑的耐火等级要求和安全出口和疏散楼梯要求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莲都区消防救援大队大队部 李晶晶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不采纳</w:t>
            </w:r>
          </w:p>
        </w:tc>
        <w:tc>
          <w:tcPr>
            <w:tcW w:w="162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耐火等级建筑要求和安全出口、疏散楼梯的设置等要求，应该在原有的建筑应已设置的。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5 环境空间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增加：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5.6应配备消毒剂、紫外线消毒灯（柜）或其他空气消毒装置。</w:t>
            </w:r>
          </w:p>
        </w:tc>
        <w:tc>
          <w:tcPr>
            <w:tcW w:w="19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消毒剂、紫外线消毒等装置应在环境空间中体现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丽水市妇幼保健院保健部 付佳佳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采纳</w:t>
            </w:r>
          </w:p>
        </w:tc>
        <w:tc>
          <w:tcPr>
            <w:tcW w:w="16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内容更加完善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 装修装饰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6.3‌地面应使用防滑材料，家具的陈设应光滑无锐角。</w:t>
            </w: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改为：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6.3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地面应使用防滑材料及铺设软垫，柱子、窗台、内墙阳角宜做成小圆角。</w:t>
            </w:r>
          </w:p>
        </w:tc>
        <w:tc>
          <w:tcPr>
            <w:tcW w:w="1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除了地面，还应对柱子、窗台、内墙阳角等要求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丽水市妇幼保健院保健部 付佳佳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采纳</w:t>
            </w:r>
          </w:p>
        </w:tc>
        <w:tc>
          <w:tcPr>
            <w:tcW w:w="16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内容更广泛，结构更为合理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6.3‌地面应使用防滑材料，家具的陈设应光滑无锐角。</w:t>
            </w: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另设：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6.6家具的陈设应光滑无锐角。</w:t>
            </w:r>
          </w:p>
        </w:tc>
        <w:tc>
          <w:tcPr>
            <w:tcW w:w="19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家具独立设置更为合理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莲都区卫生健康服务中心 陈仁武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采纳</w:t>
            </w:r>
          </w:p>
        </w:tc>
        <w:tc>
          <w:tcPr>
            <w:tcW w:w="16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家具独立一条更为合理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无</w:t>
            </w: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增加：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6.7室内装修装饰材料应采用不燃、难燃材料。</w:t>
            </w:r>
          </w:p>
        </w:tc>
        <w:tc>
          <w:tcPr>
            <w:tcW w:w="19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明确装修装饰材料防的材质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莲都区岩泉街道丽阳社区 黄巧敏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不采纳</w:t>
            </w:r>
          </w:p>
        </w:tc>
        <w:tc>
          <w:tcPr>
            <w:tcW w:w="16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已在6.1条款中明确“应选择绿色、环保、防火的装修材料”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0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8安全要求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8.3应配备消毒剂、紫外线消毒灯（柜）或其他空气消毒装置。</w:t>
            </w:r>
          </w:p>
        </w:tc>
        <w:tc>
          <w:tcPr>
            <w:tcW w:w="33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改为：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8.3应有明显的逃生安全设施、安全教育提示、安全监护措施等。</w:t>
            </w:r>
          </w:p>
        </w:tc>
        <w:tc>
          <w:tcPr>
            <w:tcW w:w="197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安全要求中未提到</w:t>
            </w:r>
          </w:p>
        </w:tc>
        <w:tc>
          <w:tcPr>
            <w:tcW w:w="26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莲都区卫生健康服务中心 陈仁武</w:t>
            </w:r>
          </w:p>
        </w:tc>
        <w:tc>
          <w:tcPr>
            <w:tcW w:w="16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采纳</w:t>
            </w:r>
          </w:p>
        </w:tc>
        <w:tc>
          <w:tcPr>
            <w:tcW w:w="16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8"/>
                <w:lang w:val="en-US" w:eastAsia="zh-CN" w:bidi="ar-SA"/>
              </w:rPr>
              <w:t>增加了安全设施、安全教育提示、安全监护措施等内容</w:t>
            </w:r>
          </w:p>
        </w:tc>
      </w:tr>
    </w:tbl>
    <w:p>
      <w:pPr>
        <w:spacing w:before="190" w:beforeLines="50" w:after="190" w:afterLines="50"/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/>
        </w:rPr>
        <w:t xml:space="preserve">    注：回函无意见一并汇总统计。</w:t>
      </w:r>
    </w:p>
    <w:p>
      <w:pPr>
        <w:spacing w:before="190" w:beforeLines="50" w:after="190" w:afterLines="50"/>
        <w:jc w:val="left"/>
        <w:rPr>
          <w:rFonts w:ascii="黑体" w:hAnsi="仿宋" w:eastAsia="黑体"/>
          <w:sz w:val="32"/>
          <w:szCs w:val="32"/>
        </w:rPr>
      </w:pPr>
    </w:p>
    <w:p>
      <w:pPr>
        <w:spacing w:before="190" w:beforeLines="50" w:after="190" w:afterLines="50"/>
        <w:jc w:val="left"/>
        <w:rPr>
          <w:rFonts w:ascii="黑体" w:hAnsi="仿宋" w:eastAsia="黑体"/>
          <w:sz w:val="32"/>
          <w:szCs w:val="32"/>
        </w:rPr>
      </w:pPr>
    </w:p>
    <w:p>
      <w:pPr>
        <w:spacing w:before="190" w:beforeLines="50" w:after="190" w:afterLines="50"/>
        <w:jc w:val="left"/>
        <w:rPr>
          <w:rFonts w:ascii="黑体" w:hAnsi="仿宋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2 </w:t>
      </w:r>
      <w:r>
        <w:rPr>
          <w:rFonts w:hint="eastAsia" w:ascii="黑体" w:hAnsi="黑体" w:eastAsia="黑体"/>
          <w:sz w:val="30"/>
          <w:szCs w:val="30"/>
        </w:rPr>
        <w:t xml:space="preserve">： </w:t>
      </w:r>
    </w:p>
    <w:p>
      <w:pPr>
        <w:spacing w:after="190" w:afterLines="50"/>
        <w:jc w:val="center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  <w:lang w:val="en-US" w:eastAsia="zh-CN"/>
        </w:rPr>
        <w:t>2024</w:t>
      </w:r>
      <w:r>
        <w:rPr>
          <w:rFonts w:hint="eastAsia" w:ascii="黑体" w:hAnsi="仿宋" w:eastAsia="黑体"/>
          <w:sz w:val="32"/>
          <w:szCs w:val="32"/>
        </w:rPr>
        <w:t>年</w:t>
      </w:r>
      <w:r>
        <w:rPr>
          <w:rFonts w:hint="eastAsia" w:ascii="黑体" w:hAnsi="仿宋" w:eastAsia="黑体"/>
          <w:sz w:val="32"/>
          <w:szCs w:val="32"/>
          <w:lang w:eastAsia="zh-CN"/>
        </w:rPr>
        <w:t>莲都区</w:t>
      </w:r>
      <w:r>
        <w:rPr>
          <w:rFonts w:hint="eastAsia" w:ascii="黑体" w:hAnsi="仿宋" w:eastAsia="黑体"/>
          <w:sz w:val="32"/>
          <w:szCs w:val="32"/>
        </w:rPr>
        <w:t>地方技术性规范征求意见处理表</w:t>
      </w:r>
    </w:p>
    <w:tbl>
      <w:tblPr>
        <w:tblStyle w:val="7"/>
        <w:tblW w:w="1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</w:rPr>
              <w:t>项 目  名 称</w:t>
            </w:r>
          </w:p>
        </w:tc>
        <w:tc>
          <w:tcPr>
            <w:tcW w:w="13750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黑体" w:hAnsi="黑体" w:eastAsia="黑体"/>
              </w:rPr>
              <w:t>《</w:t>
            </w:r>
            <w:r>
              <w:rPr>
                <w:rFonts w:hint="eastAsia" w:ascii="黑体" w:hAnsi="黑体" w:eastAsia="黑体"/>
                <w:lang w:val="en-US" w:eastAsia="zh-CN"/>
              </w:rPr>
              <w:t>社区托育角设置</w:t>
            </w: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规范</w:t>
            </w:r>
            <w:r>
              <w:rPr>
                <w:rFonts w:hint="eastAsia" w:ascii="黑体" w:hAnsi="黑体" w:eastAsia="黑体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意见发出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及收回情况</w:t>
            </w:r>
          </w:p>
        </w:tc>
        <w:tc>
          <w:tcPr>
            <w:tcW w:w="13750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①发送“征求意见稿”的情况：</w:t>
            </w:r>
          </w:p>
          <w:p>
            <w:pPr>
              <w:spacing w:line="400" w:lineRule="exact"/>
              <w:ind w:left="420" w:left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公文便函：</w:t>
            </w:r>
            <w:r>
              <w:rPr>
                <w:rFonts w:hint="eastAsia"/>
                <w:sz w:val="24"/>
                <w:szCs w:val="24"/>
                <w:lang w:eastAsia="zh-CN"/>
              </w:rPr>
              <w:t>区级</w:t>
            </w:r>
            <w:r>
              <w:rPr>
                <w:rFonts w:hint="eastAsia"/>
                <w:sz w:val="24"/>
                <w:szCs w:val="24"/>
              </w:rPr>
              <w:t>收文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单位家数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__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00" w:lineRule="exact"/>
              <w:ind w:left="420" w:left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工作条线：送达人数__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__（电话/微信/钉钉/办公助手/QQ/邮件等联系群/人）</w:t>
            </w:r>
          </w:p>
          <w:p>
            <w:pPr>
              <w:spacing w:line="400" w:lineRule="exact"/>
              <w:ind w:left="420" w:left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社会公众：途径种类数_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 征求次数__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_（公开网站/电视/报纸等）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②收到“征求意见稿”后，回函的单位数: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个；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收到“征求意见稿”后，没有回函的单位数：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71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个；</w:t>
            </w:r>
          </w:p>
          <w:p>
            <w:pPr>
              <w:spacing w:line="40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③收到“征求意见稿”后，回函并有建议或意见的单位数: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个；</w:t>
            </w: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收到“征求意见稿”后，回函无意见的单位数: _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反馈意见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覆盖面</w:t>
            </w:r>
          </w:p>
        </w:tc>
        <w:tc>
          <w:tcPr>
            <w:tcW w:w="13750" w:type="dxa"/>
            <w:vAlign w:val="center"/>
          </w:tcPr>
          <w:p>
            <w:pPr>
              <w:pStyle w:val="33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区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级行业领域相关部门（单位）：</w:t>
            </w:r>
          </w:p>
          <w:p>
            <w:pPr>
              <w:pStyle w:val="33"/>
              <w:spacing w:line="400" w:lineRule="exact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区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级</w:t>
            </w:r>
            <w:r>
              <w:rPr>
                <w:rFonts w:hint="eastAsia" w:eastAsia="仿宋_GB2312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行业主管（</w:t>
            </w:r>
            <w:r>
              <w:rPr>
                <w:rFonts w:hint="eastAsia" w:eastAsia="仿宋_GB2312"/>
                <w:kern w:val="2"/>
                <w:sz w:val="24"/>
                <w:szCs w:val="24"/>
                <w:u w:val="single"/>
              </w:rPr>
              <w:t>归口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）部门：主要涉及：</w:t>
            </w:r>
            <w:r>
              <w:rPr>
                <w:rFonts w:hint="eastAsia" w:eastAsia="仿宋_GB2312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个相关业务科室或下属事业单位；</w:t>
            </w:r>
          </w:p>
          <w:p>
            <w:pPr>
              <w:pStyle w:val="33"/>
              <w:spacing w:line="400" w:lineRule="exact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其他相关行业部门：主要涉及：</w:t>
            </w:r>
            <w:r>
              <w:rPr>
                <w:rFonts w:hint="eastAsia" w:eastAsia="仿宋_GB2312"/>
                <w:kern w:val="2"/>
                <w:sz w:val="24"/>
                <w:szCs w:val="24"/>
                <w:u w:val="single"/>
              </w:rPr>
              <w:t xml:space="preserve">                        等 </w:t>
            </w:r>
            <w:r>
              <w:rPr>
                <w:rFonts w:hint="eastAsia" w:eastAsia="仿宋_GB2312"/>
                <w:kern w:val="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_GB2312"/>
                <w:kern w:val="2"/>
                <w:sz w:val="24"/>
                <w:szCs w:val="24"/>
              </w:rPr>
              <w:t>个部门或下属事业单位。</w:t>
            </w:r>
          </w:p>
          <w:p>
            <w:pPr>
              <w:pStyle w:val="33"/>
              <w:spacing w:line="400" w:lineRule="exact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□专业标技委 □行业协会 □科研机构 □检验检测机构 □大专院校</w:t>
            </w:r>
          </w:p>
          <w:p>
            <w:pPr>
              <w:pStyle w:val="33"/>
              <w:spacing w:line="400" w:lineRule="exact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（3）标准相关利益方：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□生产单位 □技术单位 □销售单位 □经营单位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管理单位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服务单位</w:t>
            </w:r>
          </w:p>
          <w:p>
            <w:pPr>
              <w:spacing w:line="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应用单位（使用单位）□评价单位 □其他单位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 </w:t>
            </w:r>
          </w:p>
        </w:tc>
      </w:tr>
    </w:tbl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42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26D27"/>
    <w:multiLevelType w:val="singleLevel"/>
    <w:tmpl w:val="A4B26D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89CE4E"/>
    <w:multiLevelType w:val="singleLevel"/>
    <w:tmpl w:val="F889CE4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19"/>
      <w:suff w:val="nothing"/>
      <w:lvlText w:val="%1　"/>
      <w:lvlJc w:val="left"/>
      <w:pPr>
        <w:ind w:left="709"/>
      </w:pPr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5529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410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418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3">
    <w:nsid w:val="2CE21E4B"/>
    <w:multiLevelType w:val="multilevel"/>
    <w:tmpl w:val="2CE21E4B"/>
    <w:lvl w:ilvl="0" w:tentative="0">
      <w:start w:val="1"/>
      <w:numFmt w:val="chineseCountingThousand"/>
      <w:suff w:val="nothing"/>
      <w:lvlText w:val="%1、"/>
      <w:lvlJc w:val="left"/>
      <w:pPr>
        <w:ind w:left="1287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2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3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DdkYjc5MDVhZTk2YTE4OWM4ZmZiMDgxYWRiYzEifQ=="/>
  </w:docVars>
  <w:rsids>
    <w:rsidRoot w:val="73041C9C"/>
    <w:rsid w:val="00031E91"/>
    <w:rsid w:val="001F5EC6"/>
    <w:rsid w:val="0060022F"/>
    <w:rsid w:val="006129F3"/>
    <w:rsid w:val="009D7EC3"/>
    <w:rsid w:val="00C4756E"/>
    <w:rsid w:val="00DB3B93"/>
    <w:rsid w:val="01284AD7"/>
    <w:rsid w:val="02ED2655"/>
    <w:rsid w:val="0374264E"/>
    <w:rsid w:val="041B7F14"/>
    <w:rsid w:val="04296264"/>
    <w:rsid w:val="064C35F3"/>
    <w:rsid w:val="0666540C"/>
    <w:rsid w:val="07E55F7C"/>
    <w:rsid w:val="08E90B95"/>
    <w:rsid w:val="09120A73"/>
    <w:rsid w:val="0A202A97"/>
    <w:rsid w:val="0A4363E0"/>
    <w:rsid w:val="0AE340AD"/>
    <w:rsid w:val="0C16501A"/>
    <w:rsid w:val="0C554227"/>
    <w:rsid w:val="0D452626"/>
    <w:rsid w:val="0D507EBA"/>
    <w:rsid w:val="0E6536E6"/>
    <w:rsid w:val="0F3C2EDE"/>
    <w:rsid w:val="0F596F3E"/>
    <w:rsid w:val="0F5F7D09"/>
    <w:rsid w:val="0F6728E2"/>
    <w:rsid w:val="0F8D77BF"/>
    <w:rsid w:val="106F798D"/>
    <w:rsid w:val="132F3959"/>
    <w:rsid w:val="13C805BA"/>
    <w:rsid w:val="160141DA"/>
    <w:rsid w:val="1679675F"/>
    <w:rsid w:val="17BE1F8A"/>
    <w:rsid w:val="17C53277"/>
    <w:rsid w:val="17F02359"/>
    <w:rsid w:val="18DD2629"/>
    <w:rsid w:val="1B5B3570"/>
    <w:rsid w:val="1B6463FE"/>
    <w:rsid w:val="1B9E4321"/>
    <w:rsid w:val="1C616170"/>
    <w:rsid w:val="1D373673"/>
    <w:rsid w:val="1D9F1DE5"/>
    <w:rsid w:val="1E1C4AE6"/>
    <w:rsid w:val="1EF84A30"/>
    <w:rsid w:val="1FA165A8"/>
    <w:rsid w:val="1FDA740D"/>
    <w:rsid w:val="20BC4F5F"/>
    <w:rsid w:val="20DC09B2"/>
    <w:rsid w:val="226B7B6A"/>
    <w:rsid w:val="22834701"/>
    <w:rsid w:val="238B36E9"/>
    <w:rsid w:val="23A74FA6"/>
    <w:rsid w:val="23CC5858"/>
    <w:rsid w:val="24610C3D"/>
    <w:rsid w:val="24DB3EC4"/>
    <w:rsid w:val="25323273"/>
    <w:rsid w:val="253D3E6D"/>
    <w:rsid w:val="25716D1F"/>
    <w:rsid w:val="2618669C"/>
    <w:rsid w:val="26CB3C7F"/>
    <w:rsid w:val="271D0823"/>
    <w:rsid w:val="273601FB"/>
    <w:rsid w:val="274A6102"/>
    <w:rsid w:val="275F3B75"/>
    <w:rsid w:val="27914B12"/>
    <w:rsid w:val="27BD56F3"/>
    <w:rsid w:val="28574E5C"/>
    <w:rsid w:val="28643D9E"/>
    <w:rsid w:val="2A361258"/>
    <w:rsid w:val="2B842F73"/>
    <w:rsid w:val="2B9604F7"/>
    <w:rsid w:val="2BD44300"/>
    <w:rsid w:val="2C2C2488"/>
    <w:rsid w:val="2D0F28B4"/>
    <w:rsid w:val="2D3F0179"/>
    <w:rsid w:val="2D4F1C0F"/>
    <w:rsid w:val="2EC8068F"/>
    <w:rsid w:val="300F3DBE"/>
    <w:rsid w:val="307D4012"/>
    <w:rsid w:val="30F21BCD"/>
    <w:rsid w:val="31934A7B"/>
    <w:rsid w:val="32002B13"/>
    <w:rsid w:val="33313F09"/>
    <w:rsid w:val="336F7BD0"/>
    <w:rsid w:val="35951F2F"/>
    <w:rsid w:val="36304B26"/>
    <w:rsid w:val="39E3734B"/>
    <w:rsid w:val="3AAC6D8F"/>
    <w:rsid w:val="3B002867"/>
    <w:rsid w:val="3CA6706B"/>
    <w:rsid w:val="3CB05CA5"/>
    <w:rsid w:val="3D10193C"/>
    <w:rsid w:val="3DD16879"/>
    <w:rsid w:val="3DF9239F"/>
    <w:rsid w:val="3F066765"/>
    <w:rsid w:val="3F6451D5"/>
    <w:rsid w:val="41EF18C1"/>
    <w:rsid w:val="41FD24EF"/>
    <w:rsid w:val="43D917BF"/>
    <w:rsid w:val="4425114E"/>
    <w:rsid w:val="44D54164"/>
    <w:rsid w:val="45085FBF"/>
    <w:rsid w:val="45240695"/>
    <w:rsid w:val="45AF300D"/>
    <w:rsid w:val="462048B3"/>
    <w:rsid w:val="46EE6842"/>
    <w:rsid w:val="47671E92"/>
    <w:rsid w:val="47A571FC"/>
    <w:rsid w:val="482A5EC4"/>
    <w:rsid w:val="48E460BD"/>
    <w:rsid w:val="49721C76"/>
    <w:rsid w:val="4C0D3071"/>
    <w:rsid w:val="4C836828"/>
    <w:rsid w:val="4E3F1CDE"/>
    <w:rsid w:val="4E8E4131"/>
    <w:rsid w:val="4FC035F7"/>
    <w:rsid w:val="503345F1"/>
    <w:rsid w:val="50A222BA"/>
    <w:rsid w:val="529C435D"/>
    <w:rsid w:val="530E1761"/>
    <w:rsid w:val="53520C18"/>
    <w:rsid w:val="53AD7C86"/>
    <w:rsid w:val="54592ADC"/>
    <w:rsid w:val="54AA5490"/>
    <w:rsid w:val="55111471"/>
    <w:rsid w:val="552831B1"/>
    <w:rsid w:val="55DD0B79"/>
    <w:rsid w:val="56097237"/>
    <w:rsid w:val="56A20F40"/>
    <w:rsid w:val="57ED0EB6"/>
    <w:rsid w:val="580C1912"/>
    <w:rsid w:val="58301428"/>
    <w:rsid w:val="595D3FA7"/>
    <w:rsid w:val="598F641C"/>
    <w:rsid w:val="59AE3E0F"/>
    <w:rsid w:val="59D02279"/>
    <w:rsid w:val="5BBB7A1A"/>
    <w:rsid w:val="5BC34133"/>
    <w:rsid w:val="5C061E05"/>
    <w:rsid w:val="5CC606DB"/>
    <w:rsid w:val="5EEE63F9"/>
    <w:rsid w:val="601134D6"/>
    <w:rsid w:val="61524F1B"/>
    <w:rsid w:val="623E2512"/>
    <w:rsid w:val="631C2F1A"/>
    <w:rsid w:val="63F2388A"/>
    <w:rsid w:val="64B31625"/>
    <w:rsid w:val="66F05F56"/>
    <w:rsid w:val="68332285"/>
    <w:rsid w:val="69287C9F"/>
    <w:rsid w:val="694853BF"/>
    <w:rsid w:val="6A236AE6"/>
    <w:rsid w:val="6A8778E5"/>
    <w:rsid w:val="6AB576EA"/>
    <w:rsid w:val="6B432A4E"/>
    <w:rsid w:val="6BEE2E29"/>
    <w:rsid w:val="6C847094"/>
    <w:rsid w:val="6D152226"/>
    <w:rsid w:val="6D242EDF"/>
    <w:rsid w:val="6D3F0C12"/>
    <w:rsid w:val="6DDB616E"/>
    <w:rsid w:val="6E160D96"/>
    <w:rsid w:val="6E3863C3"/>
    <w:rsid w:val="6E5271DC"/>
    <w:rsid w:val="6FBF614F"/>
    <w:rsid w:val="71083527"/>
    <w:rsid w:val="71437D82"/>
    <w:rsid w:val="71926CBC"/>
    <w:rsid w:val="72506FD1"/>
    <w:rsid w:val="73041C9C"/>
    <w:rsid w:val="736308DE"/>
    <w:rsid w:val="74D27DD7"/>
    <w:rsid w:val="754B52AD"/>
    <w:rsid w:val="77D32DD6"/>
    <w:rsid w:val="794706B7"/>
    <w:rsid w:val="7A271655"/>
    <w:rsid w:val="7A601799"/>
    <w:rsid w:val="7B2F2379"/>
    <w:rsid w:val="7B646162"/>
    <w:rsid w:val="7C872434"/>
    <w:rsid w:val="7CCE4757"/>
    <w:rsid w:val="7DB778F9"/>
    <w:rsid w:val="7E95584A"/>
    <w:rsid w:val="7EC5208A"/>
    <w:rsid w:val="7FC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Body Text"/>
    <w:basedOn w:val="1"/>
    <w:next w:val="1"/>
    <w:link w:val="32"/>
    <w:qFormat/>
    <w:uiPriority w:val="99"/>
    <w:pPr>
      <w:spacing w:after="120"/>
    </w:p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styleId="13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一级条标题"/>
    <w:next w:val="16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章标题"/>
    <w:next w:val="16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标准文件_一级无标题"/>
    <w:basedOn w:val="22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2">
    <w:name w:val="标准文件_一级条标题"/>
    <w:basedOn w:val="23"/>
    <w:next w:val="20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3">
    <w:name w:val="标准文件_章标题"/>
    <w:next w:val="20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一级无"/>
    <w:basedOn w:val="1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5">
    <w:name w:val="标准文件_术语条一"/>
    <w:basedOn w:val="21"/>
    <w:next w:val="20"/>
    <w:qFormat/>
    <w:uiPriority w:val="0"/>
  </w:style>
  <w:style w:type="paragraph" w:customStyle="1" w:styleId="26">
    <w:name w:val="标准文件_二级无标题"/>
    <w:basedOn w:val="2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7">
    <w:name w:val="标准文件_二级条标题"/>
    <w:next w:val="20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附录标题"/>
    <w:basedOn w:val="29"/>
    <w:qFormat/>
    <w:uiPriority w:val="0"/>
    <w:pPr>
      <w:numPr>
        <w:numId w:val="0"/>
      </w:numPr>
      <w:tabs>
        <w:tab w:val="left" w:pos="6406"/>
      </w:tabs>
      <w:spacing w:after="280"/>
      <w:outlineLvl w:val="9"/>
    </w:pPr>
  </w:style>
  <w:style w:type="paragraph" w:customStyle="1" w:styleId="29">
    <w:name w:val="标准文件_附录标识"/>
    <w:next w:val="20"/>
    <w:qFormat/>
    <w:uiPriority w:val="0"/>
    <w:pPr>
      <w:numPr>
        <w:ilvl w:val="0"/>
        <w:numId w:val="3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31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32">
    <w:name w:val="正文文本 Char"/>
    <w:basedOn w:val="9"/>
    <w:link w:val="3"/>
    <w:qFormat/>
    <w:uiPriority w:val="0"/>
    <w:rPr>
      <w:rFonts w:hint="eastAsia" w:ascii="仿宋_GB2312" w:eastAsia="仿宋_GB2312" w:cs="仿宋_GB2312"/>
      <w:kern w:val="2"/>
      <w:sz w:val="28"/>
      <w:szCs w:val="28"/>
    </w:rPr>
  </w:style>
  <w:style w:type="paragraph" w:customStyle="1" w:styleId="33">
    <w:name w:val="p0"/>
    <w:basedOn w:val="1"/>
    <w:qFormat/>
    <w:uiPriority w:val="99"/>
    <w:pPr>
      <w:widowControl/>
    </w:pPr>
    <w:rPr>
      <w:rFonts w:ascii="Times New Roman" w:hAnsi="Times New Roman"/>
      <w:kern w:val="0"/>
    </w:rPr>
  </w:style>
  <w:style w:type="character" w:customStyle="1" w:styleId="3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styleId="35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5256</Words>
  <Characters>5548</Characters>
  <Lines>38</Lines>
  <Paragraphs>10</Paragraphs>
  <TotalTime>1</TotalTime>
  <ScaleCrop>false</ScaleCrop>
  <LinksUpToDate>false</LinksUpToDate>
  <CharactersWithSpaces>5581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2023-11-09T07:50:00Z</dcterms:created>
  <dc:creator>标准化袁蓉</dc:creator>
  <cp:lastModifiedBy>Administrator</cp:lastModifiedBy>
  <cp:lastPrinted>2024-01-17T02:27:00Z</cp:lastPrinted>
  <dcterms:modified xsi:type="dcterms:W3CDTF">2024-12-04T03:36:33Z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203936D27AF045FEB68E01C13D54D919_13</vt:lpwstr>
  </property>
</Properties>
</file>