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《紫金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中航混凝土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有限公司分布式光伏发电项目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（草案送审稿）》解读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1"/>
          <w:szCs w:val="31"/>
          <w:shd w:val="clear" w:fill="FFFFFF"/>
        </w:rPr>
        <w:t>一、文件出台背景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ascii="仿宋_GB2312" w:hAnsi="仿宋_GB2312" w:eastAsia="仿宋_GB2312" w:cs="仿宋_GB2312"/>
          <w:sz w:val="32"/>
          <w:szCs w:val="32"/>
        </w:rPr>
        <w:t>国家能源局正式出台《关于建立可再生能源开发利用目标引导制度的指导意见》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《浙江省太阳能发展“十三五”规划》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为响应2023年中央一号文件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“推进农村电网巩固提升，发展农村可再生能源”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的重要部署，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实现乡村全面振兴，壮大村级集体经济，带动村民增收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紫金街道凭借</w:t>
      </w:r>
      <w:r>
        <w:rPr>
          <w:rFonts w:hint="eastAsia" w:ascii="仿宋_GB2312" w:hAnsi="仿宋_GB2312" w:eastAsia="仿宋_GB2312" w:cs="仿宋_GB2312"/>
          <w:sz w:val="32"/>
          <w:szCs w:val="32"/>
        </w:rPr>
        <w:t>“飞地光伏模式”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的经验和风化村良好的地理环境，通过前期的摸排走访调研，</w:t>
      </w: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在丽水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中航混凝土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有限公司厂房上建设光伏发电项目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将绿水青山变为金山银山，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实现百姓富、生态美的统一。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根据相关规定，结合我街道实际，拟定草案。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项目名称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紫金街道中航混凝土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有限公司分布式光伏发电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丽水市聚力集体经济发展有限公司499.5KWP分布式光伏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20" w:firstLineChars="200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主要内容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丽水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中航混凝土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有限公司（丽水市莲都区风化村</w:t>
      </w:r>
      <w:r>
        <w:rPr>
          <w:rFonts w:ascii="仿宋_GB2312" w:hAnsi="仿宋_GB2312" w:eastAsia="仿宋_GB2312" w:cs="仿宋_GB2312"/>
          <w:sz w:val="32"/>
          <w:szCs w:val="32"/>
        </w:rPr>
        <w:t>）房屋顶进行光伏电站建设，本期装机容量为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499.5</w:t>
      </w:r>
      <w:r>
        <w:rPr>
          <w:rFonts w:ascii="仿宋_GB2312" w:hAnsi="仿宋_GB2312" w:eastAsia="仿宋_GB2312" w:cs="仿宋_GB2312"/>
          <w:sz w:val="32"/>
          <w:szCs w:val="32"/>
        </w:rPr>
        <w:t>kWp，采用5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ascii="仿宋_GB2312" w:hAnsi="仿宋_GB2312" w:eastAsia="仿宋_GB2312" w:cs="仿宋_GB2312"/>
          <w:sz w:val="32"/>
          <w:szCs w:val="32"/>
        </w:rPr>
        <w:t>Wp单晶硅组件，初步总计组件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892</w:t>
      </w:r>
      <w:r>
        <w:rPr>
          <w:rFonts w:ascii="仿宋_GB2312" w:hAnsi="仿宋_GB2312" w:eastAsia="仿宋_GB2312" w:cs="仿宋_GB2312"/>
          <w:sz w:val="32"/>
          <w:szCs w:val="32"/>
        </w:rPr>
        <w:t>块,屋顶组件采用固定支架和平铺安装方式，设计寿命25年。</w:t>
      </w:r>
    </w:p>
    <w:p>
      <w:pPr>
        <w:spacing w:line="580" w:lineRule="exact"/>
        <w:ind w:firstLine="620" w:firstLineChars="20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四、项目目标和地点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本项目位于丽水市莲都区风化村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优化区域能源结构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当地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就业、带动工业增加值和相应的税收及经济发展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组织领导。充分认识全面推进乡村振兴是党的十九大作出的重大决策部署，是决胜全面建成小康社会、全面建设社会主义现代化国家的重大历史任务，统一思想，强化分工，密切协同，形成工作合力稳步推进乡村振兴各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加大监管力度。投资主体负责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紫金街道中航混凝土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有限公司分布式光伏发电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项目的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建设和运营，是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项目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的安全生产责任主体，必须贯彻执行国家及行业安全生产管理规定，依法加强建设运营全过程的安全生产管理，有关部门加强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项目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工程施工安全监管、质量监督管理及运行监管。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加大宣传调度。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紫金街道中航混凝土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有限公司分布式光伏发电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项目工程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完成后，投资主体应严格按照国家相关规定及标准，确保设备正常运行，并加强运行维护管理，积极配合管理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确保安全稳定运行。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六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、适用对象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莲都区紫金街道范围内适用本办法。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七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、文件要求的实施时间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本办法自文件发布之日起施行。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八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、解读机关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丽水市莲都区紫金街道办事处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九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、解读人及联系方式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仿宋_GB2312" w:cs="微软雅黑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解读联系人：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练杨蓉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      联系电话：0578-2605185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5B10"/>
    <w:multiLevelType w:val="singleLevel"/>
    <w:tmpl w:val="27F05B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B7BF5"/>
    <w:rsid w:val="05A05206"/>
    <w:rsid w:val="0B853319"/>
    <w:rsid w:val="1B907A3E"/>
    <w:rsid w:val="1EC14BA7"/>
    <w:rsid w:val="25BF10F7"/>
    <w:rsid w:val="32C7382A"/>
    <w:rsid w:val="42D23EF0"/>
    <w:rsid w:val="44CB647A"/>
    <w:rsid w:val="47640E9F"/>
    <w:rsid w:val="499A5D7B"/>
    <w:rsid w:val="59F275DC"/>
    <w:rsid w:val="5B036931"/>
    <w:rsid w:val="5F873CE8"/>
    <w:rsid w:val="6431736A"/>
    <w:rsid w:val="71EA21C0"/>
    <w:rsid w:val="769B7BF5"/>
    <w:rsid w:val="77B0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2023-11-15T01:40:00Z</dcterms:created>
  <dc:creator>Administrator</dc:creator>
  <cp:lastModifiedBy>Administrator</cp:lastModifiedBy>
  <dcterms:modified xsi:type="dcterms:W3CDTF">2024-05-28T09:31:34Z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