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1" w:name="_GoBack"/>
      <w:r>
        <w:rPr>
          <w:rFonts w:hint="eastAsia" w:ascii="方正小标宋简体" w:hAnsi="方正小标宋简体" w:eastAsia="方正小标宋简体" w:cs="方正小标宋简体"/>
          <w:color w:val="auto"/>
          <w:sz w:val="44"/>
          <w:szCs w:val="44"/>
          <w:lang w:eastAsia="zh-CN"/>
        </w:rPr>
        <w:t>丽水市莲都区产业基金管理办法（</w:t>
      </w:r>
      <w:r>
        <w:rPr>
          <w:rFonts w:hint="eastAsia" w:ascii="方正小标宋简体" w:hAnsi="方正小标宋简体" w:eastAsia="方正小标宋简体" w:cs="方正小标宋简体"/>
          <w:color w:val="auto"/>
          <w:sz w:val="44"/>
          <w:szCs w:val="44"/>
          <w:lang w:val="en-US" w:eastAsia="zh-CN"/>
        </w:rPr>
        <w:t>试行）（征求意见稿）</w:t>
      </w:r>
    </w:p>
    <w:bookmarkEnd w:id="1"/>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黑体" w:hAnsi="华文楷体" w:eastAsia="黑体" w:cs="Times New Roman"/>
          <w:color w:val="auto"/>
          <w:sz w:val="32"/>
          <w:szCs w:val="32"/>
          <w:lang w:val="en-US" w:eastAsia="zh-CN"/>
        </w:rPr>
      </w:pPr>
      <w:r>
        <w:rPr>
          <w:rFonts w:hint="eastAsia" w:ascii="黑体" w:hAnsi="华文楷体" w:eastAsia="黑体" w:cs="Times New Roman"/>
          <w:color w:val="auto"/>
          <w:sz w:val="32"/>
          <w:szCs w:val="32"/>
          <w:lang w:val="en-US" w:eastAsia="zh-CN"/>
        </w:rPr>
        <w:t>第一章  总 则</w:t>
      </w:r>
    </w:p>
    <w:p>
      <w:pPr>
        <w:keepNext w:val="0"/>
        <w:keepLines w:val="0"/>
        <w:pageBreakBefore w:val="0"/>
        <w:widowControl w:val="0"/>
        <w:kinsoku/>
        <w:wordWrap/>
        <w:overflowPunct/>
        <w:topLinePunct w:val="0"/>
        <w:autoSpaceDE w:val="0"/>
        <w:bidi w:val="0"/>
        <w:spacing w:line="560" w:lineRule="exact"/>
        <w:ind w:firstLine="643" w:firstLineChars="200"/>
        <w:jc w:val="both"/>
        <w:textAlignment w:val="auto"/>
        <w:rPr>
          <w:rFonts w:hint="eastAsia" w:ascii="仿宋_GB2312" w:hAnsi="华文楷体" w:eastAsia="仿宋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第一条  </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color w:val="auto"/>
          <w:sz w:val="32"/>
          <w:szCs w:val="32"/>
        </w:rPr>
        <w:t>加强丽水市</w:t>
      </w:r>
      <w:r>
        <w:rPr>
          <w:rFonts w:hint="eastAsia" w:ascii="仿宋_GB2312" w:hAnsi="仿宋_GB2312" w:eastAsia="仿宋_GB2312" w:cs="仿宋_GB2312"/>
          <w:color w:val="auto"/>
          <w:sz w:val="32"/>
          <w:szCs w:val="32"/>
          <w:lang w:eastAsia="zh-CN"/>
        </w:rPr>
        <w:t>莲都区产业基金（以下简称“区产业基金”）</w:t>
      </w:r>
      <w:r>
        <w:rPr>
          <w:rFonts w:hint="eastAsia" w:ascii="仿宋_GB2312" w:hAnsi="华文楷体" w:eastAsia="仿宋_GB2312"/>
          <w:color w:val="auto"/>
          <w:sz w:val="32"/>
          <w:szCs w:val="32"/>
        </w:rPr>
        <w:t>的运作与管理</w:t>
      </w:r>
      <w:r>
        <w:rPr>
          <w:rFonts w:hint="eastAsia" w:ascii="仿宋_GB2312" w:hAnsi="华文楷体" w:eastAsia="仿宋_GB2312"/>
          <w:color w:val="auto"/>
          <w:sz w:val="32"/>
          <w:szCs w:val="32"/>
          <w:lang w:eastAsia="zh-CN"/>
        </w:rPr>
        <w:t>，发挥基金引领撬动作用，根据《浙江省财政厅关于</w:t>
      </w:r>
      <w:r>
        <w:rPr>
          <w:rFonts w:hint="eastAsia" w:ascii="仿宋_GB2312" w:hAnsi="华文楷体" w:eastAsia="仿宋_GB2312"/>
          <w:color w:val="auto"/>
          <w:sz w:val="32"/>
          <w:szCs w:val="32"/>
          <w:lang w:val="en-US" w:eastAsia="zh-CN"/>
        </w:rPr>
        <w:t>印发浙江省产业基金管理办法的通知</w:t>
      </w:r>
      <w:r>
        <w:rPr>
          <w:rFonts w:hint="eastAsia" w:ascii="仿宋_GB2312" w:hAnsi="华文楷体" w:eastAsia="仿宋_GB2312"/>
          <w:color w:val="auto"/>
          <w:sz w:val="32"/>
          <w:szCs w:val="32"/>
          <w:lang w:eastAsia="zh-CN"/>
        </w:rPr>
        <w:t>》（浙财建〔</w:t>
      </w:r>
      <w:r>
        <w:rPr>
          <w:rFonts w:hint="eastAsia" w:ascii="仿宋_GB2312" w:hAnsi="华文楷体" w:eastAsia="仿宋_GB2312"/>
          <w:color w:val="auto"/>
          <w:sz w:val="32"/>
          <w:szCs w:val="32"/>
          <w:lang w:val="en-US" w:eastAsia="zh-CN"/>
        </w:rPr>
        <w:t>2021</w:t>
      </w:r>
      <w:r>
        <w:rPr>
          <w:rFonts w:hint="eastAsia" w:ascii="仿宋_GB2312" w:hAnsi="华文楷体" w:eastAsia="仿宋_GB2312"/>
          <w:color w:val="auto"/>
          <w:sz w:val="32"/>
          <w:szCs w:val="32"/>
          <w:lang w:eastAsia="zh-CN"/>
        </w:rPr>
        <w:t>〕</w:t>
      </w:r>
      <w:r>
        <w:rPr>
          <w:rFonts w:hint="eastAsia" w:ascii="仿宋_GB2312" w:hAnsi="华文楷体" w:eastAsia="仿宋_GB2312"/>
          <w:color w:val="auto"/>
          <w:sz w:val="32"/>
          <w:szCs w:val="32"/>
          <w:lang w:val="en-US" w:eastAsia="zh-CN"/>
        </w:rPr>
        <w:t>75号</w:t>
      </w:r>
      <w:r>
        <w:rPr>
          <w:rFonts w:hint="eastAsia" w:ascii="仿宋_GB2312" w:hAnsi="华文楷体" w:eastAsia="仿宋_GB2312"/>
          <w:color w:val="auto"/>
          <w:sz w:val="32"/>
          <w:szCs w:val="32"/>
          <w:lang w:eastAsia="zh-CN"/>
        </w:rPr>
        <w:t>），结合《莲都区区属国有企业股权投资基金监督管理办法（试行）》（莲国资办</w:t>
      </w:r>
      <w:r>
        <w:rPr>
          <w:rFonts w:hint="eastAsia" w:ascii="仿宋_GB2312" w:hAnsi="华文楷体" w:eastAsia="仿宋_GB2312"/>
          <w:color w:val="auto"/>
          <w:sz w:val="32"/>
          <w:szCs w:val="32"/>
          <w:lang w:val="en-US" w:eastAsia="zh-CN"/>
        </w:rPr>
        <w:t>〔2023〕17号）等规定，</w:t>
      </w:r>
      <w:r>
        <w:rPr>
          <w:rFonts w:hint="eastAsia" w:ascii="仿宋_GB2312" w:hAnsi="华文楷体" w:eastAsia="仿宋_GB2312"/>
          <w:color w:val="auto"/>
          <w:sz w:val="32"/>
          <w:szCs w:val="32"/>
          <w:lang w:eastAsia="zh-CN"/>
        </w:rPr>
        <w:t>制定本办法。</w:t>
      </w:r>
    </w:p>
    <w:p>
      <w:pPr>
        <w:pStyle w:val="2"/>
        <w:keepNext w:val="0"/>
        <w:keepLines w:val="0"/>
        <w:pageBreakBefore w:val="0"/>
        <w:widowControl w:val="0"/>
        <w:kinsoku/>
        <w:wordWrap/>
        <w:overflowPunct/>
        <w:topLinePunct w:val="0"/>
        <w:bidi w:val="0"/>
        <w:spacing w:line="560" w:lineRule="exact"/>
        <w:ind w:firstLine="643" w:firstLineChars="200"/>
        <w:textAlignment w:val="auto"/>
        <w:rPr>
          <w:rFonts w:hint="eastAsia"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第二条</w:t>
      </w:r>
      <w:r>
        <w:rPr>
          <w:rFonts w:ascii="仿宋_GB2312" w:hAnsi="仿宋_GB2312" w:eastAsia="仿宋_GB2312" w:cs="仿宋_GB2312"/>
          <w:color w:val="auto"/>
          <w:sz w:val="32"/>
          <w:szCs w:val="32"/>
        </w:rPr>
        <w:t xml:space="preserve"> </w:t>
      </w:r>
      <w:r>
        <w:rPr>
          <w:rFonts w:hint="eastAsia" w:hAnsi="仿宋_GB2312" w:eastAsia="仿宋_GB2312" w:cs="仿宋_GB2312"/>
          <w:color w:val="auto"/>
          <w:sz w:val="32"/>
          <w:szCs w:val="32"/>
          <w:lang w:val="en-US" w:eastAsia="zh-CN"/>
        </w:rPr>
        <w:t xml:space="preserve"> </w:t>
      </w:r>
      <w:r>
        <w:rPr>
          <w:rFonts w:hint="eastAsia"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产业基金</w:t>
      </w:r>
      <w:r>
        <w:rPr>
          <w:rFonts w:hint="eastAsia" w:hAnsi="仿宋_GB2312" w:eastAsia="仿宋_GB2312" w:cs="仿宋_GB2312"/>
          <w:color w:val="auto"/>
          <w:sz w:val="32"/>
          <w:szCs w:val="32"/>
          <w:lang w:eastAsia="zh-CN"/>
        </w:rPr>
        <w:t>是由莲都区</w:t>
      </w:r>
      <w:r>
        <w:rPr>
          <w:rFonts w:hint="eastAsia" w:ascii="仿宋_GB2312" w:hAnsi="仿宋_GB2312" w:eastAsia="仿宋_GB2312" w:cs="仿宋_GB2312"/>
          <w:color w:val="auto"/>
          <w:sz w:val="32"/>
          <w:szCs w:val="32"/>
        </w:rPr>
        <w:t>政府主导设立、按市场化方式运作的政府投资基金，其设立宗旨是发挥财政政策导向作用，实现政府引导与市场化运作的有效结合</w:t>
      </w:r>
      <w:r>
        <w:rPr>
          <w:rFonts w:hint="eastAsia" w:hAnsi="仿宋_GB2312" w:eastAsia="仿宋_GB2312" w:cs="仿宋_GB2312"/>
          <w:color w:val="auto"/>
          <w:sz w:val="32"/>
          <w:szCs w:val="32"/>
          <w:lang w:eastAsia="zh-CN"/>
        </w:rPr>
        <w:t>，投资招商</w:t>
      </w:r>
      <w:r>
        <w:rPr>
          <w:rFonts w:hint="eastAsia" w:ascii="仿宋_GB2312" w:hAnsi="仿宋_GB2312" w:eastAsia="仿宋_GB2312" w:cs="仿宋_GB2312"/>
          <w:color w:val="auto"/>
          <w:sz w:val="32"/>
          <w:szCs w:val="32"/>
        </w:rPr>
        <w:t>类、效益类产业项目</w:t>
      </w:r>
      <w:r>
        <w:rPr>
          <w:rFonts w:hint="eastAsia" w:hAnsi="仿宋_GB2312" w:eastAsia="仿宋_GB2312" w:cs="仿宋_GB2312"/>
          <w:color w:val="auto"/>
          <w:sz w:val="32"/>
          <w:szCs w:val="32"/>
          <w:lang w:eastAsia="zh-CN"/>
        </w:rPr>
        <w:t>，加快推动产业转型升级，促进莲都区高质量发展。</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hAnsi="仿宋_GB2312" w:eastAsia="仿宋_GB2312" w:cs="仿宋_GB2312"/>
          <w:color w:val="auto"/>
          <w:sz w:val="32"/>
          <w:szCs w:val="32"/>
          <w:lang w:eastAsia="zh-CN"/>
        </w:rPr>
      </w:pPr>
      <w:r>
        <w:rPr>
          <w:rFonts w:hint="eastAsia" w:hAnsi="仿宋_GB2312" w:eastAsia="仿宋_GB2312" w:cs="仿宋_GB2312"/>
          <w:color w:val="auto"/>
          <w:sz w:val="32"/>
          <w:szCs w:val="32"/>
          <w:lang w:eastAsia="zh-CN"/>
        </w:rPr>
        <w:t>区产业基金运作遵循客观规律，给予一定的投资风险容忍度。</w:t>
      </w:r>
    </w:p>
    <w:p>
      <w:pPr>
        <w:pStyle w:val="2"/>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hint="eastAsia" w:hAnsi="仿宋_GB2312" w:eastAsia="仿宋_GB2312" w:cs="仿宋_GB2312"/>
          <w:color w:val="auto"/>
          <w:sz w:val="32"/>
          <w:szCs w:val="32"/>
          <w:lang w:val="en-US" w:eastAsia="zh-CN"/>
        </w:rPr>
      </w:pPr>
      <w:r>
        <w:rPr>
          <w:rFonts w:hint="eastAsia" w:hAnsi="仿宋_GB2312" w:eastAsia="仿宋_GB2312" w:cs="仿宋_GB2312"/>
          <w:color w:val="auto"/>
          <w:sz w:val="32"/>
          <w:szCs w:val="32"/>
          <w:lang w:val="en-US" w:eastAsia="zh-CN"/>
        </w:rPr>
        <w:t xml:space="preserve"> </w:t>
      </w:r>
      <w:r>
        <w:rPr>
          <w:rFonts w:hint="eastAsia" w:hAnsi="仿宋_GB2312" w:eastAsia="仿宋_GB2312" w:cs="仿宋_GB2312"/>
          <w:color w:val="auto"/>
          <w:sz w:val="32"/>
          <w:szCs w:val="32"/>
          <w:lang w:eastAsia="zh-CN"/>
        </w:rPr>
        <w:t>招商</w:t>
      </w:r>
      <w:r>
        <w:rPr>
          <w:rFonts w:hint="eastAsia" w:ascii="仿宋_GB2312" w:hAnsi="仿宋_GB2312" w:eastAsia="仿宋_GB2312" w:cs="仿宋_GB2312"/>
          <w:color w:val="auto"/>
          <w:sz w:val="32"/>
          <w:szCs w:val="32"/>
        </w:rPr>
        <w:t>类项目</w:t>
      </w:r>
      <w:r>
        <w:rPr>
          <w:rFonts w:hint="eastAsia" w:hAnsi="仿宋_GB2312" w:eastAsia="仿宋_GB2312" w:cs="仿宋_GB2312"/>
          <w:color w:val="auto"/>
          <w:sz w:val="32"/>
          <w:szCs w:val="32"/>
          <w:lang w:eastAsia="zh-CN"/>
        </w:rPr>
        <w:t>是指</w:t>
      </w:r>
      <w:r>
        <w:rPr>
          <w:rFonts w:hint="eastAsia" w:hAnsi="仿宋_GB2312" w:eastAsia="仿宋_GB2312" w:cs="仿宋_GB2312"/>
          <w:color w:val="auto"/>
          <w:sz w:val="32"/>
          <w:szCs w:val="32"/>
          <w:lang w:val="en-US" w:eastAsia="zh-CN"/>
        </w:rPr>
        <w:t>区产业基金根据莲都区战略部署，围绕莲都区支持引导的新兴产业、传统经典产业以及其他符合经济发展导向的产业项目。</w:t>
      </w:r>
    </w:p>
    <w:p>
      <w:pPr>
        <w:pStyle w:val="2"/>
        <w:keepNext w:val="0"/>
        <w:keepLines w:val="0"/>
        <w:pageBreakBefore w:val="0"/>
        <w:widowControl w:val="0"/>
        <w:numPr>
          <w:ilvl w:val="-1"/>
          <w:numId w:val="0"/>
        </w:numPr>
        <w:kinsoku/>
        <w:wordWrap/>
        <w:overflowPunct/>
        <w:topLinePunct w:val="0"/>
        <w:bidi w:val="0"/>
        <w:spacing w:line="560" w:lineRule="exact"/>
        <w:ind w:firstLine="640" w:firstLineChars="200"/>
        <w:textAlignment w:val="auto"/>
        <w:rPr>
          <w:rFonts w:hint="eastAsia"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效益类项目是指围绕国有资本保值增值，以市场化运作方式，择优投向省</w:t>
      </w:r>
      <w:r>
        <w:rPr>
          <w:rFonts w:hint="eastAsia"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内外发展前景好、盈利能力强的项目。</w:t>
      </w:r>
    </w:p>
    <w:p>
      <w:pPr>
        <w:pStyle w:val="2"/>
        <w:keepNext w:val="0"/>
        <w:keepLines w:val="0"/>
        <w:pageBreakBefore w:val="0"/>
        <w:widowControl w:val="0"/>
        <w:kinsoku/>
        <w:wordWrap/>
        <w:overflowPunct/>
        <w:topLinePunct w:val="0"/>
        <w:bidi w:val="0"/>
        <w:spacing w:line="560" w:lineRule="exact"/>
        <w:ind w:firstLine="643" w:firstLineChars="200"/>
        <w:textAlignment w:val="auto"/>
        <w:rPr>
          <w:rFonts w:hint="eastAsia" w:hAnsi="仿宋_GB2312" w:eastAsia="仿宋_GB2312" w:cs="仿宋_GB2312"/>
          <w:color w:val="auto"/>
          <w:sz w:val="32"/>
          <w:szCs w:val="32"/>
          <w:lang w:val="en-US" w:eastAsia="zh-CN"/>
        </w:rPr>
      </w:pPr>
      <w:r>
        <w:rPr>
          <w:rFonts w:hint="eastAsia" w:hAnsi="仿宋_GB2312" w:eastAsia="仿宋_GB2312" w:cs="仿宋_GB2312"/>
          <w:b/>
          <w:bCs/>
          <w:color w:val="auto"/>
          <w:sz w:val="32"/>
          <w:szCs w:val="32"/>
          <w:lang w:val="en-US" w:eastAsia="zh-CN"/>
        </w:rPr>
        <w:t>第四条</w:t>
      </w:r>
      <w:r>
        <w:rPr>
          <w:rFonts w:hint="eastAsia" w:hAnsi="仿宋_GB2312" w:eastAsia="仿宋_GB2312" w:cs="仿宋_GB2312"/>
          <w:color w:val="auto"/>
          <w:sz w:val="32"/>
          <w:szCs w:val="32"/>
          <w:lang w:val="en-US" w:eastAsia="zh-CN"/>
        </w:rPr>
        <w:t xml:space="preserve">  当前莲都区已设立的存量产业基金参照本办法执行，委托丽水市莲都区金盛控股有限公司（以下简称“区金控公司”）统一管理。</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cs="仿宋"/>
          <w:bCs/>
          <w:color w:val="auto"/>
          <w:sz w:val="32"/>
          <w:szCs w:val="32"/>
          <w:lang w:eastAsia="zh-CN"/>
        </w:rPr>
      </w:pPr>
      <w:r>
        <w:rPr>
          <w:rFonts w:hint="eastAsia" w:ascii="黑体" w:hAnsi="黑体" w:eastAsia="黑体" w:cs="仿宋"/>
          <w:bCs/>
          <w:color w:val="auto"/>
          <w:sz w:val="32"/>
          <w:szCs w:val="32"/>
        </w:rPr>
        <w:t>第二章</w:t>
      </w:r>
      <w:r>
        <w:rPr>
          <w:rFonts w:ascii="黑体" w:hAnsi="黑体" w:eastAsia="黑体" w:cs="仿宋"/>
          <w:bCs/>
          <w:color w:val="auto"/>
          <w:sz w:val="32"/>
          <w:szCs w:val="32"/>
        </w:rPr>
        <w:t xml:space="preserve">  </w:t>
      </w:r>
      <w:r>
        <w:rPr>
          <w:rFonts w:hint="eastAsia" w:ascii="黑体" w:hAnsi="黑体" w:eastAsia="黑体" w:cs="仿宋"/>
          <w:bCs/>
          <w:color w:val="auto"/>
          <w:sz w:val="32"/>
          <w:szCs w:val="32"/>
        </w:rPr>
        <w:t>组织架构</w:t>
      </w:r>
      <w:r>
        <w:rPr>
          <w:rFonts w:hint="eastAsia" w:ascii="黑体" w:hAnsi="黑体" w:eastAsia="黑体" w:cs="仿宋"/>
          <w:bCs/>
          <w:color w:val="auto"/>
          <w:sz w:val="32"/>
          <w:szCs w:val="32"/>
          <w:lang w:eastAsia="zh-CN"/>
        </w:rPr>
        <w:t>和职责分工</w:t>
      </w:r>
    </w:p>
    <w:p>
      <w:pPr>
        <w:pStyle w:val="2"/>
        <w:ind w:firstLine="643" w:firstLineChars="200"/>
        <w:rPr>
          <w:rFonts w:hint="eastAsia" w:ascii="仿宋_GB2312" w:hAnsi="仿宋_GB2312" w:eastAsia="仿宋_GB2312" w:cs="仿宋_GB2312"/>
          <w:b w:val="0"/>
          <w:bCs w:val="0"/>
          <w:color w:val="auto"/>
          <w:kern w:val="2"/>
          <w:sz w:val="32"/>
          <w:szCs w:val="32"/>
          <w:lang w:val="en-US" w:eastAsia="zh-CN" w:bidi="ar-SA"/>
        </w:rPr>
      </w:pPr>
      <w:r>
        <w:rPr>
          <w:rFonts w:hint="eastAsia" w:hAnsi="仿宋_GB2312" w:eastAsia="仿宋_GB2312" w:cs="仿宋_GB2312"/>
          <w:b/>
          <w:bCs/>
          <w:color w:val="auto"/>
          <w:sz w:val="32"/>
          <w:szCs w:val="32"/>
          <w:lang w:val="en-US" w:eastAsia="zh-CN"/>
        </w:rPr>
        <w:t>第五条</w:t>
      </w:r>
      <w:r>
        <w:rPr>
          <w:rFonts w:hint="eastAsia" w:hAnsi="仿宋_GB2312" w:eastAsia="仿宋_GB2312" w:cs="仿宋_GB2312"/>
          <w:color w:val="auto"/>
          <w:sz w:val="32"/>
          <w:szCs w:val="32"/>
          <w:lang w:val="en-US" w:eastAsia="zh-CN"/>
        </w:rPr>
        <w:t xml:space="preserve">  区产业基金</w:t>
      </w:r>
      <w:r>
        <w:rPr>
          <w:rFonts w:hint="eastAsia" w:ascii="仿宋_GB2312" w:hAnsi="仿宋_GB2312" w:eastAsia="仿宋_GB2312" w:cs="仿宋_GB2312"/>
          <w:b w:val="0"/>
          <w:bCs w:val="0"/>
          <w:color w:val="auto"/>
          <w:kern w:val="2"/>
          <w:sz w:val="32"/>
          <w:szCs w:val="32"/>
          <w:lang w:val="en-US" w:eastAsia="zh-CN" w:bidi="ar-SA"/>
        </w:rPr>
        <w:t>基本运作管理架构包括基金</w:t>
      </w:r>
      <w:r>
        <w:rPr>
          <w:rFonts w:hint="eastAsia" w:hAnsi="仿宋_GB2312" w:eastAsia="仿宋_GB2312" w:cs="仿宋_GB2312"/>
          <w:b w:val="0"/>
          <w:bCs w:val="0"/>
          <w:color w:val="auto"/>
          <w:kern w:val="2"/>
          <w:sz w:val="32"/>
          <w:szCs w:val="32"/>
          <w:lang w:val="en-US" w:eastAsia="zh-CN" w:bidi="ar-SA"/>
        </w:rPr>
        <w:t>管理委员会</w:t>
      </w:r>
      <w:r>
        <w:rPr>
          <w:rFonts w:hint="eastAsia" w:ascii="仿宋_GB2312" w:hAnsi="仿宋_GB2312" w:eastAsia="仿宋_GB2312" w:cs="仿宋_GB2312"/>
          <w:b w:val="0"/>
          <w:bCs w:val="0"/>
          <w:color w:val="auto"/>
          <w:kern w:val="2"/>
          <w:sz w:val="32"/>
          <w:szCs w:val="32"/>
          <w:lang w:val="en-US" w:eastAsia="zh-CN" w:bidi="ar-SA"/>
        </w:rPr>
        <w:t>、基金法人主体、区金控公司、</w:t>
      </w:r>
      <w:r>
        <w:rPr>
          <w:rFonts w:hint="eastAsia" w:ascii="仿宋_GB2312" w:hAnsi="仿宋_GB2312" w:eastAsia="仿宋_GB2312" w:cs="仿宋_GB2312"/>
          <w:b w:val="0"/>
          <w:bCs w:val="0"/>
          <w:color w:val="auto"/>
          <w:kern w:val="2"/>
          <w:sz w:val="32"/>
          <w:szCs w:val="32"/>
          <w:highlight w:val="none"/>
          <w:lang w:val="en-US" w:eastAsia="zh-CN" w:bidi="ar-SA"/>
        </w:rPr>
        <w:t>区招商工作牵头单位、行业监管部门五个层次。</w:t>
      </w:r>
      <w:r>
        <w:rPr>
          <w:rFonts w:hint="eastAsia" w:ascii="仿宋_GB2312" w:hAnsi="仿宋_GB2312" w:eastAsia="仿宋_GB2312" w:cs="仿宋_GB2312"/>
          <w:b w:val="0"/>
          <w:bCs w:val="0"/>
          <w:color w:val="auto"/>
          <w:kern w:val="2"/>
          <w:sz w:val="32"/>
          <w:szCs w:val="32"/>
          <w:lang w:val="en-US" w:eastAsia="zh-CN" w:bidi="ar-SA"/>
        </w:rPr>
        <w:t>按照本办法规定各司其职、各尽其责。</w:t>
      </w:r>
    </w:p>
    <w:p>
      <w:pPr>
        <w:pStyle w:val="2"/>
        <w:keepNext w:val="0"/>
        <w:keepLines w:val="0"/>
        <w:pageBreakBefore w:val="0"/>
        <w:widowControl w:val="0"/>
        <w:kinsoku/>
        <w:wordWrap/>
        <w:overflowPunct/>
        <w:topLinePunct w:val="0"/>
        <w:bidi w:val="0"/>
        <w:spacing w:line="560" w:lineRule="exact"/>
        <w:ind w:firstLine="643" w:firstLineChars="200"/>
        <w:jc w:val="both"/>
        <w:textAlignment w:val="auto"/>
        <w:rPr>
          <w:rFonts w:hint="eastAsia" w:hAnsi="仿宋_GB2312" w:eastAsia="仿宋_GB2312" w:cs="仿宋_GB2312"/>
          <w:color w:val="auto"/>
          <w:sz w:val="32"/>
          <w:szCs w:val="32"/>
          <w:lang w:val="en-US" w:eastAsia="zh-CN"/>
        </w:rPr>
      </w:pPr>
      <w:r>
        <w:rPr>
          <w:rFonts w:hint="eastAsia" w:hAnsi="仿宋_GB2312" w:eastAsia="仿宋_GB2312" w:cs="仿宋_GB2312"/>
          <w:b/>
          <w:bCs/>
          <w:color w:val="auto"/>
          <w:sz w:val="32"/>
          <w:szCs w:val="32"/>
          <w:lang w:eastAsia="zh-CN"/>
        </w:rPr>
        <w:t>第六条</w:t>
      </w:r>
      <w:r>
        <w:rPr>
          <w:rFonts w:hint="eastAsia"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基金</w:t>
      </w:r>
      <w:r>
        <w:rPr>
          <w:rFonts w:hint="eastAsia" w:hAnsi="仿宋_GB2312" w:eastAsia="仿宋_GB2312" w:cs="仿宋_GB2312"/>
          <w:b w:val="0"/>
          <w:bCs w:val="0"/>
          <w:color w:val="auto"/>
          <w:kern w:val="2"/>
          <w:sz w:val="32"/>
          <w:szCs w:val="32"/>
          <w:lang w:val="en-US" w:eastAsia="zh-CN" w:bidi="ar-SA"/>
        </w:rPr>
        <w:t>管理委员会</w:t>
      </w:r>
      <w:r>
        <w:rPr>
          <w:rFonts w:hint="eastAsia" w:hAnsi="仿宋_GB2312" w:eastAsia="仿宋_GB2312" w:cs="仿宋_GB2312"/>
          <w:color w:val="auto"/>
          <w:sz w:val="32"/>
          <w:szCs w:val="32"/>
          <w:lang w:val="en-US" w:eastAsia="zh-CN"/>
        </w:rPr>
        <w:t>由常务副区长任主任，分管招商副区长担任副主任，区府办、区发改局、区财政局、区国资办、莲都经开区、区经合中心、区审计局、区商金中心、区国投公司等部门主要负责人为成员，通过投资决策会议等方式实施基金重大事项的决策和协调。</w:t>
      </w:r>
    </w:p>
    <w:p>
      <w:pPr>
        <w:pStyle w:val="2"/>
        <w:keepNext w:val="0"/>
        <w:keepLines w:val="0"/>
        <w:pageBreakBefore w:val="0"/>
        <w:widowControl w:val="0"/>
        <w:kinsoku/>
        <w:wordWrap/>
        <w:overflowPunct/>
        <w:topLinePunct w:val="0"/>
        <w:bidi w:val="0"/>
        <w:spacing w:line="560" w:lineRule="exact"/>
        <w:ind w:firstLine="643" w:firstLineChars="200"/>
        <w:jc w:val="both"/>
        <w:textAlignment w:val="auto"/>
        <w:rPr>
          <w:rFonts w:hint="default" w:hAnsi="仿宋_GB2312" w:eastAsia="仿宋_GB2312" w:cs="仿宋_GB2312"/>
          <w:color w:val="auto"/>
          <w:sz w:val="32"/>
          <w:szCs w:val="32"/>
          <w:lang w:val="en-US" w:eastAsia="zh-CN"/>
        </w:rPr>
      </w:pPr>
      <w:r>
        <w:rPr>
          <w:rFonts w:hint="eastAsia" w:hAnsi="仿宋_GB2312" w:eastAsia="仿宋_GB2312" w:cs="仿宋_GB2312"/>
          <w:b/>
          <w:bCs/>
          <w:color w:val="auto"/>
          <w:sz w:val="32"/>
          <w:szCs w:val="32"/>
          <w:lang w:val="en-US" w:eastAsia="zh-CN"/>
        </w:rPr>
        <w:t>第七条</w:t>
      </w:r>
      <w:r>
        <w:rPr>
          <w:rFonts w:hint="eastAsia" w:hAnsi="仿宋_GB2312" w:eastAsia="仿宋_GB2312" w:cs="仿宋_GB2312"/>
          <w:color w:val="auto"/>
          <w:sz w:val="32"/>
          <w:szCs w:val="32"/>
          <w:lang w:val="en-US" w:eastAsia="zh-CN"/>
        </w:rPr>
        <w:t xml:space="preserve">  区产业基金法人主体由区金控公司牵头组建。区财政局负责代表区政府履行部分出资人职责，授权区金控公司代行部分出资人职责，与区国投公司、区城投公司、区旅投公司共同出资组建基金法人主体，以上出资主体分别按10%、40%、30%、20%比例出资组建。</w:t>
      </w:r>
    </w:p>
    <w:p>
      <w:pPr>
        <w:pStyle w:val="2"/>
        <w:keepNext w:val="0"/>
        <w:keepLines w:val="0"/>
        <w:pageBreakBefore w:val="0"/>
        <w:widowControl w:val="0"/>
        <w:numPr>
          <w:ilvl w:val="0"/>
          <w:numId w:val="2"/>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hAnsi="仿宋_GB2312" w:eastAsia="仿宋_GB2312" w:cs="仿宋_GB2312"/>
          <w:color w:val="auto"/>
          <w:sz w:val="32"/>
          <w:szCs w:val="32"/>
          <w:lang w:val="en-US" w:eastAsia="zh-CN"/>
        </w:rPr>
        <w:t xml:space="preserve"> 区产业基金法人主体</w:t>
      </w:r>
      <w:r>
        <w:rPr>
          <w:rFonts w:hint="eastAsia" w:ascii="仿宋_GB2312" w:hAnsi="仿宋_GB2312" w:eastAsia="仿宋_GB2312" w:cs="仿宋_GB2312"/>
          <w:color w:val="auto"/>
          <w:sz w:val="32"/>
          <w:szCs w:val="32"/>
          <w:lang w:val="en-US" w:eastAsia="zh-CN"/>
        </w:rPr>
        <w:t>负责</w:t>
      </w:r>
      <w:r>
        <w:rPr>
          <w:rFonts w:hint="eastAsia" w:hAnsi="仿宋_GB2312" w:eastAsia="仿宋_GB2312" w:cs="仿宋_GB2312"/>
          <w:color w:val="auto"/>
          <w:sz w:val="32"/>
          <w:szCs w:val="32"/>
          <w:lang w:eastAsia="zh-CN"/>
        </w:rPr>
        <w:t>按《公司法》规定要求设立董事会、监事（会），不设日常经营机构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委托区金控公司负责基金的投资管理，并签订委托管理协议。</w:t>
      </w:r>
    </w:p>
    <w:p>
      <w:pPr>
        <w:pStyle w:val="2"/>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hAnsi="仿宋_GB2312" w:eastAsia="仿宋_GB2312" w:cs="仿宋_GB2312"/>
          <w:b/>
          <w:bCs/>
          <w:color w:val="auto"/>
          <w:sz w:val="32"/>
          <w:szCs w:val="32"/>
          <w:lang w:val="en-US" w:eastAsia="zh-CN"/>
        </w:rPr>
        <w:t>第九条</w:t>
      </w:r>
      <w:r>
        <w:rPr>
          <w:rFonts w:hint="eastAsia" w:hAnsi="仿宋_GB2312" w:eastAsia="仿宋_GB2312" w:cs="仿宋_GB2312"/>
          <w:color w:val="auto"/>
          <w:sz w:val="32"/>
          <w:szCs w:val="32"/>
          <w:lang w:val="en-US" w:eastAsia="zh-CN"/>
        </w:rPr>
        <w:t xml:space="preserve">  区金控公司负责</w:t>
      </w:r>
      <w:r>
        <w:rPr>
          <w:rFonts w:hint="eastAsia" w:ascii="仿宋_GB2312" w:hAnsi="仿宋_GB2312" w:eastAsia="仿宋_GB2312" w:cs="仿宋_GB2312"/>
          <w:color w:val="auto"/>
          <w:sz w:val="32"/>
          <w:szCs w:val="32"/>
        </w:rPr>
        <w:t>承接国有企业</w:t>
      </w:r>
      <w:r>
        <w:rPr>
          <w:rFonts w:hint="eastAsia" w:hAnsi="仿宋_GB2312" w:eastAsia="仿宋_GB2312" w:cs="仿宋_GB2312"/>
          <w:color w:val="auto"/>
          <w:sz w:val="32"/>
          <w:szCs w:val="32"/>
          <w:lang w:eastAsia="zh-CN"/>
        </w:rPr>
        <w:t>存量的</w:t>
      </w:r>
      <w:r>
        <w:rPr>
          <w:rFonts w:hint="eastAsia" w:hAnsi="仿宋_GB2312" w:eastAsia="仿宋_GB2312" w:cs="仿宋_GB2312"/>
          <w:color w:val="auto"/>
          <w:sz w:val="32"/>
          <w:szCs w:val="32"/>
          <w:lang w:val="en-US" w:eastAsia="zh-CN"/>
        </w:rPr>
        <w:t>或新增的</w:t>
      </w:r>
      <w:r>
        <w:rPr>
          <w:rFonts w:hint="eastAsia" w:ascii="仿宋_GB2312" w:hAnsi="仿宋_GB2312" w:eastAsia="仿宋_GB2312" w:cs="仿宋_GB2312"/>
          <w:color w:val="auto"/>
          <w:sz w:val="32"/>
          <w:szCs w:val="32"/>
        </w:rPr>
        <w:t>基金管理委托，根据</w:t>
      </w:r>
      <w:r>
        <w:rPr>
          <w:rFonts w:hint="eastAsia" w:hAnsi="仿宋_GB2312" w:eastAsia="仿宋_GB2312" w:cs="仿宋_GB2312"/>
          <w:color w:val="auto"/>
          <w:sz w:val="32"/>
          <w:szCs w:val="32"/>
          <w:lang w:eastAsia="zh-CN"/>
        </w:rPr>
        <w:t>委托</w:t>
      </w:r>
      <w:r>
        <w:rPr>
          <w:rFonts w:hint="eastAsia" w:ascii="仿宋_GB2312" w:hAnsi="仿宋_GB2312" w:eastAsia="仿宋_GB2312" w:cs="仿宋_GB2312"/>
          <w:color w:val="auto"/>
          <w:sz w:val="32"/>
          <w:szCs w:val="32"/>
        </w:rPr>
        <w:t>协议依法代管基金</w:t>
      </w:r>
      <w:r>
        <w:rPr>
          <w:rFonts w:hint="eastAsia" w:hAnsi="仿宋_GB2312" w:eastAsia="仿宋_GB2312" w:cs="仿宋_GB2312"/>
          <w:color w:val="auto"/>
          <w:sz w:val="32"/>
          <w:szCs w:val="32"/>
          <w:lang w:eastAsia="zh-CN"/>
        </w:rPr>
        <w:t>；负责对区招商工作牵头部门</w:t>
      </w:r>
      <w:r>
        <w:rPr>
          <w:rFonts w:hint="eastAsia" w:ascii="仿宋_GB2312" w:hAnsi="仿宋_GB2312" w:eastAsia="仿宋_GB2312" w:cs="仿宋_GB2312"/>
          <w:color w:val="auto"/>
          <w:sz w:val="32"/>
          <w:szCs w:val="32"/>
          <w:lang w:eastAsia="zh-CN"/>
        </w:rPr>
        <w:t>已立项</w:t>
      </w:r>
      <w:r>
        <w:rPr>
          <w:rFonts w:hint="eastAsia" w:hAnsi="仿宋_GB2312" w:eastAsia="仿宋_GB2312" w:cs="仿宋_GB2312"/>
          <w:color w:val="auto"/>
          <w:sz w:val="32"/>
          <w:szCs w:val="32"/>
          <w:lang w:eastAsia="zh-CN"/>
        </w:rPr>
        <w:t>或定调的招商类</w:t>
      </w:r>
      <w:r>
        <w:rPr>
          <w:rFonts w:hint="eastAsia" w:ascii="仿宋_GB2312" w:hAnsi="仿宋_GB2312" w:eastAsia="仿宋_GB2312" w:cs="仿宋_GB2312"/>
          <w:color w:val="auto"/>
          <w:sz w:val="32"/>
          <w:szCs w:val="32"/>
        </w:rPr>
        <w:t>项目开展尽职调查，</w:t>
      </w:r>
      <w:r>
        <w:rPr>
          <w:rFonts w:hint="eastAsia" w:hAnsi="仿宋_GB2312" w:eastAsia="仿宋_GB2312" w:cs="仿宋_GB2312"/>
          <w:color w:val="auto"/>
          <w:sz w:val="32"/>
          <w:szCs w:val="32"/>
          <w:lang w:eastAsia="zh-CN"/>
        </w:rPr>
        <w:t>出具尽职调查报告；</w:t>
      </w:r>
      <w:r>
        <w:rPr>
          <w:rFonts w:hint="eastAsia" w:ascii="仿宋_GB2312" w:hAnsi="仿宋_GB2312" w:eastAsia="仿宋_GB2312" w:cs="仿宋_GB2312"/>
          <w:bCs/>
          <w:color w:val="auto"/>
          <w:sz w:val="32"/>
          <w:szCs w:val="32"/>
        </w:rPr>
        <w:t>负责对效益类项目进行立项、尽职调查</w:t>
      </w:r>
      <w:r>
        <w:rPr>
          <w:rFonts w:hint="eastAsia" w:hAnsi="仿宋_GB2312" w:eastAsia="仿宋_GB2312" w:cs="仿宋_GB2312"/>
          <w:bCs/>
          <w:color w:val="auto"/>
          <w:sz w:val="32"/>
          <w:szCs w:val="32"/>
          <w:lang w:eastAsia="zh-CN"/>
        </w:rPr>
        <w:t>并出具报告；负责准备投资决策会议的相关上会材料；</w:t>
      </w:r>
      <w:r>
        <w:rPr>
          <w:rFonts w:hint="eastAsia" w:ascii="仿宋_GB2312" w:hAnsi="仿宋_GB2312" w:eastAsia="仿宋_GB2312" w:cs="仿宋_GB2312"/>
          <w:color w:val="auto"/>
          <w:sz w:val="32"/>
          <w:szCs w:val="32"/>
        </w:rPr>
        <w:t>按照</w:t>
      </w:r>
      <w:r>
        <w:rPr>
          <w:rFonts w:hint="eastAsia" w:hAnsi="仿宋_GB2312" w:eastAsia="仿宋_GB2312" w:cs="仿宋_GB2312"/>
          <w:color w:val="auto"/>
          <w:sz w:val="32"/>
          <w:szCs w:val="32"/>
          <w:lang w:eastAsia="zh-CN"/>
        </w:rPr>
        <w:t>基金管理委员会</w:t>
      </w:r>
      <w:r>
        <w:rPr>
          <w:rFonts w:hint="eastAsia" w:ascii="仿宋_GB2312" w:hAnsi="仿宋_GB2312" w:eastAsia="仿宋_GB2312" w:cs="仿宋_GB2312"/>
          <w:color w:val="auto"/>
          <w:sz w:val="32"/>
          <w:szCs w:val="32"/>
        </w:rPr>
        <w:t>审议确定的投资方案进行入股谈判、投后管理、投资退出等具体投资事宜</w:t>
      </w:r>
      <w:r>
        <w:rPr>
          <w:rFonts w:hint="eastAsia"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第十条</w:t>
      </w:r>
      <w:r>
        <w:rPr>
          <w:rFonts w:hint="eastAsia" w:ascii="仿宋_GB2312" w:hAnsi="仿宋_GB2312" w:eastAsia="仿宋_GB2312" w:cs="仿宋_GB2312"/>
          <w:color w:val="auto"/>
          <w:kern w:val="0"/>
          <w:sz w:val="32"/>
          <w:szCs w:val="32"/>
          <w:lang w:val="en-US" w:eastAsia="zh-CN" w:bidi="ar-SA"/>
        </w:rPr>
        <w:t xml:space="preserve">  </w:t>
      </w:r>
      <w:r>
        <w:rPr>
          <w:rFonts w:hint="eastAsia" w:ascii="仿宋_GB2312" w:hAnsi="仿宋_GB2312" w:eastAsia="仿宋_GB2312" w:cs="仿宋_GB2312"/>
          <w:color w:val="auto"/>
          <w:kern w:val="0"/>
          <w:sz w:val="32"/>
          <w:szCs w:val="32"/>
          <w:highlight w:val="none"/>
          <w:lang w:val="en-US" w:eastAsia="zh-CN" w:bidi="ar-SA"/>
        </w:rPr>
        <w:t>区招商工作牵头单位负责招商类项目认定，</w:t>
      </w:r>
      <w:r>
        <w:rPr>
          <w:rFonts w:hint="eastAsia" w:ascii="仿宋_GB2312" w:hAnsi="仿宋_GB2312" w:eastAsia="仿宋_GB2312" w:cs="仿宋_GB2312"/>
          <w:color w:val="auto"/>
          <w:kern w:val="0"/>
          <w:sz w:val="32"/>
          <w:szCs w:val="32"/>
          <w:lang w:val="en-US" w:eastAsia="zh-CN" w:bidi="ar-SA"/>
        </w:rPr>
        <w:t>围绕我区</w:t>
      </w:r>
      <w:r>
        <w:rPr>
          <w:rFonts w:hint="eastAsia" w:ascii="仿宋_GB2312" w:hAnsi="仿宋_GB2312" w:eastAsia="仿宋_GB2312" w:cs="仿宋_GB2312"/>
          <w:color w:val="auto"/>
          <w:sz w:val="32"/>
          <w:szCs w:val="32"/>
          <w:highlight w:val="none"/>
          <w:lang w:val="en-US" w:eastAsia="zh-CN"/>
        </w:rPr>
        <w:t>产业发展规划和政策导向</w:t>
      </w:r>
      <w:r>
        <w:rPr>
          <w:rFonts w:hint="eastAsia" w:ascii="仿宋_GB2312" w:hAnsi="仿宋_GB2312" w:eastAsia="仿宋_GB2312" w:cs="仿宋_GB2312"/>
          <w:color w:val="auto"/>
          <w:kern w:val="0"/>
          <w:sz w:val="32"/>
          <w:szCs w:val="32"/>
          <w:lang w:val="en-US" w:eastAsia="zh-CN" w:bidi="ar-SA"/>
        </w:rPr>
        <w:t>，建立动态储备项目库；参与投资事项研究、项目相关的谈判工作；对项目投资总额、返投主体、返投金额等进行认定。</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行业监管部门根据对应投资项目行业归口，负责落实产业基金拟投资项目行业监管等。</w:t>
      </w:r>
    </w:p>
    <w:p>
      <w:pPr>
        <w:pStyle w:val="7"/>
        <w:keepNext w:val="0"/>
        <w:keepLines w:val="0"/>
        <w:pageBreakBefore w:val="0"/>
        <w:widowControl w:val="0"/>
        <w:kinsoku/>
        <w:wordWrap/>
        <w:overflowPunct/>
        <w:topLinePunct w:val="0"/>
        <w:bidi w:val="0"/>
        <w:spacing w:line="560" w:lineRule="exact"/>
        <w:textAlignment w:val="auto"/>
        <w:rPr>
          <w:rFonts w:hint="eastAsia" w:ascii="黑体" w:hAnsi="黑体" w:eastAsia="黑体" w:cs="仿宋"/>
          <w:b w:val="0"/>
          <w:bCs w:val="0"/>
          <w:color w:val="auto"/>
          <w:kern w:val="2"/>
          <w:sz w:val="32"/>
          <w:szCs w:val="32"/>
          <w:lang w:val="en-US" w:eastAsia="zh-CN" w:bidi="ar-SA"/>
        </w:rPr>
      </w:pPr>
    </w:p>
    <w:p>
      <w:pPr>
        <w:pStyle w:val="7"/>
        <w:keepNext w:val="0"/>
        <w:keepLines w:val="0"/>
        <w:pageBreakBefore w:val="0"/>
        <w:widowControl w:val="0"/>
        <w:kinsoku/>
        <w:wordWrap/>
        <w:overflowPunct/>
        <w:topLinePunct w:val="0"/>
        <w:bidi w:val="0"/>
        <w:spacing w:line="560" w:lineRule="exact"/>
        <w:textAlignment w:val="auto"/>
        <w:rPr>
          <w:rFonts w:hint="default" w:ascii="黑体" w:hAnsi="黑体" w:eastAsia="黑体" w:cs="仿宋"/>
          <w:b w:val="0"/>
          <w:bCs w:val="0"/>
          <w:color w:val="auto"/>
          <w:kern w:val="2"/>
          <w:sz w:val="32"/>
          <w:szCs w:val="32"/>
          <w:lang w:val="en-US" w:eastAsia="zh-CN" w:bidi="ar-SA"/>
        </w:rPr>
      </w:pPr>
      <w:r>
        <w:rPr>
          <w:rFonts w:hint="eastAsia" w:ascii="黑体" w:hAnsi="黑体" w:eastAsia="黑体" w:cs="仿宋"/>
          <w:b w:val="0"/>
          <w:bCs w:val="0"/>
          <w:color w:val="auto"/>
          <w:kern w:val="2"/>
          <w:sz w:val="32"/>
          <w:szCs w:val="32"/>
          <w:lang w:val="en-US" w:eastAsia="zh-CN" w:bidi="ar-SA"/>
        </w:rPr>
        <w:t>第三章  投资原则及要求</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区产业基金从事业务必须遵守国家法律法规，不得从事以下业务：</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1.投资公开交易类股票、期货、房地产、证券投资基金、评级AAA以下的企业债、信托产品、非保本型理财产品、保险计划及其他金融衍生品；</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2.从事融资担保以外的担保、抵押、委托贷款等业务；</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3.向任何第三方提供赞助、捐赠等支出（经批准的公益性捐赠除外）；</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4.吸收或变相吸收存款，或向任何第三方提供贷款和资金拆借，或明股实债等变相增加政府债务的行为；</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5.进行承担无限连带责任的对外投资；</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6.发行信托或集合理财产品募集资金；</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以承诺最低收益、承担投资损失、承诺回购本金、差额收益补足及其他附加条款等债务性方式开展基金设立和认缴；</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作为不具有控制力的劣后级合伙人（劣后</w:t>
      </w:r>
      <w:r>
        <w:rPr>
          <w:rFonts w:hint="default"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lang w:eastAsia="zh-CN"/>
        </w:rPr>
        <w:t>合伙人指基金优先向优先合伙人分配收益后,获取剩余收益或承担亏损的合伙人）参与基金组建；</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.其他国家法律法规禁止从事的业务。</w:t>
      </w:r>
    </w:p>
    <w:p>
      <w:pPr>
        <w:pStyle w:val="7"/>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区产业基金以政府主导与市场化运作有效结合的方式，与其他政府产业基金、社会资本等开展合作。项目投资一般</w:t>
      </w:r>
      <w:r>
        <w:rPr>
          <w:rFonts w:hint="eastAsia" w:ascii="仿宋_GB2312" w:hAnsi="仿宋_GB2312" w:eastAsia="仿宋_GB2312" w:cs="仿宋_GB2312"/>
          <w:b w:val="0"/>
          <w:bCs w:val="0"/>
          <w:color w:val="auto"/>
          <w:sz w:val="32"/>
          <w:szCs w:val="32"/>
        </w:rPr>
        <w:t>采取“定向基金”、“非定向基金”、“直接投资”</w:t>
      </w:r>
      <w:bookmarkStart w:id="0" w:name="OLE_LINK12"/>
      <w:r>
        <w:rPr>
          <w:rFonts w:hint="eastAsia" w:ascii="仿宋_GB2312" w:hAnsi="仿宋_GB2312" w:eastAsia="仿宋_GB2312" w:cs="仿宋_GB2312"/>
          <w:b w:val="0"/>
          <w:bCs w:val="0"/>
          <w:color w:val="auto"/>
          <w:sz w:val="32"/>
          <w:szCs w:val="32"/>
        </w:rPr>
        <w:t>的模式进行运作</w:t>
      </w:r>
      <w:bookmarkEnd w:id="0"/>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并积极探索各类创新业务，吸引各类高端资源要素集聚</w:t>
      </w:r>
      <w:r>
        <w:rPr>
          <w:rFonts w:hint="eastAsia" w:ascii="仿宋_GB2312" w:hAnsi="仿宋_GB2312" w:eastAsia="仿宋_GB2312" w:cs="仿宋_GB2312"/>
          <w:b w:val="0"/>
          <w:bCs w:val="0"/>
          <w:color w:val="auto"/>
          <w:sz w:val="32"/>
          <w:szCs w:val="32"/>
          <w:lang w:eastAsia="zh-CN"/>
        </w:rPr>
        <w:t>莲都区。</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仿宋_GB2312" w:hAnsi="宋体" w:eastAsia="仿宋_GB2312"/>
          <w:color w:val="auto"/>
          <w:spacing w:val="14"/>
          <w:sz w:val="32"/>
          <w:szCs w:val="32"/>
        </w:rPr>
      </w:pPr>
      <w:r>
        <w:rPr>
          <w:rFonts w:hint="eastAsia" w:ascii="仿宋_GB2312" w:hAnsi="仿宋_GB2312" w:eastAsia="仿宋_GB2312" w:cs="仿宋_GB2312"/>
          <w:b/>
          <w:bCs/>
          <w:color w:val="auto"/>
          <w:sz w:val="32"/>
          <w:szCs w:val="32"/>
          <w:lang w:eastAsia="zh-CN"/>
        </w:rPr>
        <w:t>第十三条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采取直接投资的，区产业基金持股比例一般不超过20%，且不为第一大股东。重大项目经</w:t>
      </w:r>
      <w:r>
        <w:rPr>
          <w:rFonts w:hint="eastAsia" w:hAnsi="仿宋_GB2312" w:eastAsia="仿宋_GB2312" w:cs="仿宋_GB2312"/>
          <w:color w:val="auto"/>
          <w:sz w:val="32"/>
          <w:szCs w:val="32"/>
          <w:lang w:eastAsia="zh-CN"/>
        </w:rPr>
        <w:t>基金管理委员会</w:t>
      </w:r>
      <w:r>
        <w:rPr>
          <w:rFonts w:hint="eastAsia" w:ascii="仿宋_GB2312" w:hAnsi="仿宋_GB2312" w:eastAsia="仿宋_GB2312" w:cs="仿宋_GB2312"/>
          <w:color w:val="auto"/>
          <w:kern w:val="0"/>
          <w:sz w:val="32"/>
          <w:szCs w:val="32"/>
          <w:lang w:val="en-US" w:eastAsia="zh-CN" w:bidi="ar-SA"/>
        </w:rPr>
        <w:t>审定后可不受本条所设比例限制</w:t>
      </w:r>
      <w:r>
        <w:rPr>
          <w:rFonts w:hint="eastAsia" w:ascii="仿宋_GB2312" w:hAnsi="宋体" w:eastAsia="仿宋_GB2312"/>
          <w:color w:val="auto"/>
          <w:spacing w:val="14"/>
          <w:sz w:val="32"/>
          <w:szCs w:val="32"/>
        </w:rPr>
        <w:t>。</w:t>
      </w:r>
    </w:p>
    <w:p>
      <w:pPr>
        <w:keepNext w:val="0"/>
        <w:keepLines w:val="0"/>
        <w:pageBreakBefore w:val="0"/>
        <w:widowControl/>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 xml:space="preserve">第十四条 </w:t>
      </w:r>
      <w:r>
        <w:rPr>
          <w:rFonts w:hint="eastAsia" w:eastAsia="仿宋_GB2312"/>
          <w:b w:val="0"/>
          <w:bCs w:val="0"/>
          <w:color w:val="auto"/>
          <w:lang w:val="en-US" w:eastAsia="zh-CN"/>
        </w:rPr>
        <w:t xml:space="preserve"> </w:t>
      </w:r>
      <w:r>
        <w:rPr>
          <w:rFonts w:hint="eastAsia" w:ascii="仿宋_GB2312" w:hAnsi="仿宋_GB2312" w:eastAsia="仿宋_GB2312" w:cs="仿宋_GB2312"/>
          <w:color w:val="auto"/>
          <w:kern w:val="0"/>
          <w:sz w:val="32"/>
          <w:szCs w:val="32"/>
          <w:lang w:val="en-US" w:eastAsia="zh-CN" w:bidi="ar-SA"/>
        </w:rPr>
        <w:t>对单个子基金出资比例不超过子基金规模的30%;</w:t>
      </w:r>
      <w:r>
        <w:rPr>
          <w:rFonts w:ascii="仿宋_GB2312" w:hAnsi="宋体" w:eastAsia="仿宋_GB2312" w:cs="仿宋_GB2312"/>
          <w:color w:val="auto"/>
          <w:kern w:val="0"/>
          <w:sz w:val="31"/>
          <w:szCs w:val="31"/>
          <w:lang w:val="en-US" w:eastAsia="zh-CN" w:bidi="ar"/>
        </w:rPr>
        <w:t>基金在被投企业中占股比例不</w:t>
      </w:r>
      <w:r>
        <w:rPr>
          <w:rFonts w:hint="eastAsia" w:ascii="仿宋_GB2312" w:hAnsi="宋体" w:eastAsia="仿宋_GB2312" w:cs="仿宋_GB2312"/>
          <w:color w:val="auto"/>
          <w:kern w:val="0"/>
          <w:sz w:val="31"/>
          <w:szCs w:val="31"/>
          <w:lang w:val="en-US" w:eastAsia="zh-CN" w:bidi="ar"/>
        </w:rPr>
        <w:t>超过30%，且不为第一大股东</w:t>
      </w:r>
      <w:r>
        <w:rPr>
          <w:rFonts w:hint="eastAsia" w:ascii="仿宋_GB2312" w:hAnsi="仿宋_GB2312" w:eastAsia="仿宋_GB2312" w:cs="仿宋_GB2312"/>
          <w:color w:val="auto"/>
          <w:kern w:val="0"/>
          <w:sz w:val="32"/>
          <w:szCs w:val="32"/>
          <w:lang w:val="en-US" w:eastAsia="zh-CN" w:bidi="ar-SA"/>
        </w:rPr>
        <w:t>。重大项目经基金管理委员会审定后可不受本条所设比例限制。</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 xml:space="preserve">第十五条  </w:t>
      </w:r>
      <w:r>
        <w:rPr>
          <w:rFonts w:hint="eastAsia" w:ascii="仿宋_GB2312" w:hAnsi="仿宋_GB2312" w:eastAsia="仿宋_GB2312" w:cs="仿宋_GB2312"/>
          <w:color w:val="auto"/>
          <w:kern w:val="2"/>
          <w:sz w:val="32"/>
          <w:szCs w:val="32"/>
          <w:lang w:val="en-US" w:eastAsia="zh-CN" w:bidi="ar-SA"/>
        </w:rPr>
        <w:t>区产业基金直接投资项目和子基金应符合以下基本条件：</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1.基金重点投向数字经济、高端装备制造、大健康、半导体、新能源等高新产业和战略新兴产业。不得投向高污染、高能耗、落后产能等国家和省禁止、限制发展行业；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2.区产业基金原则上不优先于其他出资人出资，不得作为定向或者非定向普通合伙人承担无限责任；</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3.区产业基金的存续期限一般不超过7年，确需延展存续期限的，按项目投资原有审议决策程序报批确定后最多可延长2年；</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4.区产业基金参股的非定向基金必须有可投项目储备及项目投资计划，子基金其余资金应依法募集；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5.产业基金参股的直投项目应有具体的项目投资方案、项目可行性研究报告、明确的投资规模和资金募集情况等；</w:t>
      </w:r>
    </w:p>
    <w:p>
      <w:pPr>
        <w:pStyle w:val="8"/>
        <w:keepNext w:val="0"/>
        <w:keepLines w:val="0"/>
        <w:pageBreakBefore w:val="0"/>
        <w:widowControl w:val="0"/>
        <w:kinsoku/>
        <w:wordWrap/>
        <w:overflowPunct/>
        <w:topLinePunct w:val="0"/>
        <w:bidi w:val="0"/>
        <w:spacing w:line="560" w:lineRule="exact"/>
        <w:ind w:left="0" w:leftChars="0" w:firstLine="699" w:firstLineChars="200"/>
        <w:textAlignment w:val="auto"/>
        <w:rPr>
          <w:rFonts w:hint="eastAsia" w:ascii="仿宋_GB2312" w:hAnsi="宋体" w:eastAsia="仿宋_GB2312"/>
          <w:b w:val="0"/>
          <w:bCs w:val="0"/>
          <w:color w:val="auto"/>
          <w:spacing w:val="14"/>
          <w:sz w:val="32"/>
          <w:szCs w:val="32"/>
          <w:lang w:val="en-US" w:eastAsia="zh-CN"/>
        </w:rPr>
      </w:pPr>
      <w:r>
        <w:rPr>
          <w:rFonts w:hint="eastAsia" w:ascii="仿宋_GB2312" w:hAnsi="宋体" w:eastAsia="仿宋_GB2312"/>
          <w:b/>
          <w:bCs/>
          <w:color w:val="auto"/>
          <w:spacing w:val="14"/>
          <w:sz w:val="32"/>
          <w:szCs w:val="32"/>
          <w:lang w:val="en-US" w:eastAsia="zh-CN"/>
        </w:rPr>
        <w:t>第十六条</w:t>
      </w:r>
      <w:r>
        <w:rPr>
          <w:rFonts w:hint="eastAsia" w:ascii="仿宋_GB2312" w:hAnsi="宋体" w:eastAsia="仿宋_GB2312"/>
          <w:b w:val="0"/>
          <w:bCs w:val="0"/>
          <w:color w:val="auto"/>
          <w:spacing w:val="14"/>
          <w:sz w:val="32"/>
          <w:szCs w:val="32"/>
          <w:lang w:val="en-US" w:eastAsia="zh-CN"/>
        </w:rPr>
        <w:t xml:space="preserve">  区产业基金合作设立的子基金应委托专业投资机构进行运作和管理，选聘的专业机构应符合以下基本条件：</w:t>
      </w:r>
    </w:p>
    <w:p>
      <w:pPr>
        <w:pStyle w:val="8"/>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1.在中华人民共和国境内依法设立，且已在相关主管部门或行业自律组织登记备案，实收资本不低于1000万元，机构及其从业人员最近3年不存在重大违法违规行为；</w:t>
      </w:r>
    </w:p>
    <w:p>
      <w:pPr>
        <w:pStyle w:val="8"/>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2.有固定营业场所及与其业务相适应的软硬件设施；</w:t>
      </w:r>
    </w:p>
    <w:p>
      <w:pPr>
        <w:pStyle w:val="8"/>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3.具备丰富的投资管理经验和良好的管理业绩，健全的投资管理和风险控制流程，规范的项目遴选机制，能够为被投资企业提供创业辅导、管理咨询等增值服务；</w:t>
      </w:r>
    </w:p>
    <w:p>
      <w:pPr>
        <w:pStyle w:val="8"/>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4.至少有3名具备3年以上股权投资或股权投资基金管理工作经验的高级管理人员，且机构或管理团队有3个（含）以上股权投资的成功案例。</w:t>
      </w:r>
    </w:p>
    <w:p>
      <w:pPr>
        <w:pStyle w:val="8"/>
        <w:keepNext w:val="0"/>
        <w:keepLines w:val="0"/>
        <w:pageBreakBefore w:val="0"/>
        <w:widowControl w:val="0"/>
        <w:kinsoku/>
        <w:wordWrap/>
        <w:overflowPunct/>
        <w:topLinePunct w:val="0"/>
        <w:bidi w:val="0"/>
        <w:spacing w:line="560" w:lineRule="exact"/>
        <w:ind w:left="0" w:leftChars="0" w:firstLine="640" w:firstLineChars="200"/>
        <w:jc w:val="center"/>
        <w:textAlignment w:val="auto"/>
        <w:rPr>
          <w:rFonts w:hint="eastAsia" w:ascii="黑体" w:hAnsi="黑体" w:eastAsia="黑体" w:cs="仿宋"/>
          <w:b w:val="0"/>
          <w:bCs w:val="0"/>
          <w:color w:val="auto"/>
          <w:kern w:val="2"/>
          <w:sz w:val="32"/>
          <w:szCs w:val="32"/>
          <w:lang w:val="en-US" w:eastAsia="zh-CN" w:bidi="ar-SA"/>
        </w:rPr>
      </w:pPr>
    </w:p>
    <w:p>
      <w:pPr>
        <w:pStyle w:val="8"/>
        <w:keepNext w:val="0"/>
        <w:keepLines w:val="0"/>
        <w:pageBreakBefore w:val="0"/>
        <w:widowControl w:val="0"/>
        <w:kinsoku/>
        <w:wordWrap/>
        <w:overflowPunct/>
        <w:topLinePunct w:val="0"/>
        <w:bidi w:val="0"/>
        <w:spacing w:line="560" w:lineRule="exact"/>
        <w:ind w:left="0" w:leftChars="0" w:firstLine="0" w:firstLineChars="0"/>
        <w:jc w:val="center"/>
        <w:textAlignment w:val="auto"/>
        <w:rPr>
          <w:rFonts w:hint="eastAsia" w:ascii="黑体" w:hAnsi="黑体" w:eastAsia="黑体" w:cs="仿宋"/>
          <w:b w:val="0"/>
          <w:bCs w:val="0"/>
          <w:color w:val="auto"/>
          <w:kern w:val="2"/>
          <w:sz w:val="32"/>
          <w:szCs w:val="32"/>
          <w:lang w:val="en-US" w:eastAsia="zh-CN" w:bidi="ar-SA"/>
        </w:rPr>
      </w:pPr>
      <w:r>
        <w:rPr>
          <w:rFonts w:hint="eastAsia" w:ascii="黑体" w:hAnsi="黑体" w:eastAsia="黑体" w:cs="仿宋"/>
          <w:b w:val="0"/>
          <w:bCs w:val="0"/>
          <w:color w:val="auto"/>
          <w:kern w:val="2"/>
          <w:sz w:val="32"/>
          <w:szCs w:val="32"/>
          <w:lang w:val="en-US" w:eastAsia="zh-CN" w:bidi="ar-SA"/>
        </w:rPr>
        <w:t>第四章  投资管理程序</w:t>
      </w:r>
    </w:p>
    <w:p>
      <w:pPr>
        <w:keepNext w:val="0"/>
        <w:keepLines w:val="0"/>
        <w:pageBreakBefore w:val="0"/>
        <w:widowControl w:val="0"/>
        <w:kinsoku/>
        <w:wordWrap/>
        <w:overflowPunct/>
        <w:topLinePunct w:val="0"/>
        <w:bidi w:val="0"/>
        <w:adjustRightInd w:val="0"/>
        <w:snapToGrid w:val="0"/>
        <w:spacing w:line="560" w:lineRule="exact"/>
        <w:ind w:firstLine="699" w:firstLineChars="200"/>
        <w:textAlignment w:val="auto"/>
        <w:rPr>
          <w:rFonts w:hint="eastAsia" w:ascii="仿宋_GB2312" w:hAnsi="宋体" w:eastAsia="仿宋_GB2312"/>
          <w:color w:val="auto"/>
          <w:spacing w:val="14"/>
          <w:sz w:val="32"/>
          <w:szCs w:val="32"/>
          <w:lang w:eastAsia="zh-CN"/>
        </w:rPr>
      </w:pPr>
      <w:r>
        <w:rPr>
          <w:rFonts w:hint="eastAsia" w:ascii="仿宋_GB2312" w:hAnsi="宋体" w:eastAsia="仿宋_GB2312"/>
          <w:b/>
          <w:bCs/>
          <w:color w:val="auto"/>
          <w:spacing w:val="14"/>
          <w:sz w:val="32"/>
          <w:szCs w:val="32"/>
          <w:lang w:eastAsia="zh-CN"/>
        </w:rPr>
        <w:t>第十七条</w:t>
      </w:r>
      <w:r>
        <w:rPr>
          <w:rFonts w:hint="eastAsia" w:ascii="仿宋_GB2312" w:hAnsi="宋体" w:eastAsia="仿宋_GB2312"/>
          <w:color w:val="auto"/>
          <w:spacing w:val="14"/>
          <w:sz w:val="32"/>
          <w:szCs w:val="32"/>
          <w:lang w:val="en-US" w:eastAsia="zh-CN"/>
        </w:rPr>
        <w:t xml:space="preserve">  区</w:t>
      </w:r>
      <w:r>
        <w:rPr>
          <w:rFonts w:hint="eastAsia" w:ascii="仿宋_GB2312" w:hAnsi="宋体" w:eastAsia="仿宋_GB2312"/>
          <w:color w:val="auto"/>
          <w:spacing w:val="14"/>
          <w:sz w:val="32"/>
          <w:szCs w:val="32"/>
        </w:rPr>
        <w:t>产业基金</w:t>
      </w:r>
      <w:r>
        <w:rPr>
          <w:rFonts w:hint="eastAsia" w:ascii="仿宋_GB2312" w:hAnsi="宋体" w:eastAsia="仿宋_GB2312"/>
          <w:color w:val="auto"/>
          <w:spacing w:val="14"/>
          <w:sz w:val="32"/>
          <w:szCs w:val="32"/>
          <w:lang w:val="en-US" w:eastAsia="zh-CN"/>
        </w:rPr>
        <w:t>项目投资管理</w:t>
      </w:r>
      <w:r>
        <w:rPr>
          <w:rFonts w:hint="eastAsia" w:ascii="仿宋_GB2312" w:hAnsi="宋体" w:eastAsia="仿宋_GB2312"/>
          <w:color w:val="auto"/>
          <w:spacing w:val="14"/>
          <w:sz w:val="32"/>
          <w:szCs w:val="32"/>
        </w:rPr>
        <w:t>一般程序为：</w:t>
      </w:r>
      <w:r>
        <w:rPr>
          <w:rFonts w:hint="eastAsia" w:ascii="仿宋_GB2312" w:hAnsi="宋体" w:eastAsia="仿宋_GB2312"/>
          <w:color w:val="auto"/>
          <w:spacing w:val="14"/>
          <w:sz w:val="32"/>
          <w:szCs w:val="32"/>
          <w:lang w:val="en-US" w:eastAsia="zh-CN"/>
        </w:rPr>
        <w:t>招商类</w:t>
      </w:r>
      <w:r>
        <w:rPr>
          <w:rFonts w:hint="eastAsia" w:ascii="仿宋_GB2312" w:hAnsi="宋体" w:eastAsia="仿宋_GB2312"/>
          <w:color w:val="auto"/>
          <w:spacing w:val="14"/>
          <w:sz w:val="32"/>
          <w:szCs w:val="32"/>
        </w:rPr>
        <w:t>项目</w:t>
      </w:r>
      <w:r>
        <w:rPr>
          <w:rFonts w:hint="eastAsia" w:ascii="仿宋_GB2312" w:hAnsi="宋体" w:eastAsia="仿宋_GB2312"/>
          <w:color w:val="auto"/>
          <w:spacing w:val="14"/>
          <w:sz w:val="32"/>
          <w:szCs w:val="32"/>
          <w:lang w:val="en-US" w:eastAsia="zh-CN"/>
        </w:rPr>
        <w:t>立项（项目定调）或者效益类项目立项</w:t>
      </w:r>
      <w:r>
        <w:rPr>
          <w:rFonts w:hint="eastAsia" w:ascii="仿宋_GB2312" w:hAnsi="宋体" w:eastAsia="仿宋_GB2312"/>
          <w:color w:val="auto"/>
          <w:spacing w:val="14"/>
          <w:sz w:val="32"/>
          <w:szCs w:val="32"/>
        </w:rPr>
        <w:t>、</w:t>
      </w:r>
      <w:r>
        <w:rPr>
          <w:rFonts w:hint="eastAsia" w:ascii="仿宋_GB2312" w:hAnsi="宋体" w:eastAsia="仿宋_GB2312"/>
          <w:color w:val="auto"/>
          <w:spacing w:val="14"/>
          <w:sz w:val="32"/>
          <w:szCs w:val="32"/>
          <w:lang w:val="en-US" w:eastAsia="zh-CN"/>
        </w:rPr>
        <w:t>初步</w:t>
      </w:r>
      <w:r>
        <w:rPr>
          <w:rFonts w:hint="eastAsia" w:ascii="仿宋_GB2312" w:hAnsi="宋体" w:eastAsia="仿宋_GB2312"/>
          <w:color w:val="auto"/>
          <w:spacing w:val="14"/>
          <w:sz w:val="32"/>
          <w:szCs w:val="32"/>
        </w:rPr>
        <w:t>尽职调查</w:t>
      </w:r>
      <w:r>
        <w:rPr>
          <w:rFonts w:hint="eastAsia" w:ascii="仿宋_GB2312" w:hAnsi="宋体" w:eastAsia="仿宋_GB2312"/>
          <w:color w:val="auto"/>
          <w:spacing w:val="14"/>
          <w:sz w:val="32"/>
          <w:szCs w:val="32"/>
          <w:lang w:eastAsia="zh-CN"/>
        </w:rPr>
        <w:t>（</w:t>
      </w:r>
      <w:r>
        <w:rPr>
          <w:rFonts w:hint="eastAsia" w:ascii="仿宋_GB2312" w:hAnsi="宋体" w:eastAsia="仿宋_GB2312"/>
          <w:color w:val="auto"/>
          <w:spacing w:val="14"/>
          <w:sz w:val="32"/>
          <w:szCs w:val="32"/>
          <w:lang w:val="en-US" w:eastAsia="zh-CN"/>
        </w:rPr>
        <w:t>深入尽职调查）、招商类项目联审准入、基金项目</w:t>
      </w:r>
      <w:r>
        <w:rPr>
          <w:rFonts w:hint="eastAsia" w:ascii="仿宋_GB2312" w:hAnsi="宋体" w:eastAsia="仿宋_GB2312"/>
          <w:color w:val="auto"/>
          <w:spacing w:val="14"/>
          <w:sz w:val="32"/>
          <w:szCs w:val="32"/>
          <w:lang w:eastAsia="zh-CN"/>
        </w:rPr>
        <w:t>投资决策、实施</w:t>
      </w:r>
      <w:r>
        <w:rPr>
          <w:rFonts w:hint="eastAsia" w:ascii="仿宋_GB2312" w:hAnsi="宋体" w:eastAsia="仿宋_GB2312"/>
          <w:color w:val="auto"/>
          <w:spacing w:val="14"/>
          <w:sz w:val="32"/>
          <w:szCs w:val="32"/>
        </w:rPr>
        <w:t>、</w:t>
      </w:r>
      <w:r>
        <w:rPr>
          <w:rFonts w:hint="eastAsia" w:ascii="仿宋_GB2312" w:hAnsi="宋体" w:eastAsia="仿宋_GB2312"/>
          <w:color w:val="auto"/>
          <w:spacing w:val="14"/>
          <w:sz w:val="32"/>
          <w:szCs w:val="32"/>
          <w:lang w:eastAsia="zh-CN"/>
        </w:rPr>
        <w:t>投后管理</w:t>
      </w:r>
      <w:r>
        <w:rPr>
          <w:rFonts w:hint="eastAsia" w:ascii="仿宋_GB2312" w:hAnsi="宋体" w:eastAsia="仿宋_GB2312"/>
          <w:color w:val="auto"/>
          <w:spacing w:val="14"/>
          <w:sz w:val="32"/>
          <w:szCs w:val="32"/>
          <w:lang w:val="en-US" w:eastAsia="zh-CN"/>
        </w:rPr>
        <w:t>等</w:t>
      </w:r>
      <w:r>
        <w:rPr>
          <w:rFonts w:hint="eastAsia" w:ascii="仿宋_GB2312" w:hAnsi="宋体" w:eastAsia="仿宋_GB2312"/>
          <w:color w:val="auto"/>
          <w:spacing w:val="14"/>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highlight w:val="none"/>
          <w:lang w:val="en-US" w:eastAsia="zh-CN"/>
        </w:rPr>
        <w:t>招商类项目应由</w:t>
      </w:r>
      <w:r>
        <w:rPr>
          <w:rFonts w:hint="eastAsia" w:ascii="仿宋_GB2312" w:hAnsi="仿宋_GB2312" w:eastAsia="仿宋_GB2312" w:cs="仿宋_GB2312"/>
          <w:color w:val="auto"/>
          <w:sz w:val="32"/>
          <w:szCs w:val="32"/>
          <w:highlight w:val="none"/>
          <w:lang w:eastAsia="zh-CN"/>
        </w:rPr>
        <w:t>区招商工作牵头单位</w:t>
      </w:r>
      <w:r>
        <w:rPr>
          <w:rFonts w:hint="eastAsia" w:ascii="仿宋_GB2312" w:hAnsi="仿宋_GB2312" w:eastAsia="仿宋_GB2312" w:cs="仿宋_GB2312"/>
          <w:color w:val="auto"/>
          <w:sz w:val="32"/>
          <w:szCs w:val="32"/>
          <w:highlight w:val="none"/>
          <w:lang w:val="en-US" w:eastAsia="zh-CN"/>
        </w:rPr>
        <w:t>结合我区产业发展方向及项目自身情况，做好项目初步研判分析和项目定调工作。将已立项或已定调项目以书面文件形式函告区金控公司开展尽职调查。</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olor w:val="auto"/>
          <w:spacing w:val="14"/>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highlight w:val="none"/>
          <w:lang w:val="en-US" w:eastAsia="zh-CN"/>
        </w:rPr>
        <w:t>区金控公司</w:t>
      </w:r>
      <w:r>
        <w:rPr>
          <w:rFonts w:hint="eastAsia"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kern w:val="0"/>
          <w:sz w:val="32"/>
          <w:szCs w:val="32"/>
          <w:highlight w:val="none"/>
          <w:lang w:val="en-US" w:eastAsia="zh-CN" w:bidi="ar-SA"/>
        </w:rPr>
        <w:t>招商牵头单位、招引责任单位及相关职能单位，</w:t>
      </w:r>
      <w:r>
        <w:rPr>
          <w:rFonts w:hint="eastAsia" w:hAnsi="仿宋_GB2312" w:eastAsia="仿宋_GB2312" w:cs="仿宋_GB2312"/>
          <w:color w:val="auto"/>
          <w:sz w:val="32"/>
          <w:szCs w:val="32"/>
          <w:lang w:val="en-US" w:eastAsia="zh-CN"/>
        </w:rPr>
        <w:t>顾问律所、顾问会所、顾问事务所及公司负责团队人员对意向招商类项目进行初步尽调，</w:t>
      </w:r>
      <w:r>
        <w:rPr>
          <w:rFonts w:hint="eastAsia" w:ascii="仿宋_GB2312" w:hAnsi="仿宋_GB2312" w:eastAsia="仿宋_GB2312" w:cs="仿宋_GB2312"/>
          <w:color w:val="auto"/>
          <w:sz w:val="32"/>
          <w:szCs w:val="32"/>
          <w:lang w:val="en-US" w:eastAsia="zh-CN"/>
        </w:rPr>
        <w:t>形成初步意见后书面</w:t>
      </w:r>
      <w:r>
        <w:rPr>
          <w:rFonts w:hint="eastAsia" w:ascii="仿宋_GB2312" w:hAnsi="仿宋_GB2312" w:eastAsia="仿宋_GB2312" w:cs="仿宋_GB2312"/>
          <w:color w:val="auto"/>
          <w:sz w:val="32"/>
          <w:szCs w:val="32"/>
          <w:highlight w:val="none"/>
          <w:lang w:val="en-US" w:eastAsia="zh-CN"/>
        </w:rPr>
        <w:t>反馈至</w:t>
      </w:r>
      <w:r>
        <w:rPr>
          <w:rFonts w:hint="eastAsia" w:ascii="仿宋_GB2312" w:hAnsi="仿宋_GB2312" w:eastAsia="仿宋_GB2312" w:cs="仿宋_GB2312"/>
          <w:color w:val="auto"/>
          <w:sz w:val="32"/>
          <w:szCs w:val="32"/>
          <w:highlight w:val="none"/>
          <w:lang w:eastAsia="zh-CN"/>
        </w:rPr>
        <w:t>区招商工作牵头单位</w:t>
      </w:r>
      <w:r>
        <w:rPr>
          <w:rFonts w:hint="eastAsia" w:ascii="仿宋_GB2312" w:hAnsi="仿宋_GB2312" w:eastAsia="仿宋_GB2312" w:cs="仿宋_GB2312"/>
          <w:color w:val="auto"/>
          <w:sz w:val="32"/>
          <w:szCs w:val="32"/>
          <w:lang w:val="en-US" w:eastAsia="zh-CN"/>
        </w:rPr>
        <w:t>；或根据项目实际情况，必要时由区金控公司代产业基金法人主体委托第三方专业咨询机构对项目进行法务尽职调查、财务尽职调查、估值咨询或法定评估等，并形成正式书面报告，报</w:t>
      </w:r>
      <w:r>
        <w:rPr>
          <w:rFonts w:hint="eastAsia" w:ascii="仿宋_GB2312" w:hAnsi="宋体" w:eastAsia="仿宋_GB2312"/>
          <w:color w:val="auto"/>
          <w:spacing w:val="14"/>
          <w:sz w:val="32"/>
          <w:szCs w:val="32"/>
          <w:lang w:val="en-US" w:eastAsia="zh-CN"/>
        </w:rPr>
        <w:t>项目联审准入会议及基金</w:t>
      </w:r>
      <w:r>
        <w:rPr>
          <w:rFonts w:hint="eastAsia" w:ascii="仿宋_GB2312" w:hAnsi="宋体" w:eastAsia="仿宋_GB2312"/>
          <w:color w:val="auto"/>
          <w:spacing w:val="14"/>
          <w:sz w:val="32"/>
          <w:szCs w:val="32"/>
          <w:lang w:eastAsia="zh-CN"/>
        </w:rPr>
        <w:t>投资决策</w:t>
      </w:r>
      <w:r>
        <w:rPr>
          <w:rFonts w:hint="eastAsia" w:ascii="仿宋_GB2312" w:hAnsi="宋体" w:eastAsia="仿宋_GB2312"/>
          <w:color w:val="auto"/>
          <w:spacing w:val="14"/>
          <w:sz w:val="32"/>
          <w:szCs w:val="32"/>
          <w:lang w:val="en-US" w:eastAsia="zh-CN"/>
        </w:rPr>
        <w:t>会议。</w:t>
      </w:r>
    </w:p>
    <w:p>
      <w:pPr>
        <w:keepNext w:val="0"/>
        <w:keepLines w:val="0"/>
        <w:pageBreakBefore w:val="0"/>
        <w:widowControl w:val="0"/>
        <w:kinsoku/>
        <w:wordWrap/>
        <w:overflowPunct/>
        <w:topLinePunct w:val="0"/>
        <w:bidi w:val="0"/>
        <w:snapToGrid w:val="0"/>
        <w:spacing w:line="560" w:lineRule="exact"/>
        <w:ind w:firstLine="696" w:firstLineChars="200"/>
        <w:textAlignment w:val="auto"/>
        <w:rPr>
          <w:rFonts w:hint="default"/>
          <w:color w:val="auto"/>
          <w:lang w:val="en-US" w:eastAsia="zh-CN"/>
        </w:rPr>
      </w:pPr>
      <w:r>
        <w:rPr>
          <w:rFonts w:hint="eastAsia" w:ascii="仿宋_GB2312" w:hAnsi="仿宋_GB2312" w:eastAsia="仿宋_GB2312" w:cs="仿宋_GB2312"/>
          <w:color w:val="auto"/>
          <w:spacing w:val="14"/>
          <w:sz w:val="32"/>
          <w:szCs w:val="32"/>
          <w:lang w:val="en-US" w:eastAsia="zh-CN"/>
        </w:rPr>
        <w:t>3.</w:t>
      </w:r>
      <w:r>
        <w:rPr>
          <w:rFonts w:hint="eastAsia" w:eastAsia="仿宋_GB2312"/>
          <w:color w:val="auto"/>
          <w:spacing w:val="14"/>
          <w:sz w:val="32"/>
          <w:szCs w:val="32"/>
          <w:lang w:val="en-US" w:eastAsia="zh-CN"/>
        </w:rPr>
        <w:t>效益类项目应由区金控公司进行初步尽调，形成初步意见书后确定项目立项。项目立项后区金控公司</w:t>
      </w:r>
      <w:r>
        <w:rPr>
          <w:rFonts w:hint="eastAsia" w:ascii="仿宋_GB2312" w:hAnsi="仿宋_GB2312" w:eastAsia="仿宋_GB2312" w:cs="仿宋_GB2312"/>
          <w:color w:val="auto"/>
          <w:sz w:val="32"/>
          <w:szCs w:val="32"/>
          <w:lang w:val="en-US" w:eastAsia="zh-CN"/>
        </w:rPr>
        <w:t>委托第三方专业咨询机构对项目进行法务尽职调查、财务尽职调查、估值咨询或法定评估等。</w:t>
      </w:r>
      <w:r>
        <w:rPr>
          <w:rFonts w:hint="eastAsia" w:ascii="仿宋_GB2312" w:hAnsi="仿宋_GB2312" w:eastAsia="仿宋_GB2312" w:cs="仿宋_GB2312"/>
          <w:color w:val="auto"/>
          <w:sz w:val="32"/>
          <w:szCs w:val="32"/>
        </w:rPr>
        <w:t>对于市场化运作的效益类项目，已有独立第三方中介机构出具尽职调查报告的，可引用独立第三方中介机构的尽职调查报告</w:t>
      </w:r>
      <w:r>
        <w:rPr>
          <w:rFonts w:hint="eastAsia" w:ascii="仿宋_GB2312" w:hAnsi="仿宋_GB2312" w:eastAsia="仿宋_GB2312" w:cs="仿宋_GB2312"/>
          <w:color w:val="auto"/>
          <w:sz w:val="32"/>
          <w:szCs w:val="32"/>
          <w:lang w:eastAsia="zh-CN"/>
        </w:rPr>
        <w:t>，该尽职调查报告出具时间应在区金控公司启动委托尽调的前六个月内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尽调后由区金控公司形成正式书面报告，报基金投资决策会议审议。</w:t>
      </w:r>
    </w:p>
    <w:p>
      <w:pPr>
        <w:pStyle w:val="2"/>
        <w:ind w:firstLine="696" w:firstLineChars="200"/>
        <w:rPr>
          <w:rFonts w:hint="default"/>
          <w:color w:val="auto"/>
          <w:lang w:val="en-US" w:eastAsia="zh-CN"/>
        </w:rPr>
      </w:pPr>
      <w:r>
        <w:rPr>
          <w:rFonts w:hint="eastAsia" w:ascii="仿宋_GB2312" w:hAnsi="仿宋_GB2312" w:eastAsia="仿宋_GB2312" w:cs="仿宋_GB2312"/>
          <w:color w:val="auto"/>
          <w:spacing w:val="14"/>
          <w:sz w:val="32"/>
          <w:szCs w:val="32"/>
          <w:lang w:val="en-US" w:eastAsia="zh-CN"/>
        </w:rPr>
        <w:t>4.</w:t>
      </w:r>
      <w:r>
        <w:rPr>
          <w:rFonts w:hint="eastAsia" w:hAnsi="仿宋_GB2312" w:eastAsia="仿宋_GB2312" w:cs="仿宋_GB2312"/>
          <w:color w:val="auto"/>
          <w:sz w:val="32"/>
          <w:szCs w:val="32"/>
          <w:lang w:val="en-US" w:eastAsia="zh-CN"/>
        </w:rPr>
        <w:t>基金管理委员会以投资决策会议形式对基金项目投资方案作出决议，区财政局（区国资办）负责组织召集投资决策会议，投决会由基金管委会主任主持，投决会成员由基金管理委员会成员组成，一般不少于7人，且总人数为单数，审议通过事项须经参加投资决策委员会的三分之二以上成员同意，必要时邀请外部专家参加并提供专业意见。</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5.基金项目投资方案经审议通过后，由区金控公司代基金法人主体与相关合作方拟定章程或合伙协议，正式签署后予以实施。</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96" w:firstLineChars="200"/>
        <w:jc w:val="both"/>
        <w:textAlignment w:val="auto"/>
        <w:rPr>
          <w:rFonts w:hint="eastAsia" w:eastAsia="仿宋_GB2312"/>
          <w:color w:val="auto"/>
          <w:spacing w:val="14"/>
          <w:sz w:val="32"/>
          <w:szCs w:val="32"/>
          <w:lang w:val="en-US" w:eastAsia="zh-CN"/>
        </w:rPr>
      </w:pPr>
      <w:r>
        <w:rPr>
          <w:rFonts w:hint="eastAsia" w:eastAsia="仿宋_GB2312"/>
          <w:color w:val="auto"/>
          <w:spacing w:val="14"/>
          <w:sz w:val="32"/>
          <w:szCs w:val="32"/>
          <w:lang w:val="en-US" w:eastAsia="zh-CN"/>
        </w:rPr>
        <w:t>6.</w:t>
      </w:r>
      <w:r>
        <w:rPr>
          <w:rFonts w:hint="eastAsia" w:ascii="仿宋_GB2312" w:hAnsi="仿宋_GB2312" w:eastAsia="仿宋_GB2312" w:cs="仿宋_GB2312"/>
          <w:color w:val="auto"/>
          <w:sz w:val="32"/>
          <w:szCs w:val="32"/>
        </w:rPr>
        <w:t>项目投资方案经批准后达</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个月，仍未签署相关投资的章程或协议，导致投资方案无法实施的</w:t>
      </w:r>
      <w:r>
        <w:rPr>
          <w:rFonts w:hint="eastAsia" w:hAnsi="仿宋_GB2312" w:eastAsia="仿宋_GB2312" w:cs="仿宋_GB2312"/>
          <w:color w:val="auto"/>
          <w:sz w:val="32"/>
          <w:szCs w:val="32"/>
          <w:lang w:eastAsia="zh-CN"/>
        </w:rPr>
        <w:t>，区金控公司</w:t>
      </w:r>
      <w:r>
        <w:rPr>
          <w:rFonts w:hint="eastAsia" w:ascii="仿宋_GB2312" w:hAnsi="仿宋_GB2312" w:eastAsia="仿宋_GB2312" w:cs="仿宋_GB2312"/>
          <w:color w:val="auto"/>
          <w:sz w:val="32"/>
          <w:szCs w:val="32"/>
        </w:rPr>
        <w:t>应在</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个月内及时向</w:t>
      </w:r>
      <w:r>
        <w:rPr>
          <w:rFonts w:hint="eastAsia" w:hAnsi="仿宋_GB2312" w:eastAsia="仿宋_GB2312" w:cs="仿宋_GB2312"/>
          <w:color w:val="auto"/>
          <w:sz w:val="32"/>
          <w:szCs w:val="32"/>
          <w:lang w:eastAsia="zh-CN"/>
        </w:rPr>
        <w:t>基金管理委员会</w:t>
      </w:r>
      <w:r>
        <w:rPr>
          <w:rFonts w:hint="eastAsia" w:ascii="仿宋_GB2312" w:hAnsi="仿宋_GB2312" w:eastAsia="仿宋_GB2312" w:cs="仿宋_GB2312"/>
          <w:color w:val="auto"/>
          <w:sz w:val="32"/>
          <w:szCs w:val="32"/>
        </w:rPr>
        <w:t>报送</w:t>
      </w:r>
      <w:r>
        <w:rPr>
          <w:rFonts w:hint="eastAsia" w:hAnsi="仿宋_GB2312" w:eastAsia="仿宋_GB2312" w:cs="仿宋_GB2312"/>
          <w:color w:val="auto"/>
          <w:sz w:val="32"/>
          <w:szCs w:val="32"/>
          <w:lang w:eastAsia="zh-CN"/>
        </w:rPr>
        <w:t>，请示是否</w:t>
      </w:r>
      <w:r>
        <w:rPr>
          <w:rFonts w:hint="eastAsia" w:ascii="仿宋_GB2312" w:hAnsi="仿宋_GB2312" w:eastAsia="仿宋_GB2312" w:cs="仿宋_GB2312"/>
          <w:color w:val="auto"/>
          <w:sz w:val="32"/>
          <w:szCs w:val="32"/>
        </w:rPr>
        <w:t>终止</w:t>
      </w:r>
      <w:r>
        <w:rPr>
          <w:rFonts w:hint="eastAsia" w:hAnsi="仿宋_GB2312" w:eastAsia="仿宋_GB2312" w:cs="仿宋_GB2312"/>
          <w:color w:val="auto"/>
          <w:sz w:val="32"/>
          <w:szCs w:val="32"/>
          <w:lang w:eastAsia="zh-CN"/>
        </w:rPr>
        <w:t>项目，</w:t>
      </w:r>
      <w:r>
        <w:rPr>
          <w:rFonts w:hint="eastAsia" w:hAnsi="仿宋_GB2312" w:eastAsia="仿宋_GB2312" w:cs="仿宋_GB2312"/>
          <w:color w:val="auto"/>
          <w:sz w:val="32"/>
          <w:szCs w:val="32"/>
          <w:lang w:val="en-US" w:eastAsia="zh-CN"/>
        </w:rPr>
        <w:t>并按批示执行</w:t>
      </w:r>
      <w:r>
        <w:rPr>
          <w:rFonts w:hint="eastAsia"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99" w:firstLineChars="200"/>
        <w:jc w:val="left"/>
        <w:textAlignment w:val="auto"/>
        <w:rPr>
          <w:rFonts w:hint="eastAsia" w:ascii="仿宋_GB2312" w:hAnsi="宋体" w:eastAsia="仿宋_GB2312"/>
          <w:color w:val="auto"/>
          <w:spacing w:val="14"/>
          <w:sz w:val="32"/>
          <w:szCs w:val="32"/>
        </w:rPr>
      </w:pPr>
      <w:r>
        <w:rPr>
          <w:rFonts w:hint="eastAsia" w:eastAsia="仿宋_GB2312"/>
          <w:b/>
          <w:bCs/>
          <w:color w:val="auto"/>
          <w:spacing w:val="14"/>
          <w:sz w:val="32"/>
          <w:szCs w:val="32"/>
          <w:lang w:val="en-US" w:eastAsia="zh-CN"/>
        </w:rPr>
        <w:t xml:space="preserve">第十八条  </w:t>
      </w:r>
      <w:r>
        <w:rPr>
          <w:rFonts w:hint="eastAsia" w:ascii="仿宋_GB2312" w:hAnsi="仿宋_GB2312" w:eastAsia="仿宋_GB2312" w:cs="仿宋_GB2312"/>
          <w:color w:val="auto"/>
          <w:kern w:val="0"/>
          <w:sz w:val="32"/>
          <w:szCs w:val="32"/>
          <w:lang w:val="en-US" w:eastAsia="zh-CN" w:bidi="ar-SA"/>
        </w:rPr>
        <w:t>涉及重大事项的，由区金控公司报基金管理委员会审议通过后执行。主要包括认缴出资额增加、项目管理方实质性变化、基金存续期延长等核心要素变更，项目管理方实质性变化包括但不限于：</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1.直投项目控股股东及经营范围发生实质性变化，且影响政策目标实现的；</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2.子基金管理机构的控股股东（公司制）或普通合伙人（合伙制）发生实质性变化；</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3.子基金管理机构董事长、总经理或协议约定的关键人士半数（含）以上发生变化；</w:t>
      </w:r>
    </w:p>
    <w:p>
      <w:pPr>
        <w:pStyle w:val="2"/>
        <w:keepNext w:val="0"/>
        <w:keepLines w:val="0"/>
        <w:pageBreakBefore w:val="0"/>
        <w:widowControl w:val="0"/>
        <w:kinsoku/>
        <w:wordWrap/>
        <w:overflowPunct/>
        <w:topLinePunct w:val="0"/>
        <w:bidi w:val="0"/>
        <w:spacing w:line="560" w:lineRule="exact"/>
        <w:jc w:val="both"/>
        <w:textAlignment w:val="auto"/>
        <w:rPr>
          <w:rFonts w:hint="eastAsia" w:ascii="黑体" w:hAnsi="黑体" w:eastAsia="黑体" w:cs="仿宋"/>
          <w:b w:val="0"/>
          <w:bCs w:val="0"/>
          <w:color w:val="auto"/>
          <w:kern w:val="2"/>
          <w:sz w:val="32"/>
          <w:szCs w:val="32"/>
          <w:lang w:val="en-US" w:eastAsia="zh-CN" w:bidi="ar-SA"/>
        </w:rPr>
      </w:pPr>
    </w:p>
    <w:p>
      <w:pPr>
        <w:pStyle w:val="2"/>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cs="仿宋"/>
          <w:b w:val="0"/>
          <w:bCs w:val="0"/>
          <w:color w:val="auto"/>
          <w:kern w:val="2"/>
          <w:sz w:val="32"/>
          <w:szCs w:val="32"/>
          <w:lang w:val="en-US" w:eastAsia="zh-CN" w:bidi="ar-SA"/>
        </w:rPr>
      </w:pPr>
    </w:p>
    <w:p>
      <w:pPr>
        <w:pStyle w:val="2"/>
        <w:keepNext w:val="0"/>
        <w:keepLines w:val="0"/>
        <w:pageBreakBefore w:val="0"/>
        <w:widowControl w:val="0"/>
        <w:kinsoku/>
        <w:wordWrap/>
        <w:overflowPunct/>
        <w:topLinePunct w:val="0"/>
        <w:bidi w:val="0"/>
        <w:spacing w:line="560" w:lineRule="exact"/>
        <w:jc w:val="center"/>
        <w:textAlignment w:val="auto"/>
        <w:rPr>
          <w:rFonts w:hint="default" w:eastAsia="仿宋_GB2312"/>
          <w:color w:val="auto"/>
          <w:spacing w:val="14"/>
          <w:sz w:val="32"/>
          <w:szCs w:val="32"/>
          <w:lang w:val="en-US" w:eastAsia="zh-CN"/>
        </w:rPr>
      </w:pPr>
      <w:r>
        <w:rPr>
          <w:rFonts w:hint="eastAsia" w:ascii="黑体" w:hAnsi="黑体" w:eastAsia="黑体" w:cs="仿宋"/>
          <w:b w:val="0"/>
          <w:bCs w:val="0"/>
          <w:color w:val="auto"/>
          <w:kern w:val="2"/>
          <w:sz w:val="32"/>
          <w:szCs w:val="32"/>
          <w:lang w:val="en-US" w:eastAsia="zh-CN" w:bidi="ar-SA"/>
        </w:rPr>
        <w:t>第五章  费用和收益分配</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第十九条  </w:t>
      </w:r>
      <w:r>
        <w:rPr>
          <w:rFonts w:hint="eastAsia" w:ascii="仿宋_GB2312" w:hAnsi="仿宋_GB2312" w:eastAsia="仿宋_GB2312" w:cs="仿宋_GB2312"/>
          <w:b w:val="0"/>
          <w:bCs w:val="0"/>
          <w:color w:val="auto"/>
          <w:sz w:val="32"/>
          <w:szCs w:val="32"/>
          <w:lang w:val="en-US" w:eastAsia="zh-CN"/>
        </w:rPr>
        <w:t>区产业基金的管理费按照</w:t>
      </w:r>
      <w:r>
        <w:rPr>
          <w:rFonts w:hint="eastAsia" w:ascii="仿宋_GB2312" w:hAnsi="仿宋_GB2312" w:eastAsia="仿宋_GB2312" w:cs="仿宋_GB2312"/>
          <w:b w:val="0"/>
          <w:bCs w:val="0"/>
          <w:i w:val="0"/>
          <w:iCs w:val="0"/>
          <w:caps w:val="0"/>
          <w:color w:val="auto"/>
          <w:spacing w:val="0"/>
          <w:sz w:val="32"/>
          <w:szCs w:val="32"/>
          <w:shd w:val="clear" w:fill="auto"/>
        </w:rPr>
        <w:t>基金</w:t>
      </w:r>
      <w:r>
        <w:rPr>
          <w:rFonts w:hint="eastAsia" w:ascii="仿宋_GB2312" w:hAnsi="仿宋_GB2312" w:eastAsia="仿宋_GB2312" w:cs="仿宋_GB2312"/>
          <w:b w:val="0"/>
          <w:bCs w:val="0"/>
          <w:i w:val="0"/>
          <w:iCs w:val="0"/>
          <w:caps w:val="0"/>
          <w:color w:val="auto"/>
          <w:spacing w:val="0"/>
          <w:sz w:val="32"/>
          <w:szCs w:val="32"/>
          <w:shd w:val="clear" w:fill="auto"/>
          <w:lang w:eastAsia="zh-CN"/>
        </w:rPr>
        <w:t>法人主体</w:t>
      </w:r>
      <w:r>
        <w:rPr>
          <w:rFonts w:hint="eastAsia" w:ascii="仿宋_GB2312" w:hAnsi="仿宋_GB2312" w:eastAsia="仿宋_GB2312" w:cs="仿宋_GB2312"/>
          <w:b w:val="0"/>
          <w:bCs w:val="0"/>
          <w:i w:val="0"/>
          <w:iCs w:val="0"/>
          <w:caps w:val="0"/>
          <w:color w:val="auto"/>
          <w:spacing w:val="0"/>
          <w:sz w:val="32"/>
          <w:szCs w:val="32"/>
          <w:shd w:val="clear" w:fill="auto"/>
          <w:lang w:val="en-US" w:eastAsia="zh-CN"/>
        </w:rPr>
        <w:t>实际投资额的</w:t>
      </w:r>
      <w:r>
        <w:rPr>
          <w:rFonts w:hint="eastAsia" w:ascii="仿宋_GB2312" w:hAnsi="仿宋_GB2312" w:eastAsia="仿宋_GB2312" w:cs="仿宋_GB2312"/>
          <w:b w:val="0"/>
          <w:bCs w:val="0"/>
          <w:color w:val="auto"/>
          <w:sz w:val="32"/>
          <w:szCs w:val="32"/>
          <w:lang w:val="en-US" w:eastAsia="zh-CN"/>
        </w:rPr>
        <w:t>1.5%/年的比例收取，全区现已设立的存量基金按实际投资额的0.6%的比例收取（由各国企与区金控公司另行签订委托管理协议），</w:t>
      </w:r>
      <w:r>
        <w:rPr>
          <w:rFonts w:hint="eastAsia" w:ascii="仿宋_GB2312" w:hAnsi="仿宋_GB2312" w:eastAsia="仿宋_GB2312" w:cs="仿宋_GB2312"/>
          <w:b w:val="0"/>
          <w:bCs w:val="0"/>
          <w:i w:val="0"/>
          <w:iCs w:val="0"/>
          <w:caps w:val="0"/>
          <w:color w:val="auto"/>
          <w:spacing w:val="0"/>
          <w:sz w:val="32"/>
          <w:szCs w:val="32"/>
          <w:shd w:val="clear" w:fill="auto"/>
        </w:rPr>
        <w:t>基金</w:t>
      </w:r>
      <w:r>
        <w:rPr>
          <w:rFonts w:hint="eastAsia" w:ascii="仿宋_GB2312" w:hAnsi="仿宋_GB2312" w:eastAsia="仿宋_GB2312" w:cs="仿宋_GB2312"/>
          <w:b w:val="0"/>
          <w:bCs w:val="0"/>
          <w:i w:val="0"/>
          <w:iCs w:val="0"/>
          <w:caps w:val="0"/>
          <w:color w:val="auto"/>
          <w:spacing w:val="0"/>
          <w:sz w:val="32"/>
          <w:szCs w:val="32"/>
          <w:shd w:val="clear" w:fill="auto"/>
          <w:lang w:eastAsia="zh-CN"/>
        </w:rPr>
        <w:t>法人主体</w:t>
      </w:r>
      <w:r>
        <w:rPr>
          <w:rFonts w:hint="eastAsia" w:ascii="仿宋_GB2312" w:hAnsi="仿宋_GB2312" w:eastAsia="仿宋_GB2312" w:cs="仿宋_GB2312"/>
          <w:b w:val="0"/>
          <w:bCs w:val="0"/>
          <w:i w:val="0"/>
          <w:iCs w:val="0"/>
          <w:caps w:val="0"/>
          <w:color w:val="auto"/>
          <w:spacing w:val="0"/>
          <w:sz w:val="32"/>
          <w:szCs w:val="32"/>
          <w:shd w:val="clear" w:fill="auto"/>
          <w:lang w:val="en-US" w:eastAsia="zh-CN"/>
        </w:rPr>
        <w:t>及各存量基金对应的国有企业主体</w:t>
      </w:r>
      <w:r>
        <w:rPr>
          <w:rFonts w:hint="eastAsia" w:ascii="仿宋_GB2312" w:hAnsi="仿宋_GB2312" w:eastAsia="仿宋_GB2312" w:cs="仿宋_GB2312"/>
          <w:b w:val="0"/>
          <w:bCs w:val="0"/>
          <w:color w:val="auto"/>
          <w:sz w:val="32"/>
          <w:szCs w:val="32"/>
          <w:lang w:val="en-US" w:eastAsia="zh-CN"/>
        </w:rPr>
        <w:t>按年向区金控公司支付管理费用。</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为激励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金控公司引进人才，不断提高运作管理水平，对于投资效益较</w:t>
      </w:r>
      <w:r>
        <w:rPr>
          <w:rFonts w:hint="eastAsia" w:ascii="仿宋_GB2312" w:hAnsi="仿宋_GB2312" w:eastAsia="仿宋_GB2312" w:cs="仿宋_GB2312"/>
          <w:color w:val="auto"/>
          <w:spacing w:val="-7"/>
          <w:sz w:val="32"/>
          <w:szCs w:val="32"/>
        </w:rPr>
        <w:t>好的项目，经</w:t>
      </w:r>
      <w:r>
        <w:rPr>
          <w:rFonts w:hint="eastAsia" w:ascii="仿宋_GB2312" w:hAnsi="宋体" w:eastAsia="仿宋_GB2312" w:cs="宋体"/>
          <w:color w:val="auto"/>
          <w:kern w:val="0"/>
          <w:sz w:val="32"/>
          <w:szCs w:val="32"/>
          <w:lang w:eastAsia="zh-CN"/>
        </w:rPr>
        <w:t>基金管理委员会</w:t>
      </w:r>
      <w:r>
        <w:rPr>
          <w:rFonts w:hint="eastAsia" w:ascii="仿宋_GB2312" w:hAnsi="仿宋_GB2312" w:eastAsia="仿宋_GB2312" w:cs="仿宋_GB2312"/>
          <w:color w:val="auto"/>
          <w:spacing w:val="-7"/>
          <w:sz w:val="32"/>
          <w:szCs w:val="32"/>
        </w:rPr>
        <w:t>批准，可从</w:t>
      </w:r>
      <w:r>
        <w:rPr>
          <w:rFonts w:hint="eastAsia" w:ascii="仿宋_GB2312" w:hAnsi="仿宋_GB2312" w:eastAsia="仿宋_GB2312" w:cs="仿宋_GB2312"/>
          <w:color w:val="auto"/>
          <w:spacing w:val="-7"/>
          <w:sz w:val="32"/>
          <w:szCs w:val="32"/>
          <w:lang w:eastAsia="zh-CN"/>
        </w:rPr>
        <w:t>区产业基金</w:t>
      </w:r>
      <w:r>
        <w:rPr>
          <w:rFonts w:hint="eastAsia" w:ascii="仿宋_GB2312" w:hAnsi="仿宋_GB2312" w:eastAsia="仿宋_GB2312" w:cs="仿宋_GB2312"/>
          <w:color w:val="auto"/>
          <w:spacing w:val="-7"/>
          <w:sz w:val="32"/>
          <w:szCs w:val="32"/>
        </w:rPr>
        <w:t>投资收益中提取</w:t>
      </w:r>
      <w:r>
        <w:rPr>
          <w:rFonts w:hint="eastAsia" w:ascii="仿宋_GB2312" w:hAnsi="仿宋_GB2312" w:eastAsia="仿宋_GB2312" w:cs="仿宋_GB2312"/>
          <w:color w:val="auto"/>
          <w:spacing w:val="-7"/>
          <w:sz w:val="32"/>
          <w:szCs w:val="32"/>
          <w:lang w:eastAsia="zh-CN"/>
        </w:rPr>
        <w:t>超额收益的</w:t>
      </w:r>
      <w:r>
        <w:rPr>
          <w:rFonts w:hint="eastAsia" w:ascii="仿宋_GB2312" w:hAnsi="仿宋_GB2312" w:eastAsia="仿宋_GB2312" w:cs="仿宋_GB2312"/>
          <w:color w:val="auto"/>
          <w:spacing w:val="-7"/>
          <w:sz w:val="32"/>
          <w:szCs w:val="32"/>
          <w:lang w:val="en-US" w:eastAsia="zh-CN"/>
        </w:rPr>
        <w:t>20%</w:t>
      </w:r>
      <w:r>
        <w:rPr>
          <w:rFonts w:hint="eastAsia" w:ascii="仿宋_GB2312" w:hAnsi="仿宋_GB2312" w:eastAsia="仿宋_GB2312" w:cs="仿宋_GB2312"/>
          <w:color w:val="auto"/>
          <w:spacing w:val="-7"/>
          <w:sz w:val="32"/>
          <w:szCs w:val="32"/>
        </w:rPr>
        <w:t>用于对</w:t>
      </w:r>
      <w:r>
        <w:rPr>
          <w:rFonts w:hint="eastAsia" w:ascii="仿宋_GB2312" w:hAnsi="仿宋_GB2312" w:eastAsia="仿宋_GB2312" w:cs="仿宋_GB2312"/>
          <w:color w:val="auto"/>
          <w:spacing w:val="-7"/>
          <w:sz w:val="32"/>
          <w:szCs w:val="32"/>
          <w:lang w:eastAsia="zh-CN"/>
        </w:rPr>
        <w:t>区</w:t>
      </w:r>
      <w:r>
        <w:rPr>
          <w:rFonts w:hint="eastAsia" w:ascii="仿宋_GB2312" w:hAnsi="仿宋_GB2312" w:eastAsia="仿宋_GB2312" w:cs="仿宋_GB2312"/>
          <w:color w:val="auto"/>
          <w:spacing w:val="-7"/>
          <w:sz w:val="32"/>
          <w:szCs w:val="32"/>
        </w:rPr>
        <w:t>金控公司的</w:t>
      </w:r>
      <w:r>
        <w:rPr>
          <w:rFonts w:hint="eastAsia" w:ascii="仿宋_GB2312" w:hAnsi="仿宋_GB2312" w:eastAsia="仿宋_GB2312" w:cs="仿宋_GB2312"/>
          <w:color w:val="auto"/>
          <w:spacing w:val="-7"/>
          <w:sz w:val="32"/>
          <w:szCs w:val="32"/>
          <w:lang w:eastAsia="zh-CN"/>
        </w:rPr>
        <w:t>运营及</w:t>
      </w:r>
      <w:r>
        <w:rPr>
          <w:rFonts w:hint="eastAsia" w:ascii="仿宋_GB2312" w:hAnsi="仿宋_GB2312" w:eastAsia="仿宋_GB2312" w:cs="仿宋_GB2312"/>
          <w:color w:val="auto"/>
          <w:spacing w:val="-7"/>
          <w:sz w:val="32"/>
          <w:szCs w:val="32"/>
        </w:rPr>
        <w:t>业绩奖励。</w:t>
      </w:r>
    </w:p>
    <w:p>
      <w:pPr>
        <w:keepNext w:val="0"/>
        <w:keepLines w:val="0"/>
        <w:pageBreakBefore w:val="0"/>
        <w:widowControl w:val="0"/>
        <w:kinsoku/>
        <w:wordWrap/>
        <w:overflowPunct/>
        <w:topLinePunct w:val="0"/>
        <w:bidi w:val="0"/>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i w:val="0"/>
          <w:iCs w:val="0"/>
          <w:caps w:val="0"/>
          <w:color w:val="auto"/>
          <w:spacing w:val="0"/>
          <w:sz w:val="32"/>
          <w:szCs w:val="32"/>
          <w:shd w:val="clear" w:fill="auto"/>
        </w:rPr>
        <w:t>基金</w:t>
      </w:r>
      <w:r>
        <w:rPr>
          <w:rFonts w:hint="eastAsia" w:ascii="仿宋_GB2312" w:hAnsi="仿宋_GB2312" w:eastAsia="仿宋_GB2312" w:cs="仿宋_GB2312"/>
          <w:b w:val="0"/>
          <w:bCs w:val="0"/>
          <w:i w:val="0"/>
          <w:iCs w:val="0"/>
          <w:caps w:val="0"/>
          <w:color w:val="auto"/>
          <w:spacing w:val="0"/>
          <w:sz w:val="32"/>
          <w:szCs w:val="32"/>
          <w:shd w:val="clear" w:fill="auto"/>
          <w:lang w:eastAsia="zh-CN"/>
        </w:rPr>
        <w:t>法人主体</w:t>
      </w:r>
      <w:r>
        <w:rPr>
          <w:rFonts w:hint="eastAsia" w:ascii="仿宋_GB2312" w:hAnsi="仿宋_GB2312" w:eastAsia="仿宋_GB2312" w:cs="仿宋_GB2312"/>
          <w:color w:val="auto"/>
          <w:sz w:val="32"/>
          <w:szCs w:val="32"/>
        </w:rPr>
        <w:t>仅限于列支法律规定作为公司存在所必须进行的法律行为所需的成本和费用，以及根据本办法规定支付的管理费用和业绩奖励。</w:t>
      </w:r>
    </w:p>
    <w:p>
      <w:pPr>
        <w:keepNext w:val="0"/>
        <w:keepLines w:val="0"/>
        <w:pageBreakBefore w:val="0"/>
        <w:widowControl w:val="0"/>
        <w:kinsoku/>
        <w:wordWrap/>
        <w:overflowPunct/>
        <w:topLinePunct w:val="0"/>
        <w:bidi w:val="0"/>
        <w:spacing w:line="560" w:lineRule="exact"/>
        <w:ind w:firstLine="645"/>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基金投资项目的收益分配方式在章程或合伙协议中载明，根据项目情况，经基金管理委员会同意后，区产业基金可予适当让利。   </w:t>
      </w:r>
    </w:p>
    <w:p>
      <w:pPr>
        <w:pStyle w:val="2"/>
        <w:keepNext w:val="0"/>
        <w:keepLines w:val="0"/>
        <w:pageBreakBefore w:val="0"/>
        <w:kinsoku/>
        <w:wordWrap/>
        <w:overflowPunct/>
        <w:topLinePunct w:val="0"/>
        <w:bidi w:val="0"/>
        <w:spacing w:line="560" w:lineRule="exact"/>
        <w:textAlignment w:val="auto"/>
        <w:rPr>
          <w:rFonts w:hint="eastAsia"/>
          <w:color w:val="auto"/>
        </w:rPr>
      </w:pPr>
    </w:p>
    <w:p>
      <w:pPr>
        <w:pStyle w:val="2"/>
        <w:keepNext w:val="0"/>
        <w:keepLines w:val="0"/>
        <w:pageBreakBefore w:val="0"/>
        <w:widowControl w:val="0"/>
        <w:kinsoku/>
        <w:wordWrap/>
        <w:overflowPunct/>
        <w:topLinePunct w:val="0"/>
        <w:bidi w:val="0"/>
        <w:spacing w:line="560" w:lineRule="exact"/>
        <w:jc w:val="center"/>
        <w:textAlignment w:val="auto"/>
        <w:rPr>
          <w:rFonts w:hint="default" w:ascii="黑体" w:hAnsi="黑体" w:eastAsia="黑体" w:cs="仿宋"/>
          <w:b w:val="0"/>
          <w:bCs w:val="0"/>
          <w:color w:val="auto"/>
          <w:kern w:val="2"/>
          <w:sz w:val="32"/>
          <w:szCs w:val="32"/>
          <w:lang w:val="en-US" w:eastAsia="zh-CN" w:bidi="ar-SA"/>
        </w:rPr>
      </w:pPr>
      <w:r>
        <w:rPr>
          <w:rFonts w:hint="eastAsia" w:ascii="黑体" w:hAnsi="黑体" w:eastAsia="黑体" w:cs="仿宋"/>
          <w:b w:val="0"/>
          <w:bCs w:val="0"/>
          <w:color w:val="auto"/>
          <w:kern w:val="2"/>
          <w:sz w:val="32"/>
          <w:szCs w:val="32"/>
          <w:lang w:val="en-US" w:eastAsia="zh-CN" w:bidi="ar-SA"/>
        </w:rPr>
        <w:t>第六章  基金退出</w:t>
      </w:r>
    </w:p>
    <w:p>
      <w:pPr>
        <w:pStyle w:val="2"/>
        <w:keepNext w:val="0"/>
        <w:keepLines w:val="0"/>
        <w:pageBreakBefore w:val="0"/>
        <w:widowControl w:val="0"/>
        <w:kinsoku/>
        <w:wordWrap/>
        <w:overflowPunct/>
        <w:topLinePunct w:val="0"/>
        <w:bidi w:val="0"/>
        <w:spacing w:line="560" w:lineRule="exact"/>
        <w:ind w:firstLine="699" w:firstLineChars="200"/>
        <w:jc w:val="both"/>
        <w:textAlignment w:val="auto"/>
        <w:rPr>
          <w:rFonts w:hint="eastAsia" w:hAnsi="仿宋_GB2312" w:eastAsia="仿宋_GB2312" w:cs="仿宋_GB2312"/>
          <w:color w:val="auto"/>
          <w:sz w:val="32"/>
          <w:szCs w:val="32"/>
          <w:lang w:val="en-US" w:eastAsia="zh-CN"/>
        </w:rPr>
      </w:pPr>
      <w:r>
        <w:rPr>
          <w:rFonts w:hint="eastAsia" w:eastAsia="仿宋_GB2312"/>
          <w:b/>
          <w:bCs/>
          <w:color w:val="auto"/>
          <w:spacing w:val="14"/>
          <w:sz w:val="32"/>
          <w:szCs w:val="32"/>
          <w:lang w:val="en-US" w:eastAsia="zh-CN"/>
        </w:rPr>
        <w:t xml:space="preserve">第二十二条 </w:t>
      </w:r>
      <w:r>
        <w:rPr>
          <w:rFonts w:hint="eastAsia" w:hAnsi="仿宋_GB2312" w:eastAsia="仿宋_GB2312" w:cs="仿宋_GB2312"/>
          <w:color w:val="auto"/>
          <w:sz w:val="32"/>
          <w:szCs w:val="32"/>
          <w:lang w:eastAsia="zh-CN"/>
        </w:rPr>
        <w:t>区产业</w:t>
      </w:r>
      <w:r>
        <w:rPr>
          <w:rFonts w:hint="eastAsia" w:ascii="仿宋_GB2312" w:hAnsi="仿宋_GB2312" w:eastAsia="仿宋_GB2312" w:cs="仿宋_GB2312"/>
          <w:color w:val="auto"/>
          <w:sz w:val="32"/>
          <w:szCs w:val="32"/>
        </w:rPr>
        <w:t>基金</w:t>
      </w:r>
      <w:r>
        <w:rPr>
          <w:rFonts w:hint="eastAsia" w:hAnsi="仿宋_GB2312" w:eastAsia="仿宋_GB2312" w:cs="仿宋_GB2312"/>
          <w:color w:val="auto"/>
          <w:sz w:val="32"/>
          <w:szCs w:val="32"/>
          <w:lang w:eastAsia="zh-CN"/>
        </w:rPr>
        <w:t>可采取股权（份额）转让、股票减持、股东（合伙人）回购以及解散清算等方式退出。</w:t>
      </w:r>
      <w:r>
        <w:rPr>
          <w:rFonts w:hint="eastAsia" w:hAnsi="仿宋_GB2312" w:eastAsia="仿宋_GB2312" w:cs="仿宋_GB2312"/>
          <w:color w:val="auto"/>
          <w:sz w:val="32"/>
          <w:szCs w:val="32"/>
          <w:lang w:val="en-US" w:eastAsia="zh-CN"/>
        </w:rPr>
        <w:t xml:space="preserve">   </w:t>
      </w:r>
    </w:p>
    <w:p>
      <w:pPr>
        <w:pStyle w:val="2"/>
        <w:keepNext w:val="0"/>
        <w:keepLines w:val="0"/>
        <w:pageBreakBefore w:val="0"/>
        <w:widowControl w:val="0"/>
        <w:kinsoku/>
        <w:wordWrap/>
        <w:overflowPunct/>
        <w:topLinePunct w:val="0"/>
        <w:bidi w:val="0"/>
        <w:spacing w:line="560" w:lineRule="exact"/>
        <w:ind w:firstLine="643" w:firstLineChars="200"/>
        <w:jc w:val="both"/>
        <w:textAlignment w:val="auto"/>
        <w:rPr>
          <w:rFonts w:hint="eastAsia" w:hAnsi="仿宋_GB2312" w:eastAsia="仿宋_GB2312" w:cs="仿宋_GB2312"/>
          <w:color w:val="auto"/>
          <w:sz w:val="32"/>
          <w:szCs w:val="32"/>
          <w:lang w:eastAsia="zh-CN"/>
        </w:rPr>
      </w:pPr>
      <w:r>
        <w:rPr>
          <w:rFonts w:hint="eastAsia" w:hAnsi="仿宋_GB2312" w:eastAsia="仿宋_GB2312" w:cs="仿宋_GB2312"/>
          <w:b/>
          <w:bCs/>
          <w:color w:val="auto"/>
          <w:sz w:val="32"/>
          <w:szCs w:val="32"/>
          <w:lang w:eastAsia="zh-CN"/>
        </w:rPr>
        <w:t>第二十</w:t>
      </w:r>
      <w:r>
        <w:rPr>
          <w:rFonts w:hint="eastAsia" w:hAnsi="仿宋_GB2312" w:eastAsia="仿宋_GB2312" w:cs="仿宋_GB2312"/>
          <w:b/>
          <w:bCs/>
          <w:color w:val="auto"/>
          <w:sz w:val="32"/>
          <w:szCs w:val="32"/>
          <w:lang w:val="en-US" w:eastAsia="zh-CN"/>
        </w:rPr>
        <w:t>三</w:t>
      </w:r>
      <w:r>
        <w:rPr>
          <w:rFonts w:hint="eastAsia" w:hAnsi="仿宋_GB2312" w:eastAsia="仿宋_GB2312" w:cs="仿宋_GB2312"/>
          <w:b/>
          <w:bCs/>
          <w:color w:val="auto"/>
          <w:sz w:val="32"/>
          <w:szCs w:val="32"/>
          <w:lang w:eastAsia="zh-CN"/>
        </w:rPr>
        <w:t>条</w:t>
      </w:r>
      <w:r>
        <w:rPr>
          <w:rFonts w:hint="eastAsia" w:hAnsi="仿宋_GB2312" w:eastAsia="仿宋_GB2312" w:cs="仿宋_GB2312"/>
          <w:b/>
          <w:bCs/>
          <w:color w:val="auto"/>
          <w:sz w:val="32"/>
          <w:szCs w:val="32"/>
          <w:lang w:val="en-US" w:eastAsia="zh-CN"/>
        </w:rPr>
        <w:t xml:space="preserve">  </w:t>
      </w:r>
      <w:r>
        <w:rPr>
          <w:rFonts w:hint="eastAsia" w:eastAsia="仿宋_GB2312"/>
          <w:b w:val="0"/>
          <w:bCs w:val="0"/>
          <w:color w:val="auto"/>
          <w:spacing w:val="14"/>
          <w:sz w:val="32"/>
          <w:szCs w:val="32"/>
          <w:lang w:val="en-US" w:eastAsia="zh-CN"/>
        </w:rPr>
        <w:t>区产业</w:t>
      </w:r>
      <w:r>
        <w:rPr>
          <w:rFonts w:hint="eastAsia" w:ascii="仿宋_GB2312" w:hAnsi="仿宋_GB2312" w:eastAsia="仿宋_GB2312" w:cs="仿宋_GB2312"/>
          <w:color w:val="auto"/>
          <w:sz w:val="32"/>
          <w:szCs w:val="32"/>
        </w:rPr>
        <w:t>基金投资项目应在章程或合伙协议中载明具体退出期限、退出条件、退出方式，在达到投资年限或约定退出条件时，应适时按约定方式退出。</w:t>
      </w:r>
      <w:r>
        <w:rPr>
          <w:rFonts w:hint="eastAsia" w:hAnsi="仿宋_GB2312" w:eastAsia="仿宋_GB2312" w:cs="仿宋_GB2312"/>
          <w:color w:val="auto"/>
          <w:sz w:val="32"/>
          <w:szCs w:val="32"/>
          <w:lang w:val="en-US" w:eastAsia="zh-CN"/>
        </w:rPr>
        <w:t>章程或者协议没有约定的，</w:t>
      </w:r>
      <w:r>
        <w:rPr>
          <w:rFonts w:hint="eastAsia" w:hAnsi="仿宋_GB2312" w:eastAsia="仿宋_GB2312" w:cs="仿宋_GB2312"/>
          <w:color w:val="auto"/>
          <w:sz w:val="32"/>
          <w:szCs w:val="32"/>
          <w:lang w:eastAsia="zh-CN"/>
        </w:rPr>
        <w:t>按国有资产管理有关规定需进行评估的，应按规定程序聘请具备资质的资产评估机构进行评估，</w:t>
      </w:r>
      <w:r>
        <w:rPr>
          <w:rFonts w:hint="eastAsia" w:hAnsi="仿宋_GB2312" w:eastAsia="仿宋_GB2312" w:cs="仿宋_GB2312"/>
          <w:color w:val="auto"/>
          <w:sz w:val="32"/>
          <w:szCs w:val="32"/>
          <w:lang w:val="en-US" w:eastAsia="zh-CN"/>
        </w:rPr>
        <w:t>评估结果报基金管理委员会备案</w:t>
      </w:r>
      <w:r>
        <w:rPr>
          <w:rFonts w:hint="eastAsia"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bidi w:val="0"/>
        <w:spacing w:line="560" w:lineRule="exact"/>
        <w:ind w:firstLine="643" w:firstLineChars="200"/>
        <w:jc w:val="both"/>
        <w:textAlignment w:val="auto"/>
        <w:rPr>
          <w:rFonts w:hint="eastAsia" w:hAnsi="仿宋_GB2312" w:eastAsia="仿宋_GB2312" w:cs="仿宋_GB2312"/>
          <w:color w:val="auto"/>
          <w:sz w:val="32"/>
          <w:szCs w:val="32"/>
          <w:lang w:val="en-US" w:eastAsia="zh-CN"/>
        </w:rPr>
      </w:pPr>
      <w:r>
        <w:rPr>
          <w:rFonts w:hint="eastAsia" w:hAnsi="仿宋_GB2312" w:eastAsia="仿宋_GB2312" w:cs="仿宋_GB2312"/>
          <w:b/>
          <w:bCs/>
          <w:color w:val="auto"/>
          <w:sz w:val="32"/>
          <w:szCs w:val="32"/>
          <w:lang w:eastAsia="zh-CN"/>
        </w:rPr>
        <w:t>第二十</w:t>
      </w:r>
      <w:r>
        <w:rPr>
          <w:rFonts w:hint="eastAsia" w:hAnsi="仿宋_GB2312" w:eastAsia="仿宋_GB2312" w:cs="仿宋_GB2312"/>
          <w:b/>
          <w:bCs/>
          <w:color w:val="auto"/>
          <w:sz w:val="32"/>
          <w:szCs w:val="32"/>
          <w:lang w:val="en-US" w:eastAsia="zh-CN"/>
        </w:rPr>
        <w:t>四</w:t>
      </w:r>
      <w:r>
        <w:rPr>
          <w:rFonts w:hint="eastAsia" w:hAnsi="仿宋_GB2312" w:eastAsia="仿宋_GB2312" w:cs="仿宋_GB2312"/>
          <w:b/>
          <w:bCs/>
          <w:color w:val="auto"/>
          <w:sz w:val="32"/>
          <w:szCs w:val="32"/>
          <w:lang w:eastAsia="zh-CN"/>
        </w:rPr>
        <w:t>条</w:t>
      </w:r>
      <w:r>
        <w:rPr>
          <w:rFonts w:hint="eastAsia" w:hAnsi="仿宋_GB2312" w:eastAsia="仿宋_GB2312" w:cs="仿宋_GB2312"/>
          <w:b/>
          <w:bCs/>
          <w:color w:val="auto"/>
          <w:sz w:val="32"/>
          <w:szCs w:val="32"/>
          <w:lang w:val="en-US" w:eastAsia="zh-CN"/>
        </w:rPr>
        <w:t xml:space="preserve">  </w:t>
      </w:r>
      <w:r>
        <w:rPr>
          <w:rFonts w:hint="eastAsia" w:hAnsi="仿宋_GB2312" w:eastAsia="仿宋_GB2312" w:cs="仿宋_GB2312"/>
          <w:color w:val="auto"/>
          <w:sz w:val="32"/>
          <w:szCs w:val="32"/>
          <w:lang w:val="en-US" w:eastAsia="zh-CN"/>
        </w:rPr>
        <w:t>如章程或协议中约定受让方的，区产业基金原则上应按约定向受让方转让股权（份额）。如章程或协议没有约定受让方或未按约定转让的，需按原有投资决策程序报批后，</w:t>
      </w:r>
      <w:r>
        <w:rPr>
          <w:rFonts w:hint="eastAsia" w:ascii="仿宋_GB2312" w:hAnsi="仿宋_GB2312" w:eastAsia="仿宋_GB2312" w:cs="仿宋_GB2312"/>
          <w:color w:val="auto"/>
          <w:sz w:val="32"/>
          <w:szCs w:val="32"/>
        </w:rPr>
        <w:t>由</w:t>
      </w:r>
      <w:r>
        <w:rPr>
          <w:rFonts w:hint="eastAsia"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金控公司具体办理退出事宜。</w:t>
      </w:r>
      <w:r>
        <w:rPr>
          <w:rFonts w:hint="eastAsia" w:hAnsi="仿宋_GB2312" w:eastAsia="仿宋_GB2312" w:cs="仿宋_GB2312"/>
          <w:color w:val="auto"/>
          <w:sz w:val="32"/>
          <w:szCs w:val="32"/>
          <w:lang w:eastAsia="zh-CN"/>
        </w:rPr>
        <w:t>按国有资产管理有关规定需进场交易的，应通过依法设立的产权交易机构采取公开挂牌方式退出。</w:t>
      </w:r>
    </w:p>
    <w:p>
      <w:pPr>
        <w:keepNext w:val="0"/>
        <w:keepLines w:val="0"/>
        <w:pageBreakBefore w:val="0"/>
        <w:widowControl w:val="0"/>
        <w:numPr>
          <w:ilvl w:val="0"/>
          <w:numId w:val="0"/>
        </w:numPr>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hAnsi="仿宋_GB2312" w:eastAsia="仿宋_GB2312" w:cs="仿宋_GB2312"/>
          <w:b/>
          <w:bCs/>
          <w:color w:val="auto"/>
          <w:sz w:val="32"/>
          <w:szCs w:val="32"/>
          <w:lang w:eastAsia="zh-CN"/>
        </w:rPr>
        <w:t>第二十</w:t>
      </w:r>
      <w:r>
        <w:rPr>
          <w:rFonts w:hint="eastAsia" w:hAnsi="仿宋_GB2312" w:eastAsia="仿宋_GB2312" w:cs="仿宋_GB2312"/>
          <w:b/>
          <w:bCs/>
          <w:color w:val="auto"/>
          <w:sz w:val="32"/>
          <w:szCs w:val="32"/>
          <w:lang w:val="en-US" w:eastAsia="zh-CN"/>
        </w:rPr>
        <w:t>五</w:t>
      </w:r>
      <w:r>
        <w:rPr>
          <w:rFonts w:hint="eastAsia" w:hAnsi="仿宋_GB2312" w:eastAsia="仿宋_GB2312" w:cs="仿宋_GB2312"/>
          <w:b/>
          <w:bCs/>
          <w:color w:val="auto"/>
          <w:sz w:val="32"/>
          <w:szCs w:val="32"/>
          <w:lang w:eastAsia="zh-CN"/>
        </w:rPr>
        <w:t>条</w:t>
      </w:r>
      <w:r>
        <w:rPr>
          <w:rFonts w:hint="eastAsia"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区产业基金应在章程或者协议中约定</w:t>
      </w:r>
      <w:r>
        <w:rPr>
          <w:rFonts w:hint="eastAsia" w:ascii="仿宋_GB2312" w:hAnsi="仿宋_GB2312" w:eastAsia="仿宋_GB2312" w:cs="仿宋_GB2312"/>
          <w:color w:val="auto"/>
          <w:kern w:val="0"/>
          <w:sz w:val="32"/>
          <w:szCs w:val="32"/>
          <w:lang w:val="en-US" w:eastAsia="zh-CN" w:bidi="ar-SA"/>
        </w:rPr>
        <w:t>，明确有下列情形之一的，区产业基金可选择提前退出：</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1.章程或协议签署后超过6个月，未按规定程序和时间要求完成设立或增资手续的；</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w:t>
      </w:r>
      <w:r>
        <w:rPr>
          <w:rFonts w:hint="eastAsia" w:hAnsi="仿宋_GB2312" w:eastAsia="仿宋_GB2312" w:cs="仿宋_GB2312"/>
          <w:color w:val="auto"/>
          <w:kern w:val="0"/>
          <w:sz w:val="32"/>
          <w:szCs w:val="32"/>
          <w:lang w:val="en-US" w:eastAsia="zh-CN" w:bidi="ar-SA"/>
        </w:rPr>
        <w:t>区产业基金投资后一年，子基金或者被投项目企业未按计划开展投资业务或未实际出资的；</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3.未完成返投目标或等子基金严重偏离章程或合伙协议约定投资的，且造成区产业基金重大损失的；</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4.基金投资项目不符合本办法及相关运作方案政策导向，或绩效达不到预期效果的；</w:t>
      </w:r>
    </w:p>
    <w:p>
      <w:pPr>
        <w:pStyle w:val="2"/>
        <w:keepNext w:val="0"/>
        <w:keepLines w:val="0"/>
        <w:pageBreakBefore w:val="0"/>
        <w:widowControl w:val="0"/>
        <w:kinsoku/>
        <w:wordWrap/>
        <w:overflowPunct/>
        <w:topLinePunct w:val="0"/>
        <w:bidi w:val="0"/>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hAnsi="仿宋_GB2312" w:eastAsia="仿宋_GB2312" w:cs="仿宋_GB2312"/>
          <w:color w:val="auto"/>
          <w:kern w:val="0"/>
          <w:sz w:val="32"/>
          <w:szCs w:val="32"/>
          <w:lang w:val="en-US" w:eastAsia="zh-CN" w:bidi="ar-SA"/>
        </w:rPr>
        <w:t>5.发现其他严重危及区产业基金安全或违背政策目标等提前约定退出情形的。</w:t>
      </w:r>
    </w:p>
    <w:p>
      <w:pPr>
        <w:pStyle w:val="2"/>
        <w:keepNext w:val="0"/>
        <w:keepLines w:val="0"/>
        <w:pageBreakBefore w:val="0"/>
        <w:kinsoku/>
        <w:wordWrap/>
        <w:overflowPunct/>
        <w:topLinePunct w:val="0"/>
        <w:bidi w:val="0"/>
        <w:spacing w:line="560" w:lineRule="exact"/>
        <w:textAlignment w:val="auto"/>
        <w:rPr>
          <w:rFonts w:hint="eastAsia"/>
          <w:color w:val="auto"/>
        </w:rPr>
      </w:pPr>
    </w:p>
    <w:p>
      <w:pPr>
        <w:pStyle w:val="2"/>
        <w:keepNext w:val="0"/>
        <w:keepLines w:val="0"/>
        <w:pageBreakBefore w:val="0"/>
        <w:widowControl w:val="0"/>
        <w:numPr>
          <w:ilvl w:val="0"/>
          <w:numId w:val="0"/>
        </w:numPr>
        <w:kinsoku/>
        <w:wordWrap/>
        <w:overflowPunct/>
        <w:topLinePunct w:val="0"/>
        <w:bidi w:val="0"/>
        <w:spacing w:line="560" w:lineRule="exact"/>
        <w:jc w:val="center"/>
        <w:textAlignment w:val="auto"/>
        <w:rPr>
          <w:rFonts w:hint="eastAsia" w:ascii="黑体" w:hAnsi="黑体" w:eastAsia="黑体" w:cs="仿宋"/>
          <w:b w:val="0"/>
          <w:bCs w:val="0"/>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bidi w:val="0"/>
        <w:spacing w:line="560" w:lineRule="exact"/>
        <w:jc w:val="center"/>
        <w:textAlignment w:val="auto"/>
        <w:rPr>
          <w:rFonts w:hint="eastAsia" w:ascii="黑体" w:hAnsi="黑体" w:eastAsia="黑体" w:cs="仿宋"/>
          <w:bCs/>
          <w:color w:val="auto"/>
          <w:sz w:val="32"/>
          <w:szCs w:val="32"/>
        </w:rPr>
      </w:pPr>
      <w:r>
        <w:rPr>
          <w:rFonts w:hint="eastAsia" w:ascii="黑体" w:hAnsi="黑体" w:eastAsia="黑体" w:cs="仿宋"/>
          <w:b w:val="0"/>
          <w:bCs w:val="0"/>
          <w:color w:val="auto"/>
          <w:kern w:val="2"/>
          <w:sz w:val="32"/>
          <w:szCs w:val="32"/>
          <w:lang w:val="en-US" w:eastAsia="zh-CN" w:bidi="ar-SA"/>
        </w:rPr>
        <w:t xml:space="preserve">第七章 </w:t>
      </w:r>
      <w:r>
        <w:rPr>
          <w:rFonts w:hint="eastAsia" w:ascii="黑体" w:hAnsi="黑体" w:eastAsia="黑体" w:cs="仿宋"/>
          <w:bCs/>
          <w:color w:val="auto"/>
          <w:sz w:val="32"/>
          <w:szCs w:val="32"/>
        </w:rPr>
        <w:t>风险防控</w:t>
      </w:r>
    </w:p>
    <w:p>
      <w:pPr>
        <w:pStyle w:val="2"/>
        <w:keepNext w:val="0"/>
        <w:keepLines w:val="0"/>
        <w:pageBreakBefore w:val="0"/>
        <w:widowControl w:val="0"/>
        <w:numPr>
          <w:ilvl w:val="0"/>
          <w:numId w:val="0"/>
        </w:numPr>
        <w:kinsoku/>
        <w:wordWrap/>
        <w:overflowPunct/>
        <w:topLinePunct w:val="0"/>
        <w:bidi w:val="0"/>
        <w:spacing w:line="560" w:lineRule="exact"/>
        <w:ind w:firstLine="643" w:firstLineChars="200"/>
        <w:jc w:val="both"/>
        <w:textAlignment w:val="auto"/>
        <w:rPr>
          <w:rFonts w:hint="default"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第二十</w:t>
      </w:r>
      <w:r>
        <w:rPr>
          <w:rFonts w:hint="eastAsia" w:hAnsi="仿宋_GB2312" w:eastAsia="仿宋_GB2312" w:cs="仿宋_GB2312"/>
          <w:b/>
          <w:bCs/>
          <w:color w:val="auto"/>
          <w:kern w:val="2"/>
          <w:sz w:val="32"/>
          <w:szCs w:val="32"/>
          <w:lang w:val="en-US" w:eastAsia="zh-CN" w:bidi="ar-SA"/>
        </w:rPr>
        <w:t>六</w:t>
      </w:r>
      <w:r>
        <w:rPr>
          <w:rFonts w:hint="eastAsia" w:ascii="仿宋_GB2312" w:hAnsi="仿宋_GB2312" w:eastAsia="仿宋_GB2312" w:cs="仿宋_GB2312"/>
          <w:b/>
          <w:bCs/>
          <w:color w:val="auto"/>
          <w:kern w:val="2"/>
          <w:sz w:val="32"/>
          <w:szCs w:val="32"/>
          <w:lang w:val="en-US" w:eastAsia="zh-CN" w:bidi="ar-SA"/>
        </w:rPr>
        <w:t>条</w:t>
      </w:r>
      <w:r>
        <w:rPr>
          <w:rFonts w:hint="eastAsia" w:hAnsi="仿宋_GB2312" w:eastAsia="仿宋_GB2312" w:cs="仿宋_GB2312"/>
          <w:b/>
          <w:bCs/>
          <w:color w:val="auto"/>
          <w:kern w:val="2"/>
          <w:sz w:val="32"/>
          <w:szCs w:val="32"/>
          <w:lang w:val="en-US" w:eastAsia="zh-CN" w:bidi="ar-SA"/>
        </w:rPr>
        <w:t xml:space="preserve">  </w:t>
      </w:r>
      <w:r>
        <w:rPr>
          <w:rFonts w:hint="eastAsia" w:hAnsi="仿宋_GB2312" w:eastAsia="仿宋_GB2312" w:cs="仿宋_GB2312"/>
          <w:color w:val="auto"/>
          <w:sz w:val="32"/>
          <w:szCs w:val="32"/>
          <w:lang w:eastAsia="zh-CN"/>
        </w:rPr>
        <w:t>区金控公司</w:t>
      </w:r>
      <w:r>
        <w:rPr>
          <w:rFonts w:hint="eastAsia" w:hAnsi="仿宋_GB2312" w:eastAsia="仿宋_GB2312" w:cs="仿宋_GB2312"/>
          <w:color w:val="auto"/>
          <w:sz w:val="32"/>
          <w:szCs w:val="32"/>
          <w:lang w:val="en-US" w:eastAsia="zh-CN"/>
        </w:rPr>
        <w:t>须建立健全包括风险管理制度和风险控制流程在内的风控合规体系及内部管控制度，对产业基金所投项目</w:t>
      </w:r>
      <w:r>
        <w:rPr>
          <w:rFonts w:hint="eastAsia" w:hAnsi="仿宋_GB2312" w:eastAsia="仿宋_GB2312" w:cs="仿宋_GB2312"/>
          <w:color w:val="auto"/>
          <w:sz w:val="32"/>
          <w:szCs w:val="32"/>
          <w:lang w:eastAsia="zh-CN"/>
        </w:rPr>
        <w:t>定期进行监督检查，并视工作需要委托专业机构开展专项审计，有效防范运作风险。</w:t>
      </w:r>
    </w:p>
    <w:p>
      <w:pPr>
        <w:keepNext w:val="0"/>
        <w:keepLines w:val="0"/>
        <w:pageBreakBefore w:val="0"/>
        <w:widowControl w:val="0"/>
        <w:numPr>
          <w:ilvl w:val="0"/>
          <w:numId w:val="0"/>
        </w:numPr>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第二十七条</w:t>
      </w:r>
      <w:r>
        <w:rPr>
          <w:rFonts w:hint="eastAsia" w:eastAsia="仿宋_GB2312"/>
          <w:color w:val="auto"/>
          <w:spacing w:val="14"/>
          <w:sz w:val="32"/>
          <w:szCs w:val="32"/>
          <w:lang w:val="en-US" w:eastAsia="zh-CN"/>
        </w:rPr>
        <w:t xml:space="preserve">  区产业基金合作设立的</w:t>
      </w:r>
      <w:r>
        <w:rPr>
          <w:rFonts w:hint="eastAsia" w:ascii="仿宋_GB2312" w:hAnsi="仿宋_GB2312" w:eastAsia="仿宋_GB2312" w:cs="仿宋_GB2312"/>
          <w:color w:val="auto"/>
          <w:kern w:val="0"/>
          <w:sz w:val="32"/>
          <w:szCs w:val="32"/>
          <w:lang w:val="en-US" w:eastAsia="zh-CN" w:bidi="ar-SA"/>
        </w:rPr>
        <w:t>子基金应当委托一家中国境内商业银行进行托管，托管银行由子基金管理机构提议并经子基金全体出资人一致同意，按照有关规定及托管协议开展资产保管、资金拨付和结算等日常工作，对投资活动进行动态监管，定期向子基金管理机构出具银行托管报告，并向区金控公司抄送托管报告。</w:t>
      </w:r>
    </w:p>
    <w:p>
      <w:pPr>
        <w:pStyle w:val="2"/>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hAnsi="仿宋_GB2312" w:eastAsia="仿宋_GB2312" w:cs="仿宋_GB2312"/>
          <w:b/>
          <w:bCs/>
          <w:color w:val="auto"/>
          <w:sz w:val="32"/>
          <w:szCs w:val="32"/>
          <w:lang w:eastAsia="zh-CN"/>
        </w:rPr>
        <w:t>第</w:t>
      </w:r>
      <w:r>
        <w:rPr>
          <w:rFonts w:hint="eastAsia" w:hAnsi="仿宋_GB2312" w:eastAsia="仿宋_GB2312" w:cs="仿宋_GB2312"/>
          <w:b/>
          <w:bCs/>
          <w:color w:val="auto"/>
          <w:sz w:val="32"/>
          <w:szCs w:val="32"/>
          <w:lang w:val="en-US" w:eastAsia="zh-CN"/>
        </w:rPr>
        <w:t>二十八</w:t>
      </w:r>
      <w:r>
        <w:rPr>
          <w:rFonts w:hint="eastAsia" w:hAnsi="仿宋_GB2312" w:eastAsia="仿宋_GB2312" w:cs="仿宋_GB2312"/>
          <w:b/>
          <w:bCs/>
          <w:color w:val="auto"/>
          <w:sz w:val="32"/>
          <w:szCs w:val="32"/>
          <w:lang w:eastAsia="zh-CN"/>
        </w:rPr>
        <w:t>条</w:t>
      </w:r>
      <w:r>
        <w:rPr>
          <w:rFonts w:hint="eastAsia" w:hAnsi="仿宋_GB2312" w:eastAsia="仿宋_GB2312" w:cs="仿宋_GB2312"/>
          <w:color w:val="auto"/>
          <w:sz w:val="32"/>
          <w:szCs w:val="32"/>
          <w:lang w:val="en-US" w:eastAsia="zh-CN"/>
        </w:rPr>
        <w:t xml:space="preserve">  </w:t>
      </w:r>
      <w:r>
        <w:rPr>
          <w:rFonts w:hint="eastAsia" w:hAnsi="仿宋_GB2312" w:eastAsia="仿宋_GB2312" w:cs="仿宋_GB2312"/>
          <w:color w:val="auto"/>
          <w:sz w:val="32"/>
          <w:szCs w:val="32"/>
          <w:lang w:eastAsia="zh-CN"/>
        </w:rPr>
        <w:t>参照省、市、区现有容错免责机制</w:t>
      </w:r>
      <w:r>
        <w:rPr>
          <w:rFonts w:hint="eastAsia" w:ascii="仿宋_GB2312" w:hAnsi="仿宋_GB2312" w:eastAsia="仿宋_GB2312" w:cs="仿宋_GB2312"/>
          <w:color w:val="auto"/>
          <w:sz w:val="32"/>
          <w:szCs w:val="32"/>
        </w:rPr>
        <w:t>，对于</w:t>
      </w:r>
      <w:r>
        <w:rPr>
          <w:rFonts w:hint="eastAsia" w:hAnsi="仿宋_GB2312" w:eastAsia="仿宋_GB2312" w:cs="仿宋_GB2312"/>
          <w:color w:val="auto"/>
          <w:sz w:val="32"/>
          <w:szCs w:val="32"/>
          <w:lang w:eastAsia="zh-CN"/>
        </w:rPr>
        <w:t>区产业</w:t>
      </w:r>
      <w:r>
        <w:rPr>
          <w:rFonts w:hint="eastAsia" w:ascii="仿宋_GB2312" w:hAnsi="仿宋_GB2312" w:eastAsia="仿宋_GB2312" w:cs="仿宋_GB2312"/>
          <w:color w:val="auto"/>
          <w:sz w:val="32"/>
          <w:szCs w:val="32"/>
        </w:rPr>
        <w:t>基金运作过程中发生违法违规行为的，依法依规追究相应责任；</w:t>
      </w:r>
      <w:r>
        <w:rPr>
          <w:rFonts w:hint="eastAsia" w:hAnsi="仿宋_GB2312" w:eastAsia="仿宋_GB2312" w:cs="仿宋_GB2312"/>
          <w:color w:val="auto"/>
          <w:sz w:val="32"/>
          <w:szCs w:val="32"/>
          <w:lang w:val="en-US" w:eastAsia="zh-CN"/>
        </w:rPr>
        <w:t>对于在基金投资过程中</w:t>
      </w:r>
      <w:r>
        <w:rPr>
          <w:rFonts w:hint="eastAsia" w:ascii="仿宋_GB2312" w:hAnsi="仿宋_GB2312" w:eastAsia="仿宋_GB2312" w:cs="仿宋_GB2312"/>
          <w:color w:val="auto"/>
          <w:sz w:val="32"/>
          <w:szCs w:val="32"/>
        </w:rPr>
        <w:t>已履职尽责的，如发生风险造成投资损失，决策机构、出资人、主管部门、</w:t>
      </w:r>
      <w:r>
        <w:rPr>
          <w:rFonts w:hint="eastAsia" w:hAnsi="仿宋_GB2312" w:eastAsia="仿宋_GB2312" w:cs="仿宋_GB2312"/>
          <w:color w:val="auto"/>
          <w:sz w:val="32"/>
          <w:szCs w:val="32"/>
          <w:lang w:val="en-US" w:eastAsia="zh-CN"/>
        </w:rPr>
        <w:t>区金控公司</w:t>
      </w:r>
      <w:r>
        <w:rPr>
          <w:rFonts w:hint="eastAsia" w:ascii="仿宋_GB2312" w:hAnsi="仿宋_GB2312" w:eastAsia="仿宋_GB2312" w:cs="仿宋_GB2312"/>
          <w:color w:val="auto"/>
          <w:sz w:val="32"/>
          <w:szCs w:val="32"/>
        </w:rPr>
        <w:t>等不承担相关责任。</w:t>
      </w:r>
    </w:p>
    <w:p>
      <w:pPr>
        <w:pStyle w:val="2"/>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cs="仿宋"/>
          <w:bCs/>
          <w:color w:val="auto"/>
          <w:sz w:val="32"/>
          <w:szCs w:val="32"/>
        </w:rPr>
      </w:pPr>
      <w:r>
        <w:rPr>
          <w:rFonts w:hint="eastAsia" w:ascii="黑体" w:hAnsi="黑体" w:eastAsia="黑体" w:cs="仿宋"/>
          <w:bCs/>
          <w:color w:val="auto"/>
          <w:sz w:val="32"/>
          <w:szCs w:val="32"/>
          <w:lang w:val="en-US" w:eastAsia="zh-CN"/>
        </w:rPr>
        <w:t xml:space="preserve">第八章 </w:t>
      </w:r>
      <w:r>
        <w:rPr>
          <w:rFonts w:hint="eastAsia" w:ascii="黑体" w:hAnsi="黑体" w:eastAsia="黑体" w:cs="仿宋"/>
          <w:bCs/>
          <w:color w:val="auto"/>
          <w:sz w:val="32"/>
          <w:szCs w:val="32"/>
        </w:rPr>
        <w:t>报告制度和信息披露</w:t>
      </w:r>
    </w:p>
    <w:p>
      <w:pPr>
        <w:pStyle w:val="2"/>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hAnsi="仿宋_GB2312" w:eastAsia="仿宋_GB2312" w:cs="仿宋_GB2312"/>
          <w:b/>
          <w:bCs/>
          <w:color w:val="auto"/>
          <w:sz w:val="32"/>
          <w:szCs w:val="32"/>
          <w:lang w:val="en-US" w:eastAsia="zh-CN"/>
        </w:rPr>
        <w:t xml:space="preserve">第二十九条  </w:t>
      </w:r>
      <w:r>
        <w:rPr>
          <w:rFonts w:hint="eastAsia" w:ascii="仿宋_GB2312" w:hAnsi="仿宋_GB2312" w:eastAsia="仿宋_GB2312" w:cs="仿宋_GB2312"/>
          <w:color w:val="auto"/>
          <w:sz w:val="32"/>
          <w:szCs w:val="32"/>
        </w:rPr>
        <w:t>每季度结束后</w:t>
      </w:r>
      <w:r>
        <w:rPr>
          <w:rFonts w:hint="eastAsia"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日内，</w:t>
      </w:r>
      <w:r>
        <w:rPr>
          <w:rFonts w:hint="eastAsia"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金控公司应</w:t>
      </w:r>
      <w:r>
        <w:rPr>
          <w:rFonts w:hint="eastAsia" w:hAnsi="仿宋_GB2312" w:eastAsia="仿宋_GB2312" w:cs="仿宋_GB2312"/>
          <w:color w:val="auto"/>
          <w:sz w:val="32"/>
          <w:szCs w:val="32"/>
          <w:lang w:eastAsia="zh-CN"/>
        </w:rPr>
        <w:t>将区产业</w:t>
      </w:r>
      <w:r>
        <w:rPr>
          <w:rFonts w:hint="eastAsia" w:ascii="仿宋_GB2312" w:hAnsi="仿宋_GB2312" w:eastAsia="仿宋_GB2312" w:cs="仿宋_GB2312"/>
          <w:color w:val="auto"/>
          <w:sz w:val="32"/>
          <w:szCs w:val="32"/>
        </w:rPr>
        <w:t>基金投资运作、项目进展、股本变化和资金使用等情况，</w:t>
      </w:r>
      <w:r>
        <w:rPr>
          <w:rFonts w:hint="eastAsia" w:hAnsi="仿宋_GB2312" w:eastAsia="仿宋_GB2312" w:cs="仿宋_GB2312"/>
          <w:color w:val="auto"/>
          <w:sz w:val="32"/>
          <w:szCs w:val="32"/>
          <w:lang w:eastAsia="zh-CN"/>
        </w:rPr>
        <w:t>审核后</w:t>
      </w:r>
      <w:r>
        <w:rPr>
          <w:rFonts w:hint="eastAsia" w:ascii="仿宋_GB2312" w:hAnsi="仿宋_GB2312" w:eastAsia="仿宋_GB2312" w:cs="仿宋_GB2312"/>
          <w:color w:val="auto"/>
          <w:sz w:val="32"/>
          <w:szCs w:val="32"/>
        </w:rPr>
        <w:t>报</w:t>
      </w:r>
      <w:r>
        <w:rPr>
          <w:rFonts w:hint="eastAsia" w:hAnsi="仿宋_GB2312" w:eastAsia="仿宋_GB2312" w:cs="仿宋_GB2312"/>
          <w:color w:val="auto"/>
          <w:sz w:val="32"/>
          <w:szCs w:val="32"/>
          <w:lang w:eastAsia="zh-CN"/>
        </w:rPr>
        <w:t>基金管理委员会</w:t>
      </w:r>
      <w:r>
        <w:rPr>
          <w:rFonts w:hint="eastAsia" w:ascii="仿宋_GB2312" w:hAnsi="仿宋_GB2312" w:eastAsia="仿宋_GB2312" w:cs="仿宋_GB2312"/>
          <w:color w:val="auto"/>
          <w:sz w:val="32"/>
          <w:szCs w:val="32"/>
        </w:rPr>
        <w:t>备案。</w:t>
      </w:r>
    </w:p>
    <w:p>
      <w:pPr>
        <w:pStyle w:val="2"/>
        <w:keepNext w:val="0"/>
        <w:keepLines w:val="0"/>
        <w:pageBreakBefore w:val="0"/>
        <w:widowControl w:val="0"/>
        <w:kinsoku/>
        <w:wordWrap/>
        <w:overflowPunct/>
        <w:topLinePunct w:val="0"/>
        <w:bidi w:val="0"/>
        <w:spacing w:line="560" w:lineRule="exact"/>
        <w:ind w:firstLine="643" w:firstLineChars="200"/>
        <w:jc w:val="both"/>
        <w:textAlignment w:val="auto"/>
        <w:rPr>
          <w:rFonts w:hint="eastAsia" w:hAnsi="仿宋_GB2312" w:eastAsia="仿宋_GB2312" w:cs="仿宋_GB2312"/>
          <w:color w:val="auto"/>
          <w:kern w:val="0"/>
          <w:sz w:val="32"/>
          <w:szCs w:val="32"/>
          <w:lang w:val="en-US" w:eastAsia="zh-CN" w:bidi="ar-SA"/>
        </w:rPr>
      </w:pPr>
      <w:r>
        <w:rPr>
          <w:rFonts w:hint="eastAsia"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eastAsia="zh-CN"/>
        </w:rPr>
        <w:t>三十</w:t>
      </w:r>
      <w:r>
        <w:rPr>
          <w:rFonts w:hint="eastAsia" w:hAnsi="仿宋_GB2312" w:eastAsia="仿宋_GB2312" w:cs="仿宋_GB2312"/>
          <w:b/>
          <w:bCs/>
          <w:color w:val="auto"/>
          <w:sz w:val="32"/>
          <w:szCs w:val="32"/>
          <w:lang w:eastAsia="zh-CN"/>
        </w:rPr>
        <w:t>条</w:t>
      </w:r>
      <w:r>
        <w:rPr>
          <w:rFonts w:hint="eastAsia"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会计年度结束后</w:t>
      </w:r>
      <w:r>
        <w:rPr>
          <w:rFonts w:hint="eastAsia"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个月内，</w:t>
      </w:r>
      <w:r>
        <w:rPr>
          <w:rFonts w:hint="eastAsia"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金控公司应提交</w:t>
      </w:r>
      <w:r>
        <w:rPr>
          <w:rFonts w:hint="eastAsia" w:hAnsi="仿宋_GB2312" w:eastAsia="仿宋_GB2312" w:cs="仿宋_GB2312"/>
          <w:color w:val="auto"/>
          <w:sz w:val="32"/>
          <w:szCs w:val="32"/>
          <w:lang w:eastAsia="zh-CN"/>
        </w:rPr>
        <w:t>区产业</w:t>
      </w:r>
      <w:r>
        <w:rPr>
          <w:rFonts w:hint="eastAsia" w:ascii="仿宋_GB2312" w:hAnsi="仿宋_GB2312" w:eastAsia="仿宋_GB2312" w:cs="仿宋_GB2312"/>
          <w:color w:val="auto"/>
          <w:sz w:val="32"/>
          <w:szCs w:val="32"/>
        </w:rPr>
        <w:t>基金年度工作报告和经会计师事务所审计的年度审计报告</w:t>
      </w:r>
      <w:r>
        <w:rPr>
          <w:rFonts w:hint="eastAsia"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w:t>
      </w:r>
      <w:r>
        <w:rPr>
          <w:rFonts w:hint="eastAsia" w:hAnsi="仿宋_GB2312" w:eastAsia="仿宋_GB2312" w:cs="仿宋_GB2312"/>
          <w:color w:val="auto"/>
          <w:sz w:val="32"/>
          <w:szCs w:val="32"/>
          <w:lang w:eastAsia="zh-CN"/>
        </w:rPr>
        <w:t>送至基金管理委员会。</w:t>
      </w:r>
      <w:r>
        <w:rPr>
          <w:rFonts w:hint="eastAsia" w:hAnsi="仿宋_GB2312" w:eastAsia="仿宋_GB2312" w:cs="仿宋_GB2312"/>
          <w:color w:val="auto"/>
          <w:kern w:val="0"/>
          <w:sz w:val="32"/>
          <w:szCs w:val="32"/>
          <w:lang w:val="en-US" w:eastAsia="zh-CN" w:bidi="ar-SA"/>
        </w:rPr>
        <w:t xml:space="preserve">  </w:t>
      </w:r>
    </w:p>
    <w:p>
      <w:pPr>
        <w:keepNext w:val="0"/>
        <w:keepLines w:val="0"/>
        <w:pageBreakBefore w:val="0"/>
        <w:widowControl w:val="0"/>
        <w:kinsoku/>
        <w:wordWrap/>
        <w:overflowPunct/>
        <w:topLinePunct w:val="0"/>
        <w:bidi w:val="0"/>
        <w:spacing w:line="560" w:lineRule="exact"/>
        <w:ind w:firstLine="651"/>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第三十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区产业</w:t>
      </w:r>
      <w:r>
        <w:rPr>
          <w:rFonts w:hint="eastAsia" w:ascii="仿宋_GB2312" w:hAnsi="仿宋_GB2312" w:eastAsia="仿宋_GB2312" w:cs="仿宋_GB2312"/>
          <w:color w:val="auto"/>
          <w:sz w:val="32"/>
          <w:szCs w:val="32"/>
        </w:rPr>
        <w:t>基金投资合作的子基金管理机构及直投项目应建立重大事项披露制度，定期向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金控公司提交子基金或企业运营报告、经审计的财务报告等，</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金控公司视工作需要可委托专业机构对子基金或企业进行审计。</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区产业</w:t>
      </w:r>
      <w:r>
        <w:rPr>
          <w:rFonts w:hint="eastAsia" w:ascii="仿宋_GB2312" w:hAnsi="仿宋_GB2312" w:eastAsia="仿宋_GB2312" w:cs="仿宋_GB2312"/>
          <w:color w:val="auto"/>
          <w:sz w:val="32"/>
          <w:szCs w:val="32"/>
        </w:rPr>
        <w:t>基金运作和管理中如发生重大问题，</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金控公司应在</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向基金管理委员会</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val="en-US" w:eastAsia="zh-CN"/>
        </w:rPr>
        <w:t>并按批示执行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cs="仿宋"/>
          <w:bCs/>
          <w:color w:val="auto"/>
          <w:sz w:val="32"/>
          <w:szCs w:val="32"/>
        </w:rPr>
      </w:pPr>
      <w:r>
        <w:rPr>
          <w:rFonts w:hint="eastAsia" w:ascii="黑体" w:hAnsi="黑体" w:eastAsia="黑体" w:cs="仿宋"/>
          <w:bCs/>
          <w:color w:val="auto"/>
          <w:sz w:val="32"/>
          <w:szCs w:val="32"/>
        </w:rPr>
        <w:t>第</w:t>
      </w:r>
      <w:r>
        <w:rPr>
          <w:rFonts w:hint="eastAsia" w:ascii="黑体" w:hAnsi="黑体" w:eastAsia="黑体" w:cs="仿宋"/>
          <w:bCs/>
          <w:color w:val="auto"/>
          <w:sz w:val="32"/>
          <w:szCs w:val="32"/>
          <w:lang w:val="en-US" w:eastAsia="zh-CN"/>
        </w:rPr>
        <w:t>九</w:t>
      </w:r>
      <w:r>
        <w:rPr>
          <w:rFonts w:hint="eastAsia" w:ascii="黑体" w:hAnsi="黑体" w:eastAsia="黑体" w:cs="仿宋"/>
          <w:bCs/>
          <w:color w:val="auto"/>
          <w:sz w:val="32"/>
          <w:szCs w:val="32"/>
        </w:rPr>
        <w:t>章</w:t>
      </w:r>
      <w:r>
        <w:rPr>
          <w:rFonts w:ascii="黑体" w:hAnsi="黑体" w:eastAsia="黑体" w:cs="仿宋"/>
          <w:bCs/>
          <w:color w:val="auto"/>
          <w:sz w:val="32"/>
          <w:szCs w:val="32"/>
        </w:rPr>
        <w:t xml:space="preserve">  </w:t>
      </w:r>
      <w:r>
        <w:rPr>
          <w:rFonts w:hint="eastAsia" w:ascii="黑体" w:hAnsi="黑体" w:eastAsia="黑体" w:cs="仿宋"/>
          <w:bCs/>
          <w:color w:val="auto"/>
          <w:sz w:val="32"/>
          <w:szCs w:val="32"/>
        </w:rPr>
        <w:t>附则</w:t>
      </w:r>
    </w:p>
    <w:p>
      <w:pPr>
        <w:keepNext w:val="0"/>
        <w:keepLines w:val="0"/>
        <w:pageBreakBefore w:val="0"/>
        <w:widowControl w:val="0"/>
        <w:kinsoku/>
        <w:wordWrap/>
        <w:overflowPunct/>
        <w:topLinePunct w:val="0"/>
        <w:bidi w:val="0"/>
        <w:spacing w:line="560" w:lineRule="exact"/>
        <w:ind w:firstLine="651"/>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区产业基金与国家、省市级相关产业基金合作设立的子基金的管理，视情况按照上级有关管理办法执行。</w:t>
      </w:r>
    </w:p>
    <w:p>
      <w:pPr>
        <w:keepNext w:val="0"/>
        <w:keepLines w:val="0"/>
        <w:pageBreakBefore w:val="0"/>
        <w:widowControl w:val="0"/>
        <w:kinsoku/>
        <w:wordWrap/>
        <w:overflowPunct/>
        <w:topLinePunct w:val="0"/>
        <w:bidi w:val="0"/>
        <w:spacing w:line="560" w:lineRule="exact"/>
        <w:ind w:firstLine="651"/>
        <w:textAlignment w:val="auto"/>
        <w:rPr>
          <w:rFonts w:hint="eastAsia"/>
          <w:color w:val="auto"/>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本办法自2023年 月  日起实施。</w:t>
      </w:r>
    </w:p>
    <w:p>
      <w:pPr>
        <w:keepNext w:val="0"/>
        <w:keepLines w:val="0"/>
        <w:pageBreakBefore w:val="0"/>
        <w:widowControl w:val="0"/>
        <w:numPr>
          <w:ilvl w:val="0"/>
          <w:numId w:val="0"/>
        </w:numPr>
        <w:kinsoku/>
        <w:wordWrap/>
        <w:overflowPunct/>
        <w:topLinePunct w:val="0"/>
        <w:bidi w:val="0"/>
        <w:spacing w:line="560" w:lineRule="exact"/>
        <w:jc w:val="both"/>
        <w:textAlignment w:val="auto"/>
        <w:rPr>
          <w:rFonts w:hint="eastAsia"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51CFF"/>
    <w:multiLevelType w:val="singleLevel"/>
    <w:tmpl w:val="A7A51CFF"/>
    <w:lvl w:ilvl="0" w:tentative="0">
      <w:start w:val="8"/>
      <w:numFmt w:val="chineseCounting"/>
      <w:suff w:val="space"/>
      <w:lvlText w:val="第%1条"/>
      <w:lvlJc w:val="left"/>
      <w:rPr>
        <w:rFonts w:hint="eastAsia" w:ascii="仿宋_GB2312" w:hAnsi="仿宋_GB2312" w:eastAsia="仿宋_GB2312" w:cs="仿宋_GB2312"/>
        <w:b/>
        <w:bCs/>
      </w:rPr>
    </w:lvl>
  </w:abstractNum>
  <w:abstractNum w:abstractNumId="1">
    <w:nsid w:val="5159ADF6"/>
    <w:multiLevelType w:val="singleLevel"/>
    <w:tmpl w:val="5159ADF6"/>
    <w:lvl w:ilvl="0" w:tentative="0">
      <w:start w:val="3"/>
      <w:numFmt w:val="chineseCounting"/>
      <w:suff w:val="space"/>
      <w:lvlText w:val="第%1条"/>
      <w:lvlJc w:val="left"/>
      <w:rPr>
        <w:rFonts w:hint="eastAsia" w:ascii="仿宋_GB2312" w:hAnsi="仿宋_GB2312" w:eastAsia="仿宋_GB2312" w:cs="仿宋_GB2312"/>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DAwYTI2M2E1NzczMTJiMTRlNTE3NmY4Y2NjM2QifQ=="/>
  </w:docVars>
  <w:rsids>
    <w:rsidRoot w:val="00000000"/>
    <w:rsid w:val="00374B77"/>
    <w:rsid w:val="00380814"/>
    <w:rsid w:val="00BE7797"/>
    <w:rsid w:val="00D94C1C"/>
    <w:rsid w:val="01086C64"/>
    <w:rsid w:val="010A478A"/>
    <w:rsid w:val="01344155"/>
    <w:rsid w:val="01964270"/>
    <w:rsid w:val="01991D03"/>
    <w:rsid w:val="01CB3B8F"/>
    <w:rsid w:val="029F6342"/>
    <w:rsid w:val="02C8755B"/>
    <w:rsid w:val="02CB5098"/>
    <w:rsid w:val="030C5461"/>
    <w:rsid w:val="03405178"/>
    <w:rsid w:val="03707C33"/>
    <w:rsid w:val="0372363C"/>
    <w:rsid w:val="03A055CA"/>
    <w:rsid w:val="040E4592"/>
    <w:rsid w:val="0414147C"/>
    <w:rsid w:val="05203B59"/>
    <w:rsid w:val="05403212"/>
    <w:rsid w:val="05A30D9B"/>
    <w:rsid w:val="05BB27B8"/>
    <w:rsid w:val="05E17940"/>
    <w:rsid w:val="0615793C"/>
    <w:rsid w:val="06DE2CF8"/>
    <w:rsid w:val="07546B04"/>
    <w:rsid w:val="076D1A54"/>
    <w:rsid w:val="07796CF7"/>
    <w:rsid w:val="078523CF"/>
    <w:rsid w:val="079B438E"/>
    <w:rsid w:val="0845240C"/>
    <w:rsid w:val="08C6543B"/>
    <w:rsid w:val="08FF396E"/>
    <w:rsid w:val="090E293E"/>
    <w:rsid w:val="093C2C9A"/>
    <w:rsid w:val="09462CC5"/>
    <w:rsid w:val="0955763A"/>
    <w:rsid w:val="09B11128"/>
    <w:rsid w:val="0A0A57FB"/>
    <w:rsid w:val="0A3E0D1E"/>
    <w:rsid w:val="0A9D237D"/>
    <w:rsid w:val="0ACA0178"/>
    <w:rsid w:val="0AFF69E2"/>
    <w:rsid w:val="0B3C49BD"/>
    <w:rsid w:val="0B776EC0"/>
    <w:rsid w:val="0BCD6AE0"/>
    <w:rsid w:val="0BF0712E"/>
    <w:rsid w:val="0CC55A09"/>
    <w:rsid w:val="0CD50B07"/>
    <w:rsid w:val="0DDE77D3"/>
    <w:rsid w:val="0E0A7D0A"/>
    <w:rsid w:val="0EF40828"/>
    <w:rsid w:val="10090303"/>
    <w:rsid w:val="10A06599"/>
    <w:rsid w:val="10A32F80"/>
    <w:rsid w:val="1115264F"/>
    <w:rsid w:val="11344CE7"/>
    <w:rsid w:val="11C20769"/>
    <w:rsid w:val="1209298E"/>
    <w:rsid w:val="12137217"/>
    <w:rsid w:val="12334E5B"/>
    <w:rsid w:val="1235009E"/>
    <w:rsid w:val="127B4131"/>
    <w:rsid w:val="135D2E40"/>
    <w:rsid w:val="13744E74"/>
    <w:rsid w:val="13985C26"/>
    <w:rsid w:val="13B81E24"/>
    <w:rsid w:val="13D74B4A"/>
    <w:rsid w:val="14000D2B"/>
    <w:rsid w:val="140130E1"/>
    <w:rsid w:val="14060DE1"/>
    <w:rsid w:val="1422518E"/>
    <w:rsid w:val="14CB22F0"/>
    <w:rsid w:val="15675CC7"/>
    <w:rsid w:val="15771BDB"/>
    <w:rsid w:val="166B5873"/>
    <w:rsid w:val="16881F81"/>
    <w:rsid w:val="1700086F"/>
    <w:rsid w:val="173B2E91"/>
    <w:rsid w:val="174F27ED"/>
    <w:rsid w:val="17B82AE7"/>
    <w:rsid w:val="17E20249"/>
    <w:rsid w:val="18893D8F"/>
    <w:rsid w:val="1A8C31F6"/>
    <w:rsid w:val="1B7253DC"/>
    <w:rsid w:val="1BAB6EFB"/>
    <w:rsid w:val="1BBD6A45"/>
    <w:rsid w:val="1CB751D1"/>
    <w:rsid w:val="1CFD394B"/>
    <w:rsid w:val="1D231C7F"/>
    <w:rsid w:val="1D2B7FEE"/>
    <w:rsid w:val="1D3E783E"/>
    <w:rsid w:val="1E0B4943"/>
    <w:rsid w:val="1E6D4A6A"/>
    <w:rsid w:val="1E7A22F1"/>
    <w:rsid w:val="1ED7557C"/>
    <w:rsid w:val="1F94344A"/>
    <w:rsid w:val="1FA92F69"/>
    <w:rsid w:val="1FDE2C12"/>
    <w:rsid w:val="207672EF"/>
    <w:rsid w:val="20DF30E6"/>
    <w:rsid w:val="20EC5A5E"/>
    <w:rsid w:val="20EF2BFD"/>
    <w:rsid w:val="215634AA"/>
    <w:rsid w:val="216E7987"/>
    <w:rsid w:val="21983295"/>
    <w:rsid w:val="21A71430"/>
    <w:rsid w:val="21C422DC"/>
    <w:rsid w:val="21D91C52"/>
    <w:rsid w:val="224D2D44"/>
    <w:rsid w:val="22790FEF"/>
    <w:rsid w:val="22C34341"/>
    <w:rsid w:val="237F64BA"/>
    <w:rsid w:val="238B2A29"/>
    <w:rsid w:val="239B0ABD"/>
    <w:rsid w:val="23E40A13"/>
    <w:rsid w:val="24D52712"/>
    <w:rsid w:val="25084F27"/>
    <w:rsid w:val="252A06A8"/>
    <w:rsid w:val="26154EB4"/>
    <w:rsid w:val="26246654"/>
    <w:rsid w:val="263A0DBE"/>
    <w:rsid w:val="26584F46"/>
    <w:rsid w:val="26722306"/>
    <w:rsid w:val="269D3BA8"/>
    <w:rsid w:val="26DB7EAB"/>
    <w:rsid w:val="27545EB0"/>
    <w:rsid w:val="279F3713"/>
    <w:rsid w:val="27BE3283"/>
    <w:rsid w:val="27E17743"/>
    <w:rsid w:val="28165999"/>
    <w:rsid w:val="2818185A"/>
    <w:rsid w:val="28672967"/>
    <w:rsid w:val="29660089"/>
    <w:rsid w:val="2A145F18"/>
    <w:rsid w:val="2A3C3357"/>
    <w:rsid w:val="2A66642C"/>
    <w:rsid w:val="2B535728"/>
    <w:rsid w:val="2B6D510A"/>
    <w:rsid w:val="2B762899"/>
    <w:rsid w:val="2BEB40BD"/>
    <w:rsid w:val="2BED1AC5"/>
    <w:rsid w:val="2BF23429"/>
    <w:rsid w:val="2BF57023"/>
    <w:rsid w:val="2C793EE0"/>
    <w:rsid w:val="2C7A4878"/>
    <w:rsid w:val="2C7E3DC4"/>
    <w:rsid w:val="2CA361BA"/>
    <w:rsid w:val="2CA42ED3"/>
    <w:rsid w:val="2CCF6918"/>
    <w:rsid w:val="2D235F0E"/>
    <w:rsid w:val="2D5C786C"/>
    <w:rsid w:val="2EBD08AA"/>
    <w:rsid w:val="2F38546E"/>
    <w:rsid w:val="2FA266C8"/>
    <w:rsid w:val="30202DD3"/>
    <w:rsid w:val="304732AA"/>
    <w:rsid w:val="30564C3B"/>
    <w:rsid w:val="30977539"/>
    <w:rsid w:val="30A63753"/>
    <w:rsid w:val="30BC6FA0"/>
    <w:rsid w:val="31033EA9"/>
    <w:rsid w:val="314C5739"/>
    <w:rsid w:val="315F792B"/>
    <w:rsid w:val="31641EB2"/>
    <w:rsid w:val="31A21EFB"/>
    <w:rsid w:val="31AB2B70"/>
    <w:rsid w:val="31D22DAD"/>
    <w:rsid w:val="320D1173"/>
    <w:rsid w:val="32682F1F"/>
    <w:rsid w:val="327411B4"/>
    <w:rsid w:val="32CE2FBA"/>
    <w:rsid w:val="33327CC7"/>
    <w:rsid w:val="337143B2"/>
    <w:rsid w:val="337761AF"/>
    <w:rsid w:val="33D62126"/>
    <w:rsid w:val="33E20C85"/>
    <w:rsid w:val="34491744"/>
    <w:rsid w:val="34994CCB"/>
    <w:rsid w:val="34D74A8F"/>
    <w:rsid w:val="35326ED7"/>
    <w:rsid w:val="353A75A4"/>
    <w:rsid w:val="355E28F8"/>
    <w:rsid w:val="3597012D"/>
    <w:rsid w:val="35B23AA9"/>
    <w:rsid w:val="3608130B"/>
    <w:rsid w:val="362311BF"/>
    <w:rsid w:val="362708E9"/>
    <w:rsid w:val="36AC7CBB"/>
    <w:rsid w:val="3747333B"/>
    <w:rsid w:val="376917E5"/>
    <w:rsid w:val="37A15870"/>
    <w:rsid w:val="37EF202C"/>
    <w:rsid w:val="37F0752F"/>
    <w:rsid w:val="384D5249"/>
    <w:rsid w:val="38AA1D8F"/>
    <w:rsid w:val="38BA2F6A"/>
    <w:rsid w:val="398720B8"/>
    <w:rsid w:val="399E34EC"/>
    <w:rsid w:val="39CD32B0"/>
    <w:rsid w:val="39D42649"/>
    <w:rsid w:val="3A3E3DCD"/>
    <w:rsid w:val="3A4600BC"/>
    <w:rsid w:val="3A550FD1"/>
    <w:rsid w:val="3A5A450F"/>
    <w:rsid w:val="3A91205D"/>
    <w:rsid w:val="3BF20CEE"/>
    <w:rsid w:val="3C0271FA"/>
    <w:rsid w:val="3C605514"/>
    <w:rsid w:val="3C6551EC"/>
    <w:rsid w:val="3D4F2F4A"/>
    <w:rsid w:val="3D631ED2"/>
    <w:rsid w:val="3D8F6979"/>
    <w:rsid w:val="3DB07008"/>
    <w:rsid w:val="3DE010EC"/>
    <w:rsid w:val="3DEC5DD9"/>
    <w:rsid w:val="3E0A3A68"/>
    <w:rsid w:val="3E230BC9"/>
    <w:rsid w:val="3E9C061B"/>
    <w:rsid w:val="3F0C1519"/>
    <w:rsid w:val="3F177A97"/>
    <w:rsid w:val="3F9735E3"/>
    <w:rsid w:val="3FB57E6A"/>
    <w:rsid w:val="40055B41"/>
    <w:rsid w:val="403703F1"/>
    <w:rsid w:val="40493B28"/>
    <w:rsid w:val="40966771"/>
    <w:rsid w:val="40C7232D"/>
    <w:rsid w:val="40F121EA"/>
    <w:rsid w:val="412010D8"/>
    <w:rsid w:val="412B7C68"/>
    <w:rsid w:val="412D35A2"/>
    <w:rsid w:val="415154E2"/>
    <w:rsid w:val="416A06A2"/>
    <w:rsid w:val="418F1B67"/>
    <w:rsid w:val="419058FF"/>
    <w:rsid w:val="41A42FA1"/>
    <w:rsid w:val="41B13E8F"/>
    <w:rsid w:val="41BC3E3F"/>
    <w:rsid w:val="41BE244C"/>
    <w:rsid w:val="41FE7DA5"/>
    <w:rsid w:val="421B1B10"/>
    <w:rsid w:val="42836B65"/>
    <w:rsid w:val="42D44D73"/>
    <w:rsid w:val="43104F29"/>
    <w:rsid w:val="43C04259"/>
    <w:rsid w:val="43D77CD4"/>
    <w:rsid w:val="43DA7499"/>
    <w:rsid w:val="4416642E"/>
    <w:rsid w:val="44494618"/>
    <w:rsid w:val="44A8366B"/>
    <w:rsid w:val="44B10046"/>
    <w:rsid w:val="44BB14DE"/>
    <w:rsid w:val="44BE2144"/>
    <w:rsid w:val="44BF087B"/>
    <w:rsid w:val="44D73850"/>
    <w:rsid w:val="44FD32C4"/>
    <w:rsid w:val="45AE471B"/>
    <w:rsid w:val="45C236EE"/>
    <w:rsid w:val="45EB080D"/>
    <w:rsid w:val="461839C5"/>
    <w:rsid w:val="462431C5"/>
    <w:rsid w:val="467C6939"/>
    <w:rsid w:val="468A16D2"/>
    <w:rsid w:val="46EF3A05"/>
    <w:rsid w:val="479C1FA1"/>
    <w:rsid w:val="48236291"/>
    <w:rsid w:val="482705A5"/>
    <w:rsid w:val="4869579D"/>
    <w:rsid w:val="48AB7EFE"/>
    <w:rsid w:val="492A1B28"/>
    <w:rsid w:val="496C1C44"/>
    <w:rsid w:val="49C32CF5"/>
    <w:rsid w:val="49CB233B"/>
    <w:rsid w:val="4A190C1E"/>
    <w:rsid w:val="4A2D08BF"/>
    <w:rsid w:val="4A461180"/>
    <w:rsid w:val="4ACA237C"/>
    <w:rsid w:val="4B786124"/>
    <w:rsid w:val="4B967B8F"/>
    <w:rsid w:val="4BA4696D"/>
    <w:rsid w:val="4BA821A3"/>
    <w:rsid w:val="4BAD27E2"/>
    <w:rsid w:val="4C420B5E"/>
    <w:rsid w:val="4C44408F"/>
    <w:rsid w:val="4C455C7F"/>
    <w:rsid w:val="4C6A38FC"/>
    <w:rsid w:val="4CAD5597"/>
    <w:rsid w:val="4CC0351C"/>
    <w:rsid w:val="4CCE01D1"/>
    <w:rsid w:val="4CE81505"/>
    <w:rsid w:val="4D230634"/>
    <w:rsid w:val="4D4677A3"/>
    <w:rsid w:val="4D8471A7"/>
    <w:rsid w:val="4DF72F6D"/>
    <w:rsid w:val="4E306EAB"/>
    <w:rsid w:val="4E7B188C"/>
    <w:rsid w:val="4E9F170F"/>
    <w:rsid w:val="4F495A4B"/>
    <w:rsid w:val="4F710AFD"/>
    <w:rsid w:val="4FF32FBA"/>
    <w:rsid w:val="5023199A"/>
    <w:rsid w:val="50351003"/>
    <w:rsid w:val="503A483E"/>
    <w:rsid w:val="507B1F1B"/>
    <w:rsid w:val="50830AE8"/>
    <w:rsid w:val="50EE2903"/>
    <w:rsid w:val="51B92322"/>
    <w:rsid w:val="51FF2044"/>
    <w:rsid w:val="523A13C9"/>
    <w:rsid w:val="52536248"/>
    <w:rsid w:val="52642D2F"/>
    <w:rsid w:val="538A03E0"/>
    <w:rsid w:val="53AB0485"/>
    <w:rsid w:val="53C370E7"/>
    <w:rsid w:val="53E775E0"/>
    <w:rsid w:val="540208BE"/>
    <w:rsid w:val="540D038B"/>
    <w:rsid w:val="54554E92"/>
    <w:rsid w:val="550D3A5B"/>
    <w:rsid w:val="552918A6"/>
    <w:rsid w:val="553C545B"/>
    <w:rsid w:val="555D3FFE"/>
    <w:rsid w:val="555D68AC"/>
    <w:rsid w:val="55702E38"/>
    <w:rsid w:val="55866ECE"/>
    <w:rsid w:val="55CA5266"/>
    <w:rsid w:val="55D70D24"/>
    <w:rsid w:val="568B3354"/>
    <w:rsid w:val="569E641A"/>
    <w:rsid w:val="5715111A"/>
    <w:rsid w:val="572A4A40"/>
    <w:rsid w:val="573214BA"/>
    <w:rsid w:val="57A42C67"/>
    <w:rsid w:val="585B059D"/>
    <w:rsid w:val="5877464C"/>
    <w:rsid w:val="589F03CA"/>
    <w:rsid w:val="58CB257F"/>
    <w:rsid w:val="594A2445"/>
    <w:rsid w:val="59844FEF"/>
    <w:rsid w:val="5A044706"/>
    <w:rsid w:val="5A2B63A9"/>
    <w:rsid w:val="5A613B33"/>
    <w:rsid w:val="5AAE5002"/>
    <w:rsid w:val="5B3B4308"/>
    <w:rsid w:val="5BF31218"/>
    <w:rsid w:val="5BF35E95"/>
    <w:rsid w:val="5C7B32EC"/>
    <w:rsid w:val="5C832AA6"/>
    <w:rsid w:val="5CB133C8"/>
    <w:rsid w:val="5CC359F6"/>
    <w:rsid w:val="5CC52489"/>
    <w:rsid w:val="5CC9445D"/>
    <w:rsid w:val="5D496B10"/>
    <w:rsid w:val="5E114B41"/>
    <w:rsid w:val="5F8A1D15"/>
    <w:rsid w:val="5F943345"/>
    <w:rsid w:val="5FE9170F"/>
    <w:rsid w:val="60333220"/>
    <w:rsid w:val="60567FC7"/>
    <w:rsid w:val="60737AFF"/>
    <w:rsid w:val="60C34216"/>
    <w:rsid w:val="611C432C"/>
    <w:rsid w:val="611E5AAD"/>
    <w:rsid w:val="617E1B8F"/>
    <w:rsid w:val="61E80E34"/>
    <w:rsid w:val="61E82EA1"/>
    <w:rsid w:val="61FF3CE2"/>
    <w:rsid w:val="62617FA1"/>
    <w:rsid w:val="628117F2"/>
    <w:rsid w:val="63EB4D1E"/>
    <w:rsid w:val="63F13B6A"/>
    <w:rsid w:val="63FD7178"/>
    <w:rsid w:val="6417464F"/>
    <w:rsid w:val="651421FF"/>
    <w:rsid w:val="6519629F"/>
    <w:rsid w:val="65651219"/>
    <w:rsid w:val="66473707"/>
    <w:rsid w:val="670217A3"/>
    <w:rsid w:val="672901E4"/>
    <w:rsid w:val="6754015D"/>
    <w:rsid w:val="675B1A0E"/>
    <w:rsid w:val="678A4EAB"/>
    <w:rsid w:val="67C357E3"/>
    <w:rsid w:val="681E586F"/>
    <w:rsid w:val="68580A7D"/>
    <w:rsid w:val="687545E9"/>
    <w:rsid w:val="689179DE"/>
    <w:rsid w:val="68C006D4"/>
    <w:rsid w:val="68C614DA"/>
    <w:rsid w:val="68F00D3E"/>
    <w:rsid w:val="694A6BC4"/>
    <w:rsid w:val="6A6A1802"/>
    <w:rsid w:val="6AB537BB"/>
    <w:rsid w:val="6B401DF0"/>
    <w:rsid w:val="6BB34520"/>
    <w:rsid w:val="6BB564B9"/>
    <w:rsid w:val="6BBF0B92"/>
    <w:rsid w:val="6BDE121A"/>
    <w:rsid w:val="6BE11D1D"/>
    <w:rsid w:val="6C1870B6"/>
    <w:rsid w:val="6C23076F"/>
    <w:rsid w:val="6C5B7766"/>
    <w:rsid w:val="6CA7346F"/>
    <w:rsid w:val="6CD56EF8"/>
    <w:rsid w:val="6CE773ED"/>
    <w:rsid w:val="6D8C5028"/>
    <w:rsid w:val="6DC021B1"/>
    <w:rsid w:val="6DDE576B"/>
    <w:rsid w:val="6E592360"/>
    <w:rsid w:val="6E707984"/>
    <w:rsid w:val="6E955A7F"/>
    <w:rsid w:val="6F730F21"/>
    <w:rsid w:val="6FC31995"/>
    <w:rsid w:val="706758D9"/>
    <w:rsid w:val="707C7073"/>
    <w:rsid w:val="708E730A"/>
    <w:rsid w:val="70B17285"/>
    <w:rsid w:val="71136A83"/>
    <w:rsid w:val="7128150C"/>
    <w:rsid w:val="71387C39"/>
    <w:rsid w:val="717464FF"/>
    <w:rsid w:val="71885DDF"/>
    <w:rsid w:val="71AB6541"/>
    <w:rsid w:val="71AC0833"/>
    <w:rsid w:val="71BD2399"/>
    <w:rsid w:val="723B526F"/>
    <w:rsid w:val="724C122A"/>
    <w:rsid w:val="72750861"/>
    <w:rsid w:val="72AE2AAD"/>
    <w:rsid w:val="73574C00"/>
    <w:rsid w:val="7381330F"/>
    <w:rsid w:val="73A95D2D"/>
    <w:rsid w:val="73C92A32"/>
    <w:rsid w:val="73DE2356"/>
    <w:rsid w:val="73F15B87"/>
    <w:rsid w:val="741657B1"/>
    <w:rsid w:val="742F7AC0"/>
    <w:rsid w:val="744E128A"/>
    <w:rsid w:val="747E7D59"/>
    <w:rsid w:val="74A82715"/>
    <w:rsid w:val="74D3178F"/>
    <w:rsid w:val="74DB0643"/>
    <w:rsid w:val="7507768A"/>
    <w:rsid w:val="750A2CD7"/>
    <w:rsid w:val="75252555"/>
    <w:rsid w:val="75CA0186"/>
    <w:rsid w:val="75D32A2B"/>
    <w:rsid w:val="76250680"/>
    <w:rsid w:val="770A6541"/>
    <w:rsid w:val="774261D2"/>
    <w:rsid w:val="778F36DF"/>
    <w:rsid w:val="78475F99"/>
    <w:rsid w:val="78D350D9"/>
    <w:rsid w:val="78D701B7"/>
    <w:rsid w:val="79092F08"/>
    <w:rsid w:val="790C1713"/>
    <w:rsid w:val="7A150154"/>
    <w:rsid w:val="7A2D67DE"/>
    <w:rsid w:val="7A3E3DD9"/>
    <w:rsid w:val="7A4D354A"/>
    <w:rsid w:val="7AA716F4"/>
    <w:rsid w:val="7B015B51"/>
    <w:rsid w:val="7B022DCE"/>
    <w:rsid w:val="7B1629B0"/>
    <w:rsid w:val="7B2F0A8D"/>
    <w:rsid w:val="7B5B4DB0"/>
    <w:rsid w:val="7B7D06A6"/>
    <w:rsid w:val="7BC432DD"/>
    <w:rsid w:val="7BE41B04"/>
    <w:rsid w:val="7BEB5610"/>
    <w:rsid w:val="7C484810"/>
    <w:rsid w:val="7CAA3C9C"/>
    <w:rsid w:val="7D0D4C8E"/>
    <w:rsid w:val="7D756300"/>
    <w:rsid w:val="7DD023AB"/>
    <w:rsid w:val="7E0F7090"/>
    <w:rsid w:val="7E9829C1"/>
    <w:rsid w:val="7EDE5BC7"/>
    <w:rsid w:val="7EE70E76"/>
    <w:rsid w:val="7EFD46DF"/>
    <w:rsid w:val="7F91215C"/>
    <w:rsid w:val="7FCF5F16"/>
    <w:rsid w:val="BFBF25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仿宋_GB2312" w:hAnsi="宋体"/>
      <w:color w:val="000000"/>
      <w:kern w:val="0"/>
      <w:sz w:val="24"/>
      <w:szCs w:val="24"/>
    </w:rPr>
  </w:style>
  <w:style w:type="paragraph" w:styleId="3">
    <w:name w:val="annotation text"/>
    <w:basedOn w:val="1"/>
    <w:qFormat/>
    <w:uiPriority w:val="0"/>
    <w:pPr>
      <w:jc w:val="left"/>
    </w:pPr>
  </w:style>
  <w:style w:type="paragraph" w:styleId="4">
    <w:name w:val="Body Text"/>
    <w:basedOn w:val="1"/>
    <w:next w:val="5"/>
    <w:qFormat/>
    <w:uiPriority w:val="0"/>
    <w:pPr>
      <w:jc w:val="center"/>
    </w:pPr>
    <w:rPr>
      <w:rFonts w:ascii="Times New Roman" w:hAnsi="Times New Roman" w:eastAsia="黑体" w:cs="Times New Roman"/>
      <w:b/>
      <w:bCs/>
      <w:sz w:val="28"/>
    </w:rPr>
  </w:style>
  <w:style w:type="paragraph" w:styleId="5">
    <w:name w:val="Body Text 2"/>
    <w:basedOn w:val="1"/>
    <w:qFormat/>
    <w:uiPriority w:val="0"/>
    <w:pPr>
      <w:spacing w:after="120" w:line="480" w:lineRule="auto"/>
    </w:pPr>
  </w:style>
  <w:style w:type="paragraph" w:styleId="6">
    <w:name w:val="Body Text Indent"/>
    <w:basedOn w:val="1"/>
    <w:qFormat/>
    <w:uiPriority w:val="0"/>
    <w:pPr>
      <w:spacing w:line="480" w:lineRule="exact"/>
      <w:ind w:firstLine="555"/>
    </w:pPr>
    <w:rPr>
      <w:rFonts w:ascii="Times New Roman" w:hAnsi="Times New Roman" w:cs="Times New Roman"/>
      <w:sz w:val="28"/>
      <w:szCs w:val="20"/>
    </w:rPr>
  </w:style>
  <w:style w:type="paragraph" w:styleId="7">
    <w:name w:val="Body Text First Indent"/>
    <w:basedOn w:val="4"/>
    <w:next w:val="8"/>
    <w:qFormat/>
    <w:uiPriority w:val="0"/>
    <w:pPr>
      <w:ind w:firstLine="420" w:firstLineChars="100"/>
    </w:pPr>
    <w:rPr>
      <w:color w:val="000000"/>
      <w:szCs w:val="24"/>
      <w:lang w:eastAsia="en-US" w:bidi="en-US"/>
    </w:rPr>
  </w:style>
  <w:style w:type="paragraph" w:styleId="8">
    <w:name w:val="Body Text First Indent 2"/>
    <w:basedOn w:val="6"/>
    <w:qFormat/>
    <w:uiPriority w:val="99"/>
    <w:pPr>
      <w:ind w:firstLine="420"/>
    </w:pPr>
    <w:rPr>
      <w:color w:val="00000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5032</Words>
  <Characters>5105</Characters>
  <Lines>0</Lines>
  <Paragraphs>0</Paragraphs>
  <TotalTime>3</TotalTime>
  <ScaleCrop>false</ScaleCrop>
  <LinksUpToDate>false</LinksUpToDate>
  <CharactersWithSpaces>5198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2023-04-24T14:39:00Z</dcterms:created>
  <dc:creator>Administrator</dc:creator>
  <cp:lastModifiedBy>Sea</cp:lastModifiedBy>
  <cp:lastPrinted>2023-07-07T00:56:00Z</cp:lastPrinted>
  <dcterms:modified xsi:type="dcterms:W3CDTF">2023-07-11T01:06:54Z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7F5E2733812C47FA8508373DE6CD70F2_13</vt:lpwstr>
  </property>
</Properties>
</file>