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auto"/>
          <w:kern w:val="0"/>
          <w:sz w:val="43"/>
          <w:szCs w:val="43"/>
          <w:lang w:val="en-US" w:eastAsia="zh-CN" w:bidi="ar"/>
        </w:rPr>
      </w:pPr>
      <w:r>
        <w:rPr>
          <w:rFonts w:hint="default" w:ascii="Times New Roman" w:hAnsi="Times New Roman" w:eastAsia="方正小标宋简体" w:cs="Times New Roman"/>
          <w:color w:val="auto"/>
          <w:kern w:val="0"/>
          <w:sz w:val="43"/>
          <w:szCs w:val="43"/>
          <w:lang w:val="en-US" w:eastAsia="zh-CN" w:bidi="ar"/>
        </w:rPr>
        <w:t>关于宣布失效、废止和决定修改部分</w:t>
      </w:r>
      <w:r>
        <w:rPr>
          <w:rFonts w:hint="eastAsia" w:ascii="Times New Roman" w:hAnsi="Times New Roman" w:eastAsia="方正小标宋简体" w:cs="Times New Roman"/>
          <w:color w:val="auto"/>
          <w:kern w:val="0"/>
          <w:sz w:val="43"/>
          <w:szCs w:val="43"/>
          <w:lang w:val="en-US" w:eastAsia="zh-CN" w:bidi="ar"/>
        </w:rPr>
        <w:t>规范性</w:t>
      </w:r>
      <w:r>
        <w:rPr>
          <w:rFonts w:hint="default" w:ascii="Times New Roman" w:hAnsi="Times New Roman" w:eastAsia="方正小标宋简体" w:cs="Times New Roman"/>
          <w:color w:val="auto"/>
          <w:kern w:val="0"/>
          <w:sz w:val="43"/>
          <w:szCs w:val="43"/>
          <w:lang w:val="en-US" w:eastAsia="zh-CN" w:bidi="ar"/>
        </w:rPr>
        <w:t>文件的通知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en-US" w:eastAsia="zh-CN" w:bidi="ar-SA"/>
        </w:rPr>
        <w:t>各区、县（市）卫生健康局，市级卫生健康单位</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000000"/>
          <w:kern w:val="0"/>
          <w:sz w:val="32"/>
          <w:szCs w:val="32"/>
          <w:lang w:val="en-US" w:eastAsia="zh-CN" w:bidi="ar"/>
        </w:rPr>
        <w:t>国家和省文件对专项清理工作的相关要求</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市卫生健康委</w:t>
      </w:r>
      <w:r>
        <w:rPr>
          <w:rFonts w:hint="default" w:ascii="Times New Roman" w:hAnsi="Times New Roman" w:eastAsia="仿宋_GB2312" w:cs="Times New Roman"/>
          <w:color w:val="auto"/>
          <w:sz w:val="32"/>
          <w:szCs w:val="32"/>
        </w:rPr>
        <w:t>对截至202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lang w:val="en-US" w:eastAsia="zh-CN"/>
        </w:rPr>
        <w:t>31</w:t>
      </w:r>
      <w:r>
        <w:rPr>
          <w:rFonts w:hint="default" w:ascii="Times New Roman" w:hAnsi="Times New Roman" w:eastAsia="仿宋_GB2312" w:cs="Times New Roman"/>
          <w:color w:val="000000" w:themeColor="text1"/>
          <w:sz w:val="32"/>
          <w:szCs w:val="32"/>
        </w:rPr>
        <w:t>日</w:t>
      </w:r>
      <w:r>
        <w:rPr>
          <w:rFonts w:hint="default" w:ascii="Times New Roman" w:hAnsi="Times New Roman" w:eastAsia="仿宋_GB2312" w:cs="Times New Roman"/>
          <w:color w:val="auto"/>
          <w:sz w:val="32"/>
          <w:szCs w:val="32"/>
        </w:rPr>
        <w:t>现行有效的行政规范性文件进行了专项清理。</w:t>
      </w:r>
      <w:r>
        <w:rPr>
          <w:rFonts w:hint="default" w:ascii="Times New Roman" w:hAnsi="Times New Roman" w:eastAsia="仿宋_GB2312" w:cs="Times New Roman"/>
          <w:kern w:val="32"/>
          <w:sz w:val="32"/>
          <w:szCs w:val="32"/>
        </w:rPr>
        <w:t>决定</w:t>
      </w:r>
      <w:r>
        <w:rPr>
          <w:rFonts w:hint="default" w:ascii="Times New Roman" w:hAnsi="Times New Roman" w:eastAsia="仿宋_GB2312" w:cs="Times New Roman"/>
          <w:kern w:val="32"/>
          <w:sz w:val="32"/>
          <w:szCs w:val="32"/>
          <w:lang w:eastAsia="zh-CN"/>
        </w:rPr>
        <w:t>宣布失效</w:t>
      </w:r>
      <w:r>
        <w:rPr>
          <w:rFonts w:hint="default" w:ascii="Times New Roman" w:hAnsi="Times New Roman" w:eastAsia="仿宋_GB2312" w:cs="Times New Roman"/>
          <w:kern w:val="32"/>
          <w:sz w:val="32"/>
          <w:szCs w:val="32"/>
          <w:lang w:val="en-US" w:eastAsia="zh-CN"/>
        </w:rPr>
        <w:t>2个、废止</w:t>
      </w:r>
      <w:r>
        <w:rPr>
          <w:rFonts w:hint="eastAsia" w:ascii="Times New Roman" w:hAnsi="Times New Roman" w:eastAsia="仿宋_GB2312" w:cs="Times New Roman"/>
          <w:kern w:val="32"/>
          <w:sz w:val="32"/>
          <w:szCs w:val="32"/>
          <w:lang w:val="en-US" w:eastAsia="zh-CN"/>
        </w:rPr>
        <w:t>5</w:t>
      </w:r>
      <w:r>
        <w:rPr>
          <w:rFonts w:hint="default" w:ascii="Times New Roman" w:hAnsi="Times New Roman" w:eastAsia="仿宋_GB2312" w:cs="Times New Roman"/>
          <w:kern w:val="32"/>
          <w:sz w:val="32"/>
          <w:szCs w:val="32"/>
          <w:lang w:val="en-US" w:eastAsia="zh-CN"/>
        </w:rPr>
        <w:t>个、</w:t>
      </w:r>
      <w:r>
        <w:rPr>
          <w:rFonts w:hint="default" w:ascii="Times New Roman" w:hAnsi="Times New Roman" w:eastAsia="仿宋_GB2312" w:cs="Times New Roman"/>
          <w:color w:val="auto"/>
          <w:kern w:val="32"/>
          <w:sz w:val="32"/>
          <w:szCs w:val="32"/>
          <w:lang w:val="en-US" w:eastAsia="zh-CN"/>
        </w:rPr>
        <w:t>修改</w:t>
      </w:r>
      <w:r>
        <w:rPr>
          <w:rFonts w:hint="eastAsia" w:ascii="Times New Roman" w:hAnsi="Times New Roman" w:eastAsia="仿宋_GB2312" w:cs="Times New Roman"/>
          <w:color w:val="auto"/>
          <w:kern w:val="32"/>
          <w:sz w:val="32"/>
          <w:szCs w:val="32"/>
          <w:lang w:val="en-US" w:eastAsia="zh-CN"/>
        </w:rPr>
        <w:t>1</w:t>
      </w:r>
      <w:r>
        <w:rPr>
          <w:rFonts w:hint="default" w:ascii="Times New Roman" w:hAnsi="Times New Roman" w:eastAsia="仿宋_GB2312" w:cs="Times New Roman"/>
          <w:color w:val="auto"/>
          <w:kern w:val="32"/>
          <w:sz w:val="32"/>
          <w:szCs w:val="32"/>
          <w:lang w:val="en-US" w:eastAsia="zh-CN"/>
        </w:rPr>
        <w:t>个</w:t>
      </w:r>
      <w:r>
        <w:rPr>
          <w:rFonts w:hint="default" w:ascii="Times New Roman" w:hAnsi="Times New Roman" w:eastAsia="仿宋_GB2312" w:cs="Times New Roman"/>
          <w:color w:val="000000" w:themeColor="text1"/>
          <w:kern w:val="32"/>
          <w:sz w:val="32"/>
          <w:szCs w:val="32"/>
        </w:rPr>
        <w:t>行政规范性文件。</w:t>
      </w:r>
      <w:r>
        <w:rPr>
          <w:rFonts w:hint="default" w:ascii="Times New Roman" w:hAnsi="Times New Roman" w:eastAsia="仿宋_GB2312" w:cs="Times New Roman"/>
          <w:color w:val="auto"/>
          <w:sz w:val="32"/>
          <w:szCs w:val="32"/>
        </w:rPr>
        <w:t>现将</w:t>
      </w:r>
      <w:r>
        <w:rPr>
          <w:rFonts w:hint="default" w:ascii="Times New Roman" w:hAnsi="Times New Roman" w:eastAsia="仿宋_GB2312" w:cs="Times New Roman"/>
          <w:color w:val="auto"/>
          <w:sz w:val="32"/>
          <w:szCs w:val="32"/>
          <w:lang w:eastAsia="zh-CN"/>
        </w:rPr>
        <w:t>失效、废止和修改</w:t>
      </w:r>
      <w:r>
        <w:rPr>
          <w:rFonts w:hint="default" w:ascii="Times New Roman" w:hAnsi="Times New Roman" w:eastAsia="仿宋_GB2312" w:cs="Times New Roman"/>
          <w:color w:val="auto"/>
          <w:sz w:val="32"/>
          <w:szCs w:val="32"/>
        </w:rPr>
        <w:t>的文件目录予以公布。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本通知自公布之日起施行。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color w:val="auto"/>
          <w:sz w:val="32"/>
          <w:szCs w:val="32"/>
          <w:lang w:val="en-US" w:eastAsia="zh-CN"/>
        </w:rPr>
        <w:t>1-1.宣布失效的</w:t>
      </w:r>
      <w:r>
        <w:rPr>
          <w:rFonts w:hint="default" w:ascii="Times New Roman" w:hAnsi="Times New Roman" w:eastAsia="仿宋_GB2312" w:cs="Times New Roman"/>
          <w:color w:val="auto"/>
          <w:sz w:val="32"/>
          <w:szCs w:val="32"/>
        </w:rPr>
        <w:t>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58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1-2.宣布废止的行政规范性文件目录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580" w:firstLineChars="5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1-3.决定修改</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行政规范性文件</w:t>
      </w:r>
      <w:r>
        <w:rPr>
          <w:rFonts w:hint="default" w:ascii="Times New Roman" w:hAnsi="Times New Roman" w:eastAsia="仿宋_GB2312" w:cs="Times New Roman"/>
          <w:color w:val="auto"/>
          <w:sz w:val="32"/>
          <w:szCs w:val="32"/>
        </w:rPr>
        <w:t>目录</w:t>
      </w:r>
    </w:p>
    <w:p>
      <w:pPr>
        <w:pStyle w:val="33"/>
        <w:numPr>
          <w:ilvl w:val="0"/>
          <w:numId w:val="0"/>
        </w:num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仿宋_GB2312" w:cs="Times New Roman"/>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928" w:left="1588" w:header="851" w:footer="1531" w:gutter="0"/>
          <w:pgBorders>
            <w:top w:val="none" w:sz="0" w:space="0"/>
            <w:left w:val="none" w:sz="0" w:space="0"/>
            <w:bottom w:val="none" w:sz="0" w:space="0"/>
            <w:right w:val="none" w:sz="0" w:space="0"/>
          </w:pgBorders>
          <w:cols w:space="720" w:num="1"/>
          <w:docGrid w:type="linesAndChars" w:linePitch="582" w:charSpace="-849"/>
        </w:sect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spacing w:before="100" w:beforeAutospacing="1" w:after="100" w:afterAutospacing="1" w:line="600" w:lineRule="exact"/>
        <w:jc w:val="center"/>
      </w:pPr>
      <w:r>
        <w:rPr>
          <w:rFonts w:hint="eastAsia" w:ascii="方正小标宋简体" w:eastAsia="方正小标宋简体"/>
          <w:sz w:val="44"/>
          <w:szCs w:val="44"/>
          <w:lang w:eastAsia="zh-CN"/>
        </w:rPr>
        <w:t>宣布失效</w:t>
      </w:r>
      <w:r>
        <w:rPr>
          <w:rFonts w:hint="eastAsia" w:ascii="方正小标宋简体" w:eastAsia="方正小标宋简体"/>
          <w:sz w:val="44"/>
          <w:szCs w:val="44"/>
        </w:rPr>
        <w:t>的行政规范性文件目录</w:t>
      </w:r>
    </w:p>
    <w:tbl>
      <w:tblPr>
        <w:tblStyle w:val="8"/>
        <w:tblW w:w="105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autofit"/>
        <w:tblCellMar>
          <w:top w:w="0" w:type="dxa"/>
          <w:left w:w="108" w:type="dxa"/>
          <w:bottom w:w="0" w:type="dxa"/>
          <w:right w:w="108" w:type="dxa"/>
        </w:tblCellMar>
      </w:tblPr>
      <w:tblGrid>
        <w:gridCol w:w="696"/>
        <w:gridCol w:w="7165"/>
        <w:gridCol w:w="26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570" w:hRule="atLeast"/>
          <w:jc w:val="center"/>
        </w:trPr>
        <w:tc>
          <w:tcPr>
            <w:tcW w:w="6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7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标  题</w:t>
            </w:r>
          </w:p>
        </w:tc>
        <w:tc>
          <w:tcPr>
            <w:tcW w:w="2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文号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95" w:hRule="atLeast"/>
          <w:jc w:val="center"/>
        </w:trPr>
        <w:tc>
          <w:tcPr>
            <w:tcW w:w="6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楷体_GB2312" w:hAnsi="楷体_GB2312" w:eastAsia="楷体_GB2312" w:cs="楷体_GB2312"/>
                <w:i w:val="0"/>
                <w:iCs w:val="0"/>
                <w:color w:val="auto"/>
                <w:sz w:val="24"/>
                <w:szCs w:val="24"/>
                <w:u w:val="none"/>
                <w:lang w:val="en-US" w:eastAsia="zh-CN"/>
              </w:rPr>
            </w:pPr>
            <w:r>
              <w:rPr>
                <w:rFonts w:hint="eastAsia" w:ascii="楷体_GB2312" w:hAnsi="楷体_GB2312" w:eastAsia="楷体_GB2312" w:cs="楷体_GB2312"/>
                <w:i w:val="0"/>
                <w:iCs w:val="0"/>
                <w:color w:val="auto"/>
                <w:sz w:val="24"/>
                <w:szCs w:val="24"/>
                <w:u w:val="none"/>
                <w:lang w:val="en-US" w:eastAsia="zh-CN"/>
              </w:rPr>
              <w:t>1</w:t>
            </w:r>
          </w:p>
        </w:tc>
        <w:tc>
          <w:tcPr>
            <w:tcW w:w="716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关于印发绍兴市医疗机构间医学影像检查资料和医学检验结果互认共享激励办法的通知</w:t>
            </w:r>
          </w:p>
        </w:tc>
        <w:tc>
          <w:tcPr>
            <w:tcW w:w="26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绍卫发〔2022〕22号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040" w:hRule="atLeast"/>
          <w:jc w:val="center"/>
        </w:trPr>
        <w:tc>
          <w:tcPr>
            <w:tcW w:w="6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楷体_GB2312" w:hAnsi="楷体_GB2312" w:eastAsia="楷体_GB2312" w:cs="楷体_GB2312"/>
                <w:i w:val="0"/>
                <w:iCs w:val="0"/>
                <w:color w:val="auto"/>
                <w:sz w:val="24"/>
                <w:szCs w:val="24"/>
                <w:u w:val="none"/>
                <w:lang w:val="en-US" w:eastAsia="zh-CN"/>
              </w:rPr>
            </w:pPr>
            <w:r>
              <w:rPr>
                <w:rFonts w:hint="eastAsia" w:ascii="楷体_GB2312" w:hAnsi="楷体_GB2312" w:eastAsia="楷体_GB2312" w:cs="楷体_GB2312"/>
                <w:i w:val="0"/>
                <w:iCs w:val="0"/>
                <w:color w:val="auto"/>
                <w:sz w:val="24"/>
                <w:szCs w:val="24"/>
                <w:u w:val="none"/>
                <w:lang w:val="en-US" w:eastAsia="zh-CN"/>
              </w:rPr>
              <w:t>2</w:t>
            </w:r>
          </w:p>
        </w:tc>
        <w:tc>
          <w:tcPr>
            <w:tcW w:w="716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绍兴市卫生健康委员会 绍兴市财政局 绍兴市教育局关于印发《绍兴市高质量推进“浙有善育”民生实事项目指导意见》的通知</w:t>
            </w:r>
          </w:p>
        </w:tc>
        <w:tc>
          <w:tcPr>
            <w:tcW w:w="26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绍卫发〔2022〕24号</w:t>
            </w:r>
          </w:p>
        </w:tc>
      </w:tr>
    </w:tbl>
    <w:p>
      <w:pPr>
        <w:spacing w:line="600" w:lineRule="exact"/>
        <w:sectPr>
          <w:pgSz w:w="11906" w:h="16838"/>
          <w:pgMar w:top="1800" w:right="1440" w:bottom="1800" w:left="1440" w:header="851" w:footer="1531" w:gutter="0"/>
          <w:pgBorders>
            <w:top w:val="none" w:sz="0" w:space="0"/>
            <w:left w:val="none" w:sz="0" w:space="0"/>
            <w:bottom w:val="none" w:sz="0" w:space="0"/>
            <w:right w:val="none" w:sz="0" w:space="0"/>
          </w:pgBorders>
          <w:cols w:space="720" w:num="1"/>
          <w:rtlGutter w:val="0"/>
          <w:docGrid w:type="lines" w:linePitch="58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spacing w:before="100" w:beforeAutospacing="1" w:after="100" w:afterAutospacing="1"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宣布废止的行政规范性文件目录</w:t>
      </w:r>
    </w:p>
    <w:tbl>
      <w:tblPr>
        <w:tblStyle w:val="8"/>
        <w:tblW w:w="10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701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4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0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标  题</w:t>
            </w:r>
          </w:p>
        </w:tc>
        <w:tc>
          <w:tcPr>
            <w:tcW w:w="28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exact"/>
          <w:jc w:val="center"/>
        </w:trPr>
        <w:tc>
          <w:tcPr>
            <w:tcW w:w="84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70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绍兴市人口与计划生育委员会关于推进避孕药具供应体制改革的实施意见</w:t>
            </w:r>
          </w:p>
        </w:tc>
        <w:tc>
          <w:tcPr>
            <w:tcW w:w="28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绍市人计〔2004〕26号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exact"/>
          <w:jc w:val="center"/>
        </w:trPr>
        <w:tc>
          <w:tcPr>
            <w:tcW w:w="84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70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关于完善《绍兴市优生促进工程项目实施方案》的通知</w:t>
            </w:r>
          </w:p>
        </w:tc>
        <w:tc>
          <w:tcPr>
            <w:tcW w:w="28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绍市人口计生〔2012〕40号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exact"/>
          <w:jc w:val="center"/>
        </w:trPr>
        <w:tc>
          <w:tcPr>
            <w:tcW w:w="84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0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绍兴市卫生局关于进一步加强重性精神病人治疗管理工作的意见</w:t>
            </w:r>
          </w:p>
        </w:tc>
        <w:tc>
          <w:tcPr>
            <w:tcW w:w="28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绍市卫发〔2012〕197号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exact"/>
          <w:jc w:val="center"/>
        </w:trPr>
        <w:tc>
          <w:tcPr>
            <w:tcW w:w="84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0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绍兴市卫生计生委 </w:t>
            </w:r>
            <w:bookmarkStart w:id="0" w:name="_GoBack"/>
            <w:bookmarkEnd w:id="0"/>
            <w:r>
              <w:rPr>
                <w:rFonts w:hint="eastAsia" w:ascii="仿宋_GB2312" w:hAnsi="仿宋_GB2312" w:eastAsia="仿宋_GB2312" w:cs="仿宋_GB2312"/>
                <w:sz w:val="24"/>
                <w:szCs w:val="24"/>
                <w:lang w:val="en-US" w:eastAsia="zh-CN"/>
              </w:rPr>
              <w:t>绍兴市财政局关于户籍制度改革后调整市区部分卫生计生政策享受对象的通知</w:t>
            </w:r>
          </w:p>
        </w:tc>
        <w:tc>
          <w:tcPr>
            <w:tcW w:w="28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绍卫计发〔2016〕178号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exact"/>
          <w:jc w:val="center"/>
        </w:trPr>
        <w:tc>
          <w:tcPr>
            <w:tcW w:w="84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8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01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绍兴市卫生健康委关于印发全市卫生健康系统高频行政处罚事项自由裁量标准的通知</w:t>
            </w:r>
          </w:p>
        </w:tc>
        <w:tc>
          <w:tcPr>
            <w:tcW w:w="28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绍卫发〔2022〕13号</w:t>
            </w:r>
          </w:p>
        </w:tc>
      </w:tr>
    </w:tbl>
    <w:p>
      <w:pPr>
        <w:spacing w:line="600" w:lineRule="exact"/>
        <w:sectPr>
          <w:pgSz w:w="11906" w:h="16838"/>
          <w:pgMar w:top="1800" w:right="1440" w:bottom="1800" w:left="1440" w:header="851" w:footer="1531" w:gutter="0"/>
          <w:pgBorders>
            <w:top w:val="none" w:sz="0" w:space="0"/>
            <w:left w:val="none" w:sz="0" w:space="0"/>
            <w:bottom w:val="none" w:sz="0" w:space="0"/>
            <w:right w:val="none" w:sz="0" w:space="0"/>
          </w:pgBorders>
          <w:cols w:space="720" w:num="1"/>
          <w:rtlGutter w:val="0"/>
          <w:docGrid w:type="lines" w:linePitch="58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1-3</w:t>
      </w:r>
    </w:p>
    <w:p>
      <w:pPr>
        <w:spacing w:before="100" w:beforeAutospacing="1" w:after="100" w:afterAutospacing="1"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决定修改的行政规范性文件目录</w:t>
      </w:r>
    </w:p>
    <w:tbl>
      <w:tblPr>
        <w:tblStyle w:val="8"/>
        <w:tblW w:w="10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3530"/>
        <w:gridCol w:w="1697"/>
        <w:gridCol w:w="4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2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530" w:type="dxa"/>
            <w:tcBorders>
              <w:top w:val="single" w:color="000000" w:sz="12" w:space="0"/>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标  题</w:t>
            </w:r>
          </w:p>
        </w:tc>
        <w:tc>
          <w:tcPr>
            <w:tcW w:w="1697" w:type="dxa"/>
            <w:tcBorders>
              <w:top w:val="single" w:color="000000" w:sz="12" w:space="0"/>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文号</w:t>
            </w:r>
          </w:p>
        </w:tc>
        <w:tc>
          <w:tcPr>
            <w:tcW w:w="4845" w:type="dxa"/>
            <w:tcBorders>
              <w:top w:val="single" w:color="000000" w:sz="12" w:space="0"/>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eastAsia="黑体"/>
                <w:color w:val="000000"/>
                <w:kern w:val="0"/>
                <w:sz w:val="24"/>
                <w:szCs w:val="24"/>
              </w:rPr>
              <w:t>修改内容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825" w:type="dxa"/>
            <w:tcBorders>
              <w:top w:val="nil"/>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1</w:t>
            </w:r>
          </w:p>
        </w:tc>
        <w:tc>
          <w:tcPr>
            <w:tcW w:w="3530"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rPr>
              <w:t>绍兴市卫生健康委员会 绍兴市发展和改革委员会 绍兴市财政局关于印发《绍兴市普惠性托育机构认定管理暂行办法》的通知</w:t>
            </w:r>
          </w:p>
        </w:tc>
        <w:tc>
          <w:tcPr>
            <w:tcW w:w="1697"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rPr>
              <w:t>绍卫发〔2023〕21号</w:t>
            </w:r>
          </w:p>
        </w:tc>
        <w:tc>
          <w:tcPr>
            <w:tcW w:w="4845" w:type="dxa"/>
            <w:tcBorders>
              <w:top w:val="nil"/>
              <w:left w:val="nil"/>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rPr>
              <w:t>将四、补助政策中（三）补助条件内的“从业人员无违法犯罪记录”，修改为：“从业人员无犯罪记录”。</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楷体_GB2312" w:hAnsi="楷体_GB2312" w:eastAsia="楷体_GB2312" w:cs="楷体_GB2312"/>
          <w:i w:val="0"/>
          <w:iCs w:val="0"/>
          <w:color w:val="FF0000"/>
          <w:sz w:val="24"/>
          <w:szCs w:val="24"/>
          <w:u w:val="none"/>
          <w:lang w:eastAsia="zh-CN"/>
        </w:rPr>
      </w:pPr>
    </w:p>
    <w:p>
      <w:pPr>
        <w:spacing w:before="100" w:beforeAutospacing="1" w:after="100" w:afterAutospacing="1" w:line="600" w:lineRule="exact"/>
        <w:jc w:val="both"/>
        <w:rPr>
          <w:rFonts w:hint="eastAsia" w:ascii="楷体_GB2312" w:hAnsi="楷体_GB2312" w:eastAsia="楷体_GB2312" w:cs="楷体_GB2312"/>
          <w:sz w:val="32"/>
          <w:szCs w:val="32"/>
          <w:lang w:eastAsia="zh-CN"/>
        </w:rPr>
      </w:pPr>
    </w:p>
    <w:p>
      <w:pPr>
        <w:spacing w:before="100" w:beforeAutospacing="1" w:after="100" w:afterAutospacing="1" w:line="600" w:lineRule="exact"/>
        <w:jc w:val="both"/>
        <w:rPr>
          <w:rFonts w:hint="eastAsia" w:ascii="楷体_GB2312" w:hAnsi="楷体_GB2312" w:eastAsia="楷体_GB2312" w:cs="楷体_GB2312"/>
          <w:sz w:val="32"/>
          <w:szCs w:val="32"/>
          <w:lang w:eastAsia="zh-CN"/>
        </w:rPr>
      </w:pPr>
    </w:p>
    <w:p>
      <w:pPr>
        <w:spacing w:before="100" w:beforeAutospacing="1" w:after="100" w:afterAutospacing="1" w:line="600" w:lineRule="exact"/>
        <w:jc w:val="both"/>
        <w:rPr>
          <w:rFonts w:hint="eastAsia" w:ascii="楷体_GB2312" w:hAnsi="楷体_GB2312" w:eastAsia="楷体_GB2312" w:cs="楷体_GB2312"/>
          <w:sz w:val="32"/>
          <w:szCs w:val="32"/>
          <w:lang w:eastAsia="zh-CN"/>
        </w:rPr>
      </w:pPr>
    </w:p>
    <w:p>
      <w:pPr>
        <w:pStyle w:val="33"/>
        <w:ind w:left="0" w:leftChars="0" w:firstLine="0" w:firstLineChars="0"/>
        <w:jc w:val="both"/>
        <w:rPr>
          <w:rFonts w:hint="eastAsia" w:ascii="仿宋_GB2312" w:hAnsi="仿宋_GB2312" w:eastAsia="仿宋_GB2312" w:cs="仿宋_GB2312"/>
          <w:color w:val="auto"/>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ind w:firstLine="640" w:firstLineChars="200"/>
        <w:jc w:val="center"/>
        <w:rPr>
          <w:rFonts w:hint="eastAsia" w:ascii="仿宋_GB2312" w:hAnsi="Times New Roman" w:eastAsia="仿宋_GB2312"/>
          <w:color w:val="000000"/>
          <w:sz w:val="32"/>
          <w:szCs w:val="32"/>
        </w:rPr>
      </w:pPr>
    </w:p>
    <w:p>
      <w:pPr>
        <w:spacing w:line="560" w:lineRule="exact"/>
        <w:jc w:val="both"/>
        <w:rPr>
          <w:rFonts w:hint="eastAsia" w:ascii="仿宋_GB2312" w:hAnsi="Times New Roman" w:eastAsia="仿宋_GB2312"/>
          <w:color w:val="000000"/>
          <w:sz w:val="32"/>
          <w:szCs w:val="32"/>
        </w:rPr>
      </w:pPr>
    </w:p>
    <w:sectPr>
      <w:footerReference r:id="rId9" w:type="default"/>
      <w:pgSz w:w="11906" w:h="16838"/>
      <w:pgMar w:top="1588" w:right="1474" w:bottom="1474" w:left="1588" w:header="851" w:footer="1077"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Fonts w:hint="eastAsia" w:ascii="仿宋_GB2312"/>
        <w:sz w:val="28"/>
      </w:rPr>
      <w:t xml:space="preserve">─  </w:t>
    </w:r>
    <w:r>
      <w:rPr>
        <w:rFonts w:hint="eastAsia" w:ascii="宋体"/>
        <w:sz w:val="28"/>
      </w:rPr>
      <w:fldChar w:fldCharType="begin"/>
    </w:r>
    <w:r>
      <w:rPr>
        <w:rStyle w:val="11"/>
        <w:rFonts w:hint="eastAsia" w:ascii="宋体"/>
        <w:sz w:val="28"/>
      </w:rPr>
      <w:instrText xml:space="preserve">PAGE  </w:instrText>
    </w:r>
    <w:r>
      <w:rPr>
        <w:rFonts w:ascii="宋体"/>
        <w:sz w:val="28"/>
      </w:rPr>
      <w:fldChar w:fldCharType="separate"/>
    </w:r>
    <w:r>
      <w:rPr>
        <w:rStyle w:val="11"/>
        <w:rFonts w:ascii="宋体"/>
        <w:sz w:val="28"/>
      </w:rPr>
      <w:t>6</w:t>
    </w:r>
    <w:r>
      <w:rPr>
        <w:rFonts w:hint="eastAsia" w:ascii="宋体"/>
        <w:sz w:val="28"/>
      </w:rPr>
      <w:fldChar w:fldCharType="end"/>
    </w:r>
    <w:r>
      <w:rPr>
        <w:rStyle w:val="11"/>
        <w:rFonts w:hint="eastAsia" w:ascii="宋体"/>
        <w:sz w:val="28"/>
      </w:rPr>
      <w:t xml:space="preserve">  </w:t>
    </w:r>
    <w:r>
      <w:rPr>
        <w:rStyle w:val="11"/>
        <w:rFonts w:hint="eastAsia" w:ascii="仿宋_GB2312"/>
        <w:sz w:val="28"/>
      </w:rPr>
      <w:t>─</w:t>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0D2"/>
    <w:rsid w:val="0002177E"/>
    <w:rsid w:val="0003248F"/>
    <w:rsid w:val="000327C9"/>
    <w:rsid w:val="00037FF7"/>
    <w:rsid w:val="000629BD"/>
    <w:rsid w:val="0006435B"/>
    <w:rsid w:val="000873FE"/>
    <w:rsid w:val="000E7620"/>
    <w:rsid w:val="000F1644"/>
    <w:rsid w:val="00115EF2"/>
    <w:rsid w:val="00116B79"/>
    <w:rsid w:val="0017009A"/>
    <w:rsid w:val="001C4226"/>
    <w:rsid w:val="001D1348"/>
    <w:rsid w:val="001E264D"/>
    <w:rsid w:val="00200A59"/>
    <w:rsid w:val="002311AB"/>
    <w:rsid w:val="002335A3"/>
    <w:rsid w:val="002373E5"/>
    <w:rsid w:val="00241243"/>
    <w:rsid w:val="002A6ECD"/>
    <w:rsid w:val="002B71D3"/>
    <w:rsid w:val="0030427E"/>
    <w:rsid w:val="00312BFC"/>
    <w:rsid w:val="003210E8"/>
    <w:rsid w:val="00326954"/>
    <w:rsid w:val="00336FEF"/>
    <w:rsid w:val="00365C7E"/>
    <w:rsid w:val="003D2C8B"/>
    <w:rsid w:val="003E2033"/>
    <w:rsid w:val="003E2580"/>
    <w:rsid w:val="003E3232"/>
    <w:rsid w:val="003F23BD"/>
    <w:rsid w:val="00411F30"/>
    <w:rsid w:val="00417CCB"/>
    <w:rsid w:val="00420688"/>
    <w:rsid w:val="00446FA3"/>
    <w:rsid w:val="004657C6"/>
    <w:rsid w:val="00494318"/>
    <w:rsid w:val="004D3636"/>
    <w:rsid w:val="004D5F71"/>
    <w:rsid w:val="004F0364"/>
    <w:rsid w:val="0053455D"/>
    <w:rsid w:val="005420AC"/>
    <w:rsid w:val="00542DD7"/>
    <w:rsid w:val="00546C40"/>
    <w:rsid w:val="00563CF8"/>
    <w:rsid w:val="00580684"/>
    <w:rsid w:val="00625436"/>
    <w:rsid w:val="00642BFC"/>
    <w:rsid w:val="00646FC2"/>
    <w:rsid w:val="00651481"/>
    <w:rsid w:val="00653DAD"/>
    <w:rsid w:val="00661ED9"/>
    <w:rsid w:val="006E1212"/>
    <w:rsid w:val="007526B4"/>
    <w:rsid w:val="00756CB7"/>
    <w:rsid w:val="00766E66"/>
    <w:rsid w:val="00783A6D"/>
    <w:rsid w:val="0078457D"/>
    <w:rsid w:val="007B4365"/>
    <w:rsid w:val="007B643B"/>
    <w:rsid w:val="00804BA1"/>
    <w:rsid w:val="00851AF6"/>
    <w:rsid w:val="00867C57"/>
    <w:rsid w:val="0087089D"/>
    <w:rsid w:val="008811DC"/>
    <w:rsid w:val="008933D1"/>
    <w:rsid w:val="008C5EB1"/>
    <w:rsid w:val="008D16D5"/>
    <w:rsid w:val="00937C7A"/>
    <w:rsid w:val="00956B97"/>
    <w:rsid w:val="00966859"/>
    <w:rsid w:val="00966D87"/>
    <w:rsid w:val="00967DB6"/>
    <w:rsid w:val="009B0C4B"/>
    <w:rsid w:val="009B1D6F"/>
    <w:rsid w:val="009C7643"/>
    <w:rsid w:val="009D7F46"/>
    <w:rsid w:val="009F61E3"/>
    <w:rsid w:val="00A7323D"/>
    <w:rsid w:val="00A86230"/>
    <w:rsid w:val="00AF1D8A"/>
    <w:rsid w:val="00B343EB"/>
    <w:rsid w:val="00B43A91"/>
    <w:rsid w:val="00B804D2"/>
    <w:rsid w:val="00B8784E"/>
    <w:rsid w:val="00BD1AC2"/>
    <w:rsid w:val="00BE2A42"/>
    <w:rsid w:val="00C27C66"/>
    <w:rsid w:val="00C54E73"/>
    <w:rsid w:val="00C84C8C"/>
    <w:rsid w:val="00C91404"/>
    <w:rsid w:val="00C95710"/>
    <w:rsid w:val="00CC1AFB"/>
    <w:rsid w:val="00CC2A7C"/>
    <w:rsid w:val="00CC3ADC"/>
    <w:rsid w:val="00CE46F0"/>
    <w:rsid w:val="00D74723"/>
    <w:rsid w:val="00D83C78"/>
    <w:rsid w:val="00DA2602"/>
    <w:rsid w:val="00DF0255"/>
    <w:rsid w:val="00E37486"/>
    <w:rsid w:val="00E91E4C"/>
    <w:rsid w:val="00EC5C66"/>
    <w:rsid w:val="00ED1719"/>
    <w:rsid w:val="00EE1776"/>
    <w:rsid w:val="00F15BA1"/>
    <w:rsid w:val="00F22D1A"/>
    <w:rsid w:val="00F711E9"/>
    <w:rsid w:val="00F922A0"/>
    <w:rsid w:val="00F95B75"/>
    <w:rsid w:val="00FD01D3"/>
    <w:rsid w:val="00FF3A66"/>
    <w:rsid w:val="17CF2F56"/>
    <w:rsid w:val="1EFFF4E9"/>
    <w:rsid w:val="373F5D05"/>
    <w:rsid w:val="39FFE5C5"/>
    <w:rsid w:val="5E416268"/>
    <w:rsid w:val="5FEF89AB"/>
    <w:rsid w:val="5FFC2A4F"/>
    <w:rsid w:val="621C30C7"/>
    <w:rsid w:val="631B5852"/>
    <w:rsid w:val="66CE0831"/>
    <w:rsid w:val="740F25F1"/>
    <w:rsid w:val="7B0F0FB6"/>
    <w:rsid w:val="7BED25D8"/>
    <w:rsid w:val="DE5FD5CB"/>
    <w:rsid w:val="EEDF126C"/>
    <w:rsid w:val="F27D6A1E"/>
    <w:rsid w:val="FBBBF3C8"/>
    <w:rsid w:val="FDDB833A"/>
    <w:rsid w:val="FFDF5305"/>
    <w:rsid w:val="FFF74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ascii="Times New Roman" w:hAnsi="Times New Roman"/>
    </w:rPr>
  </w:style>
  <w:style w:type="paragraph" w:styleId="4">
    <w:name w:val="Body Text"/>
    <w:basedOn w:val="1"/>
    <w:qFormat/>
    <w:uiPriority w:val="99"/>
    <w:pPr>
      <w:jc w:val="center"/>
    </w:pPr>
    <w:rPr>
      <w:rFonts w:eastAsia="黑体"/>
      <w:sz w:val="36"/>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FollowedHyperlink"/>
    <w:basedOn w:val="9"/>
    <w:semiHidden/>
    <w:unhideWhenUsed/>
    <w:qFormat/>
    <w:uiPriority w:val="99"/>
    <w:rPr>
      <w:color w:val="800080"/>
      <w:u w:val="none"/>
    </w:rPr>
  </w:style>
  <w:style w:type="character" w:styleId="13">
    <w:name w:val="Emphasis"/>
    <w:basedOn w:val="9"/>
    <w:qFormat/>
    <w:uiPriority w:val="20"/>
  </w:style>
  <w:style w:type="character" w:styleId="14">
    <w:name w:val="HTML Definition"/>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0000FF"/>
      <w:u w:val="none"/>
    </w:rPr>
  </w:style>
  <w:style w:type="character" w:styleId="17">
    <w:name w:val="HTML Code"/>
    <w:basedOn w:val="9"/>
    <w:semiHidden/>
    <w:unhideWhenUsed/>
    <w:qFormat/>
    <w:uiPriority w:val="99"/>
    <w:rPr>
      <w:rFonts w:hint="default" w:ascii="serif" w:hAnsi="serif" w:eastAsia="serif" w:cs="serif"/>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ascii="serif" w:hAnsi="serif" w:eastAsia="serif" w:cs="serif"/>
      <w:sz w:val="21"/>
      <w:szCs w:val="21"/>
    </w:rPr>
  </w:style>
  <w:style w:type="character" w:customStyle="1" w:styleId="21">
    <w:name w:val="页脚 Char"/>
    <w:basedOn w:val="9"/>
    <w:link w:val="5"/>
    <w:qFormat/>
    <w:uiPriority w:val="99"/>
    <w:rPr>
      <w:rFonts w:ascii="Calibri" w:hAnsi="Calibri" w:eastAsia="宋体" w:cs="Times New Roman"/>
      <w:sz w:val="18"/>
      <w:szCs w:val="18"/>
    </w:rPr>
  </w:style>
  <w:style w:type="character" w:customStyle="1" w:styleId="22">
    <w:name w:val="页眉 Char"/>
    <w:basedOn w:val="9"/>
    <w:link w:val="6"/>
    <w:qFormat/>
    <w:uiPriority w:val="99"/>
    <w:rPr>
      <w:rFonts w:ascii="Calibri" w:hAnsi="Calibri" w:eastAsia="宋体" w:cs="Times New Roman"/>
      <w:sz w:val="18"/>
      <w:szCs w:val="18"/>
    </w:rPr>
  </w:style>
  <w:style w:type="character" w:customStyle="1" w:styleId="23">
    <w:name w:val="index-module_accountauthentication_3bwix"/>
    <w:basedOn w:val="9"/>
    <w:qFormat/>
    <w:uiPriority w:val="0"/>
  </w:style>
  <w:style w:type="character" w:customStyle="1" w:styleId="24">
    <w:name w:val="ranknum"/>
    <w:basedOn w:val="9"/>
    <w:qFormat/>
    <w:uiPriority w:val="0"/>
    <w:rPr>
      <w:rFonts w:ascii="Arial" w:hAnsi="Arial" w:cs="Arial"/>
      <w:b/>
      <w:bCs/>
      <w:i/>
      <w:iCs/>
      <w:color w:val="FFFFFF"/>
      <w:shd w:val="clear" w:color="auto" w:fill="CACACA"/>
    </w:rPr>
  </w:style>
  <w:style w:type="character" w:customStyle="1" w:styleId="25">
    <w:name w:val="front"/>
    <w:basedOn w:val="9"/>
    <w:qFormat/>
    <w:uiPriority w:val="0"/>
    <w:rPr>
      <w:shd w:val="clear" w:color="auto" w:fill="FB4B00"/>
    </w:rPr>
  </w:style>
  <w:style w:type="character" w:customStyle="1" w:styleId="26">
    <w:name w:val="fontstrikethrough"/>
    <w:basedOn w:val="9"/>
    <w:qFormat/>
    <w:uiPriority w:val="0"/>
    <w:rPr>
      <w:strike/>
    </w:rPr>
  </w:style>
  <w:style w:type="paragraph" w:customStyle="1" w:styleId="27">
    <w:name w:val="lemmawgt-lemmatitle-title"/>
    <w:basedOn w:val="1"/>
    <w:qFormat/>
    <w:uiPriority w:val="0"/>
    <w:pPr>
      <w:spacing w:after="75" w:line="585" w:lineRule="atLeast"/>
      <w:jc w:val="left"/>
    </w:pPr>
    <w:rPr>
      <w:kern w:val="0"/>
    </w:rPr>
  </w:style>
  <w:style w:type="character" w:customStyle="1" w:styleId="28">
    <w:name w:val="fontborder"/>
    <w:basedOn w:val="9"/>
    <w:qFormat/>
    <w:uiPriority w:val="0"/>
    <w:rPr>
      <w:bdr w:val="single" w:color="000000" w:sz="6" w:space="0"/>
    </w:rPr>
  </w:style>
  <w:style w:type="character" w:customStyle="1" w:styleId="29">
    <w:name w:val="lemmawgt-lemmatitle-title1"/>
    <w:basedOn w:val="9"/>
    <w:qFormat/>
    <w:uiPriority w:val="0"/>
  </w:style>
  <w:style w:type="paragraph" w:styleId="30">
    <w:name w:val="List Paragraph"/>
    <w:basedOn w:val="1"/>
    <w:unhideWhenUsed/>
    <w:qFormat/>
    <w:uiPriority w:val="99"/>
    <w:pPr>
      <w:ind w:firstLine="420" w:firstLineChars="200"/>
    </w:pPr>
  </w:style>
  <w:style w:type="character" w:customStyle="1" w:styleId="31">
    <w:name w:val="font01"/>
    <w:qFormat/>
    <w:uiPriority w:val="0"/>
    <w:rPr>
      <w:rFonts w:hint="eastAsia" w:ascii="宋体" w:hAnsi="宋体" w:eastAsia="宋体" w:cs="宋体"/>
      <w:color w:val="000000"/>
      <w:sz w:val="24"/>
      <w:szCs w:val="24"/>
      <w:u w:val="none"/>
    </w:rPr>
  </w:style>
  <w:style w:type="paragraph" w:customStyle="1" w:styleId="32">
    <w:name w:val="正文-公1"/>
    <w:basedOn w:val="1"/>
    <w:next w:val="1"/>
    <w:qFormat/>
    <w:uiPriority w:val="0"/>
    <w:pPr>
      <w:ind w:firstLine="200" w:firstLineChars="200"/>
      <w:jc w:val="left"/>
    </w:pPr>
    <w:rPr>
      <w:rFonts w:eastAsia="仿宋_GB2312"/>
    </w:rPr>
  </w:style>
  <w:style w:type="paragraph" w:customStyle="1" w:styleId="33">
    <w:name w:val="Body Text First Indent1"/>
    <w:basedOn w:val="4"/>
    <w:next w:val="6"/>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1010</Words>
  <Characters>1080</Characters>
  <Lines>2</Lines>
  <Paragraphs>1</Paragraphs>
  <TotalTime>6</TotalTime>
  <ScaleCrop>false</ScaleCrop>
  <LinksUpToDate>false</LinksUpToDate>
  <CharactersWithSpaces>1127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2021-02-04T10:44:00Z</dcterms:created>
  <dc:creator>111</dc:creator>
  <cp:lastModifiedBy>陈安</cp:lastModifiedBy>
  <cp:lastPrinted>2025-01-07T17:20:00Z</cp:lastPrinted>
  <dcterms:modified xsi:type="dcterms:W3CDTF">2025-01-06T15:01:09Z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8548E84C0B204D4BB768FED3702BDA0B</vt:lpwstr>
  </property>
</Properties>
</file>