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小标宋简体" w:hAnsi="方正小标宋简体" w:eastAsia="方正小标宋简体" w:cs="方正小标宋简体"/>
          <w:color w:val="auto"/>
          <w:sz w:val="44"/>
          <w:szCs w:val="44"/>
          <w:highlight w:val="none"/>
          <w:shd w:val="clear" w:color="auto" w:fill="auto"/>
          <w:lang w:eastAsia="zh-CN"/>
        </w:rPr>
      </w:pPr>
      <w:r>
        <w:rPr>
          <w:rFonts w:hint="eastAsia" w:ascii="方正小标宋简体" w:hAnsi="方正小标宋简体" w:eastAsia="方正小标宋简体" w:cs="方正小标宋简体"/>
          <w:color w:val="auto"/>
          <w:sz w:val="44"/>
          <w:szCs w:val="44"/>
          <w:highlight w:val="none"/>
          <w:shd w:val="clear" w:color="auto" w:fill="auto"/>
          <w:lang w:val="en-US" w:eastAsia="zh-CN"/>
        </w:rPr>
        <w:t>2024年龙游县</w:t>
      </w:r>
      <w:r>
        <w:rPr>
          <w:rFonts w:hint="eastAsia" w:ascii="方正小标宋简体" w:hAnsi="方正小标宋简体" w:eastAsia="方正小标宋简体" w:cs="方正小标宋简体"/>
          <w:color w:val="auto"/>
          <w:sz w:val="44"/>
          <w:szCs w:val="44"/>
          <w:highlight w:val="none"/>
          <w:shd w:val="clear" w:color="auto" w:fill="auto"/>
        </w:rPr>
        <w:t>“小县大城 共同富裕”</w:t>
      </w:r>
      <w:r>
        <w:rPr>
          <w:rFonts w:hint="eastAsia" w:ascii="方正小标宋简体" w:hAnsi="方正小标宋简体" w:eastAsia="方正小标宋简体" w:cs="方正小标宋简体"/>
          <w:color w:val="auto"/>
          <w:sz w:val="44"/>
          <w:szCs w:val="44"/>
          <w:highlight w:val="none"/>
          <w:shd w:val="clear" w:color="auto" w:fill="auto"/>
          <w:lang w:eastAsia="zh-CN"/>
        </w:rPr>
        <w:t>农民</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小标宋简体" w:hAnsi="方正小标宋简体" w:eastAsia="方正小标宋简体" w:cs="方正小标宋简体"/>
          <w:color w:val="auto"/>
          <w:sz w:val="44"/>
          <w:szCs w:val="44"/>
          <w:highlight w:val="none"/>
          <w:shd w:val="clear" w:color="auto" w:fill="auto"/>
          <w:lang w:val="en-US" w:eastAsia="zh-CN"/>
        </w:rPr>
      </w:pPr>
      <w:r>
        <w:rPr>
          <w:rFonts w:hint="eastAsia" w:ascii="方正小标宋简体" w:hAnsi="方正小标宋简体" w:eastAsia="方正小标宋简体" w:cs="方正小标宋简体"/>
          <w:color w:val="auto"/>
          <w:sz w:val="44"/>
          <w:szCs w:val="44"/>
          <w:highlight w:val="none"/>
          <w:shd w:val="clear" w:color="auto" w:fill="auto"/>
          <w:lang w:eastAsia="zh-CN"/>
        </w:rPr>
        <w:t>集聚转化</w:t>
      </w:r>
      <w:r>
        <w:rPr>
          <w:rFonts w:hint="eastAsia" w:ascii="方正小标宋简体" w:hAnsi="方正小标宋简体" w:eastAsia="方正小标宋简体" w:cs="方正小标宋简体"/>
          <w:color w:val="auto"/>
          <w:sz w:val="44"/>
          <w:szCs w:val="44"/>
          <w:highlight w:val="none"/>
          <w:shd w:val="clear" w:color="auto" w:fill="auto"/>
          <w:lang w:val="en-US" w:eastAsia="zh-CN"/>
        </w:rPr>
        <w:t>实施意见（试行）</w:t>
      </w:r>
    </w:p>
    <w:p>
      <w:pPr>
        <w:pStyle w:val="2"/>
        <w:ind w:left="0" w:leftChars="0" w:firstLine="0" w:firstLineChars="0"/>
        <w:jc w:val="center"/>
        <w:rPr>
          <w:rFonts w:hint="eastAsia" w:ascii="楷体_GB2312" w:hAnsi="楷体_GB2312" w:eastAsia="楷体_GB2312" w:cs="楷体_GB2312"/>
          <w:color w:val="auto"/>
          <w:kern w:val="2"/>
          <w:sz w:val="32"/>
          <w:szCs w:val="32"/>
          <w:highlight w:val="none"/>
          <w:shd w:val="clear" w:color="auto" w:fill="auto"/>
          <w:lang w:val="en-US" w:eastAsia="zh-CN" w:bidi="ar-SA"/>
        </w:rPr>
      </w:pPr>
      <w:r>
        <w:rPr>
          <w:rFonts w:hint="eastAsia" w:ascii="楷体_GB2312" w:hAnsi="楷体_GB2312" w:eastAsia="楷体_GB2312" w:cs="楷体_GB2312"/>
          <w:color w:val="auto"/>
          <w:kern w:val="2"/>
          <w:sz w:val="32"/>
          <w:szCs w:val="32"/>
          <w:highlight w:val="none"/>
          <w:shd w:val="clear" w:color="auto" w:fill="auto"/>
          <w:lang w:val="en-US" w:eastAsia="zh-CN" w:bidi="ar-SA"/>
        </w:rPr>
        <w:t>（征求意见稿）</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楷体" w:hAnsi="楷体" w:eastAsia="楷体" w:cs="楷体"/>
          <w:color w:val="auto"/>
          <w:sz w:val="32"/>
          <w:szCs w:val="32"/>
          <w:highlight w:val="none"/>
          <w:shd w:val="clear" w:color="auto" w:fill="auto"/>
        </w:rPr>
      </w:pPr>
    </w:p>
    <w:p>
      <w:pPr>
        <w:keepNext w:val="0"/>
        <w:keepLines w:val="0"/>
        <w:pageBreakBefore w:val="0"/>
        <w:widowControl/>
        <w:shd w:val="clear" w:color="auto" w:fill="FFFFFF"/>
        <w:kinsoku/>
        <w:wordWrap/>
        <w:overflowPunct/>
        <w:topLinePunct w:val="0"/>
        <w:autoSpaceDE/>
        <w:autoSpaceDN/>
        <w:bidi w:val="0"/>
        <w:adjustRightInd/>
        <w:snapToGrid w:val="0"/>
        <w:spacing w:line="560" w:lineRule="atLeast"/>
        <w:ind w:firstLine="640" w:firstLineChars="200"/>
        <w:textAlignment w:val="baseline"/>
        <w:rPr>
          <w:rFonts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为贯彻落实省委、省政府全面实施乡村振兴战略、高质量发展建设共同富裕示范区的决策部署，围绕推进以县城为重要载体的城镇化建设目标，进一步深化和规范农民集聚转化工作，有效改善低收入农户和偏远山区农民的生产生活条件，引导农民向县城和中心镇集聚，扎实推进以人为核心的新型城镇化。根据《浙江省人民政府关于规范异地搬迁工作的通知》《浙江省异地搬迁项目管理办法》等有关规定及衢州市委、市政府工作部署，结合我县实际，制定本意见。</w:t>
      </w:r>
    </w:p>
    <w:p>
      <w:pPr>
        <w:keepNext w:val="0"/>
        <w:keepLines w:val="0"/>
        <w:pageBreakBefore w:val="0"/>
        <w:widowControl/>
        <w:shd w:val="clear" w:color="auto" w:fill="FFFFFF"/>
        <w:kinsoku/>
        <w:wordWrap/>
        <w:overflowPunct/>
        <w:topLinePunct w:val="0"/>
        <w:autoSpaceDE/>
        <w:autoSpaceDN/>
        <w:bidi w:val="0"/>
        <w:adjustRightInd/>
        <w:snapToGrid w:val="0"/>
        <w:spacing w:line="560" w:lineRule="atLeast"/>
        <w:ind w:firstLine="640" w:firstLineChars="200"/>
        <w:textAlignment w:val="baseline"/>
        <w:rPr>
          <w:rFonts w:ascii="黑体" w:hAnsi="黑体" w:eastAsia="黑体" w:cs="黑体"/>
          <w:color w:val="auto"/>
          <w:sz w:val="32"/>
          <w:szCs w:val="32"/>
          <w:highlight w:val="none"/>
          <w:shd w:val="clear" w:color="auto" w:fill="auto"/>
        </w:rPr>
      </w:pPr>
      <w:r>
        <w:rPr>
          <w:rFonts w:hint="eastAsia" w:ascii="黑体" w:hAnsi="黑体" w:eastAsia="黑体" w:cs="黑体"/>
          <w:color w:val="auto"/>
          <w:sz w:val="32"/>
          <w:szCs w:val="32"/>
          <w:highlight w:val="none"/>
          <w:shd w:val="clear" w:color="auto" w:fill="auto"/>
          <w:lang w:val="en-US" w:eastAsia="zh-CN"/>
        </w:rPr>
        <w:t>一、集聚对象及条件</w:t>
      </w:r>
    </w:p>
    <w:p>
      <w:pPr>
        <w:keepNext w:val="0"/>
        <w:keepLines w:val="0"/>
        <w:pageBreakBefore w:val="0"/>
        <w:kinsoku/>
        <w:wordWrap/>
        <w:overflowPunct/>
        <w:topLinePunct w:val="0"/>
        <w:autoSpaceDE/>
        <w:autoSpaceDN/>
        <w:bidi w:val="0"/>
        <w:adjustRightInd/>
        <w:spacing w:line="560" w:lineRule="atLeast"/>
        <w:ind w:firstLine="640" w:firstLineChars="200"/>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1</w:t>
      </w:r>
      <w:r>
        <w:rPr>
          <w:rFonts w:ascii="仿宋_GB2312" w:hAnsi="仿宋_GB2312" w:eastAsia="仿宋_GB2312" w:cs="仿宋_GB2312"/>
          <w:sz w:val="32"/>
          <w:szCs w:val="32"/>
        </w:rPr>
        <w:t>.</w:t>
      </w:r>
      <w:r>
        <w:rPr>
          <w:rFonts w:hint="eastAsia" w:ascii="仿宋_GB2312" w:hAnsi="仿宋_GB2312" w:eastAsia="仿宋_GB2312" w:cs="仿宋_GB2312"/>
          <w:color w:val="auto"/>
          <w:kern w:val="2"/>
          <w:sz w:val="32"/>
          <w:szCs w:val="32"/>
          <w:highlight w:val="none"/>
          <w:shd w:val="clear" w:color="auto" w:fill="auto"/>
          <w:lang w:val="en-US" w:eastAsia="zh-CN" w:bidi="ar-SA"/>
        </w:rPr>
        <w:t>龙游瀫范围内：在城市控制区范围内的有房户；在城市控制范围外</w:t>
      </w:r>
      <w:r>
        <w:rPr>
          <w:rFonts w:hint="eastAsia" w:ascii="仿宋_GB2312" w:hAnsi="仿宋_GB2312" w:eastAsia="仿宋_GB2312" w:cs="仿宋_GB2312"/>
          <w:color w:val="auto"/>
          <w:sz w:val="32"/>
          <w:szCs w:val="32"/>
          <w:highlight w:val="none"/>
          <w:shd w:val="clear" w:color="auto" w:fill="auto"/>
          <w:lang w:val="en-US" w:eastAsia="zh-CN"/>
        </w:rPr>
        <w:t>符合农民建房资格条件的无房户或有合法宅基地的有房户。龙游瀫范围</w:t>
      </w:r>
      <w:r>
        <w:rPr>
          <w:rFonts w:hint="eastAsia" w:ascii="仿宋_GB2312" w:hAnsi="仿宋_GB2312" w:eastAsia="仿宋_GB2312" w:cs="仿宋_GB2312"/>
          <w:color w:val="auto"/>
          <w:sz w:val="32"/>
          <w:szCs w:val="32"/>
          <w:highlight w:val="none"/>
          <w:u w:val="none"/>
          <w:shd w:val="clear" w:color="auto" w:fill="auto"/>
          <w:lang w:val="en-US" w:eastAsia="zh-CN"/>
        </w:rPr>
        <w:t>外:原则上以拥有合法宅基地的</w:t>
      </w:r>
      <w:r>
        <w:rPr>
          <w:rFonts w:hint="eastAsia" w:ascii="Times New Roman" w:hAnsi="Times New Roman" w:eastAsia="仿宋_GB2312" w:cs="Times New Roman"/>
          <w:b w:val="0"/>
          <w:bCs/>
          <w:snapToGrid/>
          <w:color w:val="auto"/>
          <w:kern w:val="0"/>
          <w:sz w:val="32"/>
          <w:szCs w:val="32"/>
          <w:highlight w:val="none"/>
          <w:u w:val="none"/>
          <w:shd w:val="clear" w:color="auto" w:fill="auto"/>
          <w:lang w:val="en-US" w:eastAsia="zh-CN"/>
        </w:rPr>
        <w:t>整村搬迁为主。</w:t>
      </w:r>
      <w:r>
        <w:rPr>
          <w:rFonts w:hint="eastAsia" w:ascii="仿宋_GB2312" w:hAnsi="仿宋_GB2312" w:eastAsia="仿宋_GB2312" w:cs="仿宋_GB2312"/>
          <w:color w:val="auto"/>
          <w:sz w:val="32"/>
          <w:szCs w:val="32"/>
          <w:highlight w:val="none"/>
          <w:u w:val="none"/>
          <w:shd w:val="clear" w:color="auto" w:fill="auto"/>
          <w:lang w:val="en-US" w:eastAsia="zh-CN"/>
        </w:rPr>
        <w:t>全县范围内低收入农户、地</w:t>
      </w:r>
      <w:r>
        <w:rPr>
          <w:rFonts w:hint="eastAsia" w:ascii="仿宋_GB2312" w:hAnsi="仿宋_GB2312" w:eastAsia="仿宋_GB2312" w:cs="仿宋_GB2312"/>
          <w:color w:val="auto"/>
          <w:sz w:val="32"/>
          <w:szCs w:val="32"/>
          <w:highlight w:val="none"/>
          <w:shd w:val="clear" w:color="auto" w:fill="auto"/>
          <w:lang w:val="en-US" w:eastAsia="zh-CN"/>
        </w:rPr>
        <w:t>质灾害风险防范区内的农户（以龙地灾防办〔2024〕1号文件内公示的名单为准）和农村C、D级危房的农户。</w:t>
      </w:r>
      <w:r>
        <w:rPr>
          <w:rFonts w:hint="eastAsia" w:ascii="仿宋_GB2312" w:hAnsi="仿宋_GB2312" w:eastAsia="仿宋_GB2312" w:cs="仿宋_GB2312"/>
          <w:color w:val="auto"/>
          <w:kern w:val="2"/>
          <w:sz w:val="32"/>
          <w:szCs w:val="32"/>
          <w:highlight w:val="none"/>
          <w:shd w:val="clear" w:color="auto" w:fill="auto"/>
          <w:lang w:val="en-US" w:eastAsia="zh-CN" w:bidi="ar-SA"/>
        </w:rPr>
        <w:t>龙游瀫及城市控制区范围</w:t>
      </w:r>
      <w:r>
        <w:rPr>
          <w:rFonts w:hint="eastAsia" w:ascii="仿宋_GB2312" w:hAnsi="仿宋_GB2312" w:eastAsia="仿宋_GB2312" w:cs="仿宋_GB2312"/>
          <w:color w:val="auto"/>
          <w:sz w:val="32"/>
          <w:szCs w:val="32"/>
          <w:highlight w:val="none"/>
          <w:shd w:val="clear" w:color="auto" w:fill="auto"/>
          <w:lang w:val="en-US" w:eastAsia="zh-CN"/>
        </w:rPr>
        <w:t>按附件执行。</w:t>
      </w:r>
    </w:p>
    <w:p>
      <w:pPr>
        <w:keepNext w:val="0"/>
        <w:keepLines w:val="0"/>
        <w:pageBreakBefore w:val="0"/>
        <w:widowControl/>
        <w:shd w:val="clear" w:color="auto" w:fill="FFFFFF"/>
        <w:kinsoku/>
        <w:wordWrap/>
        <w:overflowPunct/>
        <w:topLinePunct w:val="0"/>
        <w:autoSpaceDE/>
        <w:autoSpaceDN/>
        <w:bidi w:val="0"/>
        <w:adjustRightInd/>
        <w:snapToGrid w:val="0"/>
        <w:spacing w:line="560" w:lineRule="atLeast"/>
        <w:ind w:firstLine="640" w:firstLineChars="200"/>
        <w:textAlignment w:val="baseline"/>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2</w:t>
      </w:r>
      <w:r>
        <w:rPr>
          <w:rFonts w:ascii="仿宋_GB2312" w:hAnsi="仿宋_GB2312" w:eastAsia="仿宋_GB2312" w:cs="仿宋_GB2312"/>
          <w:sz w:val="32"/>
          <w:szCs w:val="32"/>
        </w:rPr>
        <w:t>.</w:t>
      </w:r>
      <w:r>
        <w:rPr>
          <w:rFonts w:hint="eastAsia" w:ascii="仿宋_GB2312" w:hAnsi="仿宋_GB2312" w:eastAsia="仿宋_GB2312" w:cs="仿宋_GB2312"/>
          <w:color w:val="auto"/>
          <w:sz w:val="32"/>
          <w:szCs w:val="32"/>
          <w:highlight w:val="none"/>
          <w:shd w:val="clear" w:color="auto" w:fill="auto"/>
          <w:lang w:val="en-US" w:eastAsia="zh-CN"/>
        </w:rPr>
        <w:t>选择公寓房房票安置、商品房房票安置及兜底安置的，自愿放弃合法宅基地使用权、建房资格权并拆除原宅及其他附属设施且收归村集体。选择镇级迁建安置点集体土地建房的，须符合龙政办发〔2022〕47号文件，自愿放弃原合法宅基地使用权并拆除原宅及其他附属设施且收归村集体。本次安置户不再享受其他安置政策。</w:t>
      </w:r>
    </w:p>
    <w:p>
      <w:pPr>
        <w:keepNext w:val="0"/>
        <w:keepLines w:val="0"/>
        <w:pageBreakBefore w:val="0"/>
        <w:widowControl/>
        <w:shd w:val="clear" w:color="auto" w:fill="FFFFFF"/>
        <w:kinsoku/>
        <w:wordWrap/>
        <w:overflowPunct/>
        <w:topLinePunct w:val="0"/>
        <w:autoSpaceDE/>
        <w:autoSpaceDN/>
        <w:bidi w:val="0"/>
        <w:adjustRightInd/>
        <w:snapToGrid w:val="0"/>
        <w:spacing w:line="560" w:lineRule="atLeast"/>
        <w:ind w:firstLine="640" w:firstLineChars="200"/>
        <w:textAlignment w:val="baseline"/>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3</w:t>
      </w:r>
      <w:r>
        <w:rPr>
          <w:rFonts w:ascii="仿宋_GB2312" w:hAnsi="仿宋_GB2312" w:eastAsia="仿宋_GB2312" w:cs="仿宋_GB2312"/>
          <w:sz w:val="32"/>
          <w:szCs w:val="32"/>
        </w:rPr>
        <w:t>.</w:t>
      </w:r>
      <w:r>
        <w:rPr>
          <w:rFonts w:hint="eastAsia" w:ascii="仿宋_GB2312" w:hAnsi="仿宋_GB2312" w:eastAsia="仿宋_GB2312" w:cs="仿宋_GB2312"/>
          <w:color w:val="auto"/>
          <w:sz w:val="32"/>
          <w:szCs w:val="32"/>
          <w:highlight w:val="none"/>
          <w:shd w:val="clear" w:color="auto" w:fill="auto"/>
          <w:lang w:val="en-US" w:eastAsia="zh-CN"/>
        </w:rPr>
        <w:t>以户为集聚单位，坚持“一户一宅”的原则，一户只能选择一种安置方式。集聚对象的认定及分户条件，按照《龙游县城市规划区范围外农村居民建房审批管理办法》（龙政办发〔2022〕47号）规定的“建房资格户”标准执行，允许置换安置。对一个产权户拥有两个及以上建房资格户的，可全部选择国有（划拨）土地公寓安置方式，或允许一个建房资格户选择迁建安置方式。</w:t>
      </w:r>
    </w:p>
    <w:p>
      <w:pPr>
        <w:keepNext w:val="0"/>
        <w:keepLines w:val="0"/>
        <w:pageBreakBefore w:val="0"/>
        <w:widowControl/>
        <w:shd w:val="clear" w:color="auto" w:fill="FFFFFF"/>
        <w:kinsoku/>
        <w:wordWrap/>
        <w:overflowPunct/>
        <w:topLinePunct w:val="0"/>
        <w:autoSpaceDE/>
        <w:autoSpaceDN/>
        <w:bidi w:val="0"/>
        <w:adjustRightInd/>
        <w:snapToGrid w:val="0"/>
        <w:spacing w:line="560" w:lineRule="atLeast"/>
        <w:ind w:firstLine="640" w:firstLineChars="200"/>
        <w:textAlignment w:val="baseline"/>
        <w:rPr>
          <w:rFonts w:hint="eastAsia" w:ascii="仿宋_GB2312" w:hAnsi="仿宋_GB2312" w:eastAsia="仿宋_GB2312" w:cs="仿宋_GB2312"/>
          <w:color w:val="auto"/>
          <w:kern w:val="2"/>
          <w:sz w:val="32"/>
          <w:szCs w:val="32"/>
          <w:highlight w:val="none"/>
          <w:shd w:val="clear" w:color="auto" w:fill="auto"/>
          <w:lang w:val="en-US" w:eastAsia="zh-CN" w:bidi="ar-SA"/>
        </w:rPr>
      </w:pPr>
      <w:r>
        <w:rPr>
          <w:rFonts w:hint="eastAsia" w:ascii="仿宋_GB2312" w:hAnsi="仿宋_GB2312" w:eastAsia="仿宋_GB2312" w:cs="仿宋_GB2312"/>
          <w:color w:val="auto"/>
          <w:sz w:val="32"/>
          <w:szCs w:val="32"/>
          <w:highlight w:val="none"/>
          <w:shd w:val="clear" w:color="auto" w:fill="auto"/>
          <w:lang w:val="en-US" w:eastAsia="zh-CN"/>
        </w:rPr>
        <w:t>4</w:t>
      </w:r>
      <w:r>
        <w:rPr>
          <w:rFonts w:ascii="仿宋_GB2312" w:hAnsi="仿宋_GB2312" w:eastAsia="仿宋_GB2312" w:cs="仿宋_GB2312"/>
          <w:sz w:val="32"/>
          <w:szCs w:val="32"/>
        </w:rPr>
        <w:t>.</w:t>
      </w:r>
      <w:r>
        <w:rPr>
          <w:rFonts w:hint="eastAsia" w:ascii="仿宋_GB2312" w:hAnsi="仿宋_GB2312" w:eastAsia="仿宋_GB2312" w:cs="仿宋_GB2312"/>
          <w:color w:val="auto"/>
          <w:sz w:val="32"/>
          <w:szCs w:val="32"/>
          <w:highlight w:val="none"/>
          <w:shd w:val="clear" w:color="auto" w:fill="auto"/>
          <w:lang w:val="en-US" w:eastAsia="zh-CN"/>
        </w:rPr>
        <w:t>资格和产权审核：资格和产权审核由乡镇组织审核，拟可复垦建设用地的由资规局国土整治和征收储备中心负责认定。</w:t>
      </w:r>
    </w:p>
    <w:p>
      <w:pPr>
        <w:keepNext w:val="0"/>
        <w:keepLines w:val="0"/>
        <w:pageBreakBefore w:val="0"/>
        <w:widowControl/>
        <w:shd w:val="clear" w:color="auto" w:fill="FFFFFF"/>
        <w:kinsoku/>
        <w:wordWrap/>
        <w:overflowPunct/>
        <w:topLinePunct w:val="0"/>
        <w:autoSpaceDE/>
        <w:autoSpaceDN/>
        <w:bidi w:val="0"/>
        <w:adjustRightInd/>
        <w:snapToGrid w:val="0"/>
        <w:spacing w:line="560" w:lineRule="atLeast"/>
        <w:ind w:firstLine="640" w:firstLineChars="200"/>
        <w:textAlignment w:val="baseline"/>
        <w:rPr>
          <w:rFonts w:hint="eastAsia" w:ascii="黑体" w:hAnsi="黑体" w:eastAsia="黑体" w:cs="黑体"/>
          <w:color w:val="auto"/>
          <w:sz w:val="32"/>
          <w:szCs w:val="32"/>
          <w:highlight w:val="none"/>
          <w:shd w:val="clear" w:color="auto" w:fill="auto"/>
          <w:lang w:val="en-US" w:eastAsia="zh-CN"/>
        </w:rPr>
      </w:pPr>
      <w:r>
        <w:rPr>
          <w:rFonts w:hint="eastAsia" w:ascii="黑体" w:hAnsi="黑体" w:eastAsia="黑体" w:cs="黑体"/>
          <w:color w:val="auto"/>
          <w:sz w:val="32"/>
          <w:szCs w:val="32"/>
          <w:highlight w:val="none"/>
          <w:shd w:val="clear" w:color="auto" w:fill="auto"/>
          <w:lang w:val="en-US" w:eastAsia="zh-CN"/>
        </w:rPr>
        <w:t>二、集聚类型</w:t>
      </w:r>
    </w:p>
    <w:p>
      <w:pPr>
        <w:keepNext w:val="0"/>
        <w:keepLines w:val="0"/>
        <w:pageBreakBefore w:val="0"/>
        <w:widowControl/>
        <w:shd w:val="clear" w:color="auto" w:fill="FFFFFF"/>
        <w:kinsoku/>
        <w:wordWrap/>
        <w:overflowPunct/>
        <w:topLinePunct w:val="0"/>
        <w:autoSpaceDE/>
        <w:autoSpaceDN/>
        <w:bidi w:val="0"/>
        <w:adjustRightInd/>
        <w:snapToGrid w:val="0"/>
        <w:spacing w:line="560" w:lineRule="atLeast"/>
        <w:ind w:firstLine="640" w:firstLineChars="200"/>
        <w:textAlignment w:val="baseline"/>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集聚类型分为整村搬迁和零星搬迁。</w:t>
      </w:r>
    </w:p>
    <w:p>
      <w:pPr>
        <w:keepNext w:val="0"/>
        <w:keepLines w:val="0"/>
        <w:pageBreakBefore w:val="0"/>
        <w:widowControl/>
        <w:shd w:val="clear" w:color="auto" w:fill="FFFFFF"/>
        <w:kinsoku/>
        <w:wordWrap/>
        <w:overflowPunct/>
        <w:topLinePunct w:val="0"/>
        <w:autoSpaceDE/>
        <w:autoSpaceDN/>
        <w:bidi w:val="0"/>
        <w:adjustRightInd/>
        <w:snapToGrid w:val="0"/>
        <w:spacing w:line="560" w:lineRule="atLeast"/>
        <w:ind w:firstLine="640" w:firstLineChars="200"/>
        <w:textAlignment w:val="baseline"/>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1</w:t>
      </w:r>
      <w:r>
        <w:rPr>
          <w:rFonts w:ascii="仿宋_GB2312" w:hAnsi="仿宋_GB2312" w:eastAsia="仿宋_GB2312" w:cs="仿宋_GB2312"/>
          <w:sz w:val="32"/>
          <w:szCs w:val="32"/>
        </w:rPr>
        <w:t>.</w:t>
      </w:r>
      <w:r>
        <w:rPr>
          <w:rFonts w:hint="eastAsia" w:ascii="仿宋_GB2312" w:hAnsi="仿宋_GB2312" w:eastAsia="仿宋_GB2312" w:cs="仿宋_GB2312"/>
          <w:color w:val="auto"/>
          <w:sz w:val="32"/>
          <w:szCs w:val="32"/>
          <w:highlight w:val="none"/>
          <w:shd w:val="clear" w:color="auto" w:fill="auto"/>
          <w:lang w:val="en-US" w:eastAsia="zh-CN"/>
        </w:rPr>
        <w:t>整村搬迁是指自然村或行政村整村搬迁的类型（是否达到整村搬迁，由农业农村局认定）。</w:t>
      </w:r>
    </w:p>
    <w:p>
      <w:pPr>
        <w:keepNext w:val="0"/>
        <w:keepLines w:val="0"/>
        <w:pageBreakBefore w:val="0"/>
        <w:widowControl/>
        <w:shd w:val="clear" w:color="auto" w:fill="FFFFFF"/>
        <w:kinsoku/>
        <w:wordWrap/>
        <w:overflowPunct/>
        <w:topLinePunct w:val="0"/>
        <w:autoSpaceDE/>
        <w:autoSpaceDN/>
        <w:bidi w:val="0"/>
        <w:adjustRightInd/>
        <w:snapToGrid w:val="0"/>
        <w:spacing w:line="560" w:lineRule="atLeast"/>
        <w:ind w:firstLine="640" w:firstLineChars="200"/>
        <w:textAlignment w:val="baseline"/>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2</w:t>
      </w:r>
      <w:r>
        <w:rPr>
          <w:rFonts w:ascii="仿宋_GB2312" w:hAnsi="仿宋_GB2312" w:eastAsia="仿宋_GB2312" w:cs="仿宋_GB2312"/>
          <w:sz w:val="32"/>
          <w:szCs w:val="32"/>
        </w:rPr>
        <w:t>.</w:t>
      </w:r>
      <w:r>
        <w:rPr>
          <w:rFonts w:hint="eastAsia" w:ascii="仿宋_GB2312" w:hAnsi="仿宋_GB2312" w:eastAsia="仿宋_GB2312" w:cs="仿宋_GB2312"/>
          <w:color w:val="auto"/>
          <w:sz w:val="32"/>
          <w:szCs w:val="32"/>
          <w:highlight w:val="none"/>
          <w:shd w:val="clear" w:color="auto" w:fill="auto"/>
          <w:lang w:val="en-US" w:eastAsia="zh-CN"/>
        </w:rPr>
        <w:t>零星搬迁是指除整村搬迁以外其他符合搬迁条件的类型。</w:t>
      </w:r>
    </w:p>
    <w:p>
      <w:pPr>
        <w:keepNext w:val="0"/>
        <w:keepLines w:val="0"/>
        <w:pageBreakBefore w:val="0"/>
        <w:widowControl/>
        <w:shd w:val="clear" w:color="auto" w:fill="FFFFFF"/>
        <w:kinsoku/>
        <w:wordWrap/>
        <w:overflowPunct/>
        <w:topLinePunct w:val="0"/>
        <w:autoSpaceDE/>
        <w:autoSpaceDN/>
        <w:bidi w:val="0"/>
        <w:adjustRightInd/>
        <w:snapToGrid w:val="0"/>
        <w:spacing w:line="560" w:lineRule="atLeast"/>
        <w:ind w:firstLine="640" w:firstLineChars="200"/>
        <w:textAlignment w:val="baseline"/>
        <w:rPr>
          <w:rFonts w:hint="eastAsia" w:ascii="黑体" w:hAnsi="黑体" w:eastAsia="黑体" w:cs="黑体"/>
          <w:color w:val="auto"/>
          <w:sz w:val="32"/>
          <w:szCs w:val="32"/>
          <w:highlight w:val="none"/>
          <w:shd w:val="clear" w:color="auto" w:fill="auto"/>
          <w:lang w:val="en-US" w:eastAsia="zh-CN"/>
        </w:rPr>
      </w:pPr>
      <w:r>
        <w:rPr>
          <w:rFonts w:hint="eastAsia" w:ascii="黑体" w:hAnsi="黑体" w:eastAsia="黑体" w:cs="黑体"/>
          <w:color w:val="auto"/>
          <w:sz w:val="32"/>
          <w:szCs w:val="32"/>
          <w:highlight w:val="none"/>
          <w:shd w:val="clear" w:color="auto" w:fill="auto"/>
          <w:lang w:val="en-US" w:eastAsia="zh-CN"/>
        </w:rPr>
        <w:t>三、安置方式、标准及补偿、补助</w:t>
      </w:r>
    </w:p>
    <w:p>
      <w:pPr>
        <w:keepNext w:val="0"/>
        <w:keepLines w:val="0"/>
        <w:pageBreakBefore w:val="0"/>
        <w:widowControl/>
        <w:shd w:val="clear" w:color="auto" w:fill="FFFFFF"/>
        <w:kinsoku/>
        <w:wordWrap/>
        <w:overflowPunct/>
        <w:topLinePunct w:val="0"/>
        <w:autoSpaceDE/>
        <w:autoSpaceDN/>
        <w:bidi w:val="0"/>
        <w:adjustRightInd/>
        <w:snapToGrid w:val="0"/>
        <w:spacing w:line="560" w:lineRule="atLeast"/>
        <w:ind w:firstLine="640" w:firstLineChars="200"/>
        <w:textAlignment w:val="baseline"/>
        <w:rPr>
          <w:rFonts w:hint="eastAsia" w:ascii="楷体_GB2312" w:hAnsi="楷体_GB2312" w:eastAsia="楷体_GB2312" w:cs="楷体_GB2312"/>
          <w:b w:val="0"/>
          <w:bCs w:val="0"/>
          <w:color w:val="auto"/>
          <w:sz w:val="32"/>
          <w:szCs w:val="32"/>
          <w:highlight w:val="none"/>
          <w:shd w:val="clear" w:color="auto" w:fill="auto"/>
          <w:lang w:val="en-US" w:eastAsia="zh-CN"/>
        </w:rPr>
      </w:pPr>
      <w:r>
        <w:rPr>
          <w:rFonts w:hint="eastAsia" w:ascii="楷体_GB2312" w:hAnsi="楷体_GB2312" w:eastAsia="楷体_GB2312" w:cs="楷体_GB2312"/>
          <w:b w:val="0"/>
          <w:bCs w:val="0"/>
          <w:color w:val="auto"/>
          <w:sz w:val="32"/>
          <w:szCs w:val="32"/>
          <w:highlight w:val="none"/>
          <w:shd w:val="clear" w:color="auto" w:fill="auto"/>
          <w:lang w:val="en-US" w:eastAsia="zh-CN"/>
        </w:rPr>
        <w:t>（一）国有土地</w:t>
      </w:r>
    </w:p>
    <w:p>
      <w:pPr>
        <w:keepNext w:val="0"/>
        <w:keepLines w:val="0"/>
        <w:pageBreakBefore w:val="0"/>
        <w:widowControl/>
        <w:shd w:val="clear" w:color="auto" w:fill="FFFFFF"/>
        <w:kinsoku/>
        <w:wordWrap/>
        <w:overflowPunct/>
        <w:topLinePunct w:val="0"/>
        <w:autoSpaceDE/>
        <w:autoSpaceDN/>
        <w:bidi w:val="0"/>
        <w:adjustRightInd/>
        <w:snapToGrid w:val="0"/>
        <w:spacing w:line="560" w:lineRule="atLeast"/>
        <w:ind w:firstLine="640" w:firstLineChars="200"/>
        <w:textAlignment w:val="baseline"/>
        <w:rPr>
          <w:rFonts w:hint="eastAsia" w:ascii="仿宋_GB2312" w:hAnsi="仿宋_GB2312" w:eastAsia="仿宋_GB2312" w:cs="仿宋_GB2312"/>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lang w:eastAsia="zh-CN"/>
        </w:rPr>
        <w:t>1</w:t>
      </w:r>
      <w:r>
        <w:rPr>
          <w:rFonts w:ascii="仿宋_GB2312" w:hAnsi="仿宋_GB2312" w:eastAsia="仿宋_GB2312" w:cs="仿宋_GB2312"/>
          <w:sz w:val="32"/>
          <w:szCs w:val="32"/>
        </w:rPr>
        <w:t>.</w:t>
      </w:r>
      <w:r>
        <w:rPr>
          <w:rFonts w:hint="eastAsia" w:ascii="仿宋_GB2312" w:hAnsi="仿宋_GB2312" w:eastAsia="仿宋_GB2312" w:cs="仿宋_GB2312"/>
          <w:color w:val="auto"/>
          <w:sz w:val="32"/>
          <w:szCs w:val="32"/>
          <w:highlight w:val="none"/>
          <w:shd w:val="clear" w:color="auto" w:fill="auto"/>
          <w:lang w:eastAsia="zh-CN"/>
        </w:rPr>
        <w:t>公寓</w:t>
      </w:r>
      <w:r>
        <w:rPr>
          <w:rFonts w:hint="eastAsia" w:ascii="仿宋_GB2312" w:hAnsi="仿宋_GB2312" w:eastAsia="仿宋_GB2312" w:cs="仿宋_GB2312"/>
          <w:color w:val="auto"/>
          <w:sz w:val="32"/>
          <w:szCs w:val="32"/>
          <w:highlight w:val="none"/>
          <w:shd w:val="clear" w:color="auto" w:fill="auto"/>
          <w:lang w:val="en-US" w:eastAsia="zh-CN"/>
        </w:rPr>
        <w:t>房</w:t>
      </w:r>
      <w:r>
        <w:rPr>
          <w:rFonts w:hint="eastAsia" w:ascii="仿宋_GB2312" w:hAnsi="仿宋_GB2312" w:eastAsia="仿宋_GB2312" w:cs="仿宋_GB2312"/>
          <w:color w:val="auto"/>
          <w:sz w:val="32"/>
          <w:szCs w:val="32"/>
          <w:highlight w:val="none"/>
          <w:shd w:val="clear" w:color="auto" w:fill="auto"/>
          <w:lang w:eastAsia="zh-CN"/>
        </w:rPr>
        <w:t>房票安置。指选择在政府指定的安置小区购买国有（划拨）土地公寓房安置的方式。</w:t>
      </w:r>
    </w:p>
    <w:p>
      <w:pPr>
        <w:keepNext w:val="0"/>
        <w:keepLines w:val="0"/>
        <w:pageBreakBefore w:val="0"/>
        <w:widowControl/>
        <w:shd w:val="clear" w:color="auto" w:fill="FFFFFF"/>
        <w:kinsoku/>
        <w:wordWrap/>
        <w:overflowPunct/>
        <w:topLinePunct w:val="0"/>
        <w:autoSpaceDE/>
        <w:autoSpaceDN/>
        <w:bidi w:val="0"/>
        <w:adjustRightInd/>
        <w:snapToGrid w:val="0"/>
        <w:spacing w:line="560" w:lineRule="atLeast"/>
        <w:ind w:firstLine="640" w:firstLineChars="200"/>
        <w:textAlignment w:val="baseline"/>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安置房销售基准价：有房户按3580元/平方米，无房户按照4000元/平方米。</w:t>
      </w:r>
    </w:p>
    <w:p>
      <w:pPr>
        <w:keepNext w:val="0"/>
        <w:keepLines w:val="0"/>
        <w:pageBreakBefore w:val="0"/>
        <w:widowControl/>
        <w:numPr>
          <w:ilvl w:val="0"/>
          <w:numId w:val="1"/>
        </w:numPr>
        <w:shd w:val="clear" w:color="auto" w:fill="FFFFFF"/>
        <w:kinsoku/>
        <w:wordWrap/>
        <w:overflowPunct/>
        <w:topLinePunct w:val="0"/>
        <w:autoSpaceDE/>
        <w:autoSpaceDN/>
        <w:bidi w:val="0"/>
        <w:adjustRightInd/>
        <w:snapToGrid w:val="0"/>
        <w:spacing w:line="560" w:lineRule="atLeast"/>
        <w:ind w:firstLine="640" w:firstLineChars="200"/>
        <w:textAlignment w:val="baseline"/>
        <w:rPr>
          <w:rFonts w:hint="eastAsia" w:ascii="仿宋_GB2312" w:hAnsi="仿宋_GB2312" w:eastAsia="仿宋_GB2312" w:cs="仿宋_GB2312"/>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lang w:eastAsia="zh-CN"/>
        </w:rPr>
        <w:t>农村集体经济组织成员的安置户，认定安置人口1人，享受政府安置面积60平方米单身公寓；认定安置人口2人，享受政府安置面积100平方米；认定安置人口3-4人，享受政府安置面积130平方米；认定安置人口5人及以上，享受政府安置面积160平方米。安置户退出合法建筑占地面积大于公寓安置面积，达到或超过高一档安置户型面积时，可享受进高一档安置，进档安置面积享受政府安置价,选房按正常排序。</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val="0"/>
        <w:spacing w:line="560" w:lineRule="atLeast"/>
        <w:ind w:firstLine="640" w:firstLineChars="200"/>
        <w:textAlignment w:val="baseline"/>
        <w:rPr>
          <w:rFonts w:hint="eastAsia" w:ascii="仿宋_GB2312" w:hAnsi="仿宋_GB2312" w:eastAsia="仿宋_GB2312" w:cs="仿宋_GB2312"/>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lang w:eastAsia="zh-CN"/>
        </w:rPr>
        <w:t>非农村集体经济组织成员的安置户，享受政府安置面积60平方米单身公寓。</w:t>
      </w:r>
      <w:r>
        <w:rPr>
          <w:rFonts w:hint="eastAsia" w:ascii="仿宋_GB2312" w:hAnsi="仿宋_GB2312" w:eastAsia="仿宋_GB2312" w:cs="仿宋_GB2312"/>
          <w:color w:val="auto"/>
          <w:sz w:val="32"/>
          <w:szCs w:val="32"/>
          <w:highlight w:val="none"/>
          <w:shd w:val="clear" w:color="auto" w:fill="auto"/>
          <w:lang w:val="en-US" w:eastAsia="zh-CN"/>
        </w:rPr>
        <w:t>若退出合法建筑占地面积达到100平方米及以上的，可享受100平方米的进档安置面积，</w:t>
      </w:r>
      <w:r>
        <w:rPr>
          <w:rFonts w:hint="eastAsia" w:ascii="仿宋_GB2312" w:hAnsi="仿宋_GB2312" w:eastAsia="仿宋_GB2312" w:cs="仿宋_GB2312"/>
          <w:color w:val="auto"/>
          <w:sz w:val="32"/>
          <w:szCs w:val="32"/>
          <w:highlight w:val="none"/>
          <w:shd w:val="clear" w:color="auto" w:fill="auto"/>
          <w:lang w:eastAsia="zh-CN"/>
        </w:rPr>
        <w:t>进档安置面积享受政府安置价,选房按正常排序。</w:t>
      </w:r>
    </w:p>
    <w:p>
      <w:pPr>
        <w:keepNext w:val="0"/>
        <w:keepLines w:val="0"/>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eastAsia" w:ascii="仿宋_GB2312" w:hAnsi="仿宋_GB2312" w:eastAsia="仿宋_GB2312" w:cs="仿宋_GB2312"/>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lang w:eastAsia="zh-CN"/>
        </w:rPr>
        <w:t>根据公寓户型，超安置面积部分按政府优惠价购买。若公寓安置房源充足，允许安置户超户型增购，增购面积不得超过40平方米，增购面积部分按市场评估价购买。超户型增购的安置户必须放弃正常户型选房排序，按照超户型安置相关规定选择安置房。</w:t>
      </w:r>
    </w:p>
    <w:p>
      <w:pPr>
        <w:keepNext w:val="0"/>
        <w:keepLines w:val="0"/>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eastAsia" w:ascii="仿宋_GB2312" w:hAnsi="仿宋_GB2312" w:eastAsia="仿宋_GB2312" w:cs="仿宋_GB2312"/>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lang w:eastAsia="zh-CN"/>
        </w:rPr>
        <w:t>（2）政府安置价、政府优惠价和市场评估价以安置小区当年政府公布价为准。</w:t>
      </w:r>
    </w:p>
    <w:p>
      <w:pPr>
        <w:pStyle w:val="2"/>
        <w:keepNext w:val="0"/>
        <w:keepLines w:val="0"/>
        <w:pageBreakBefore w:val="0"/>
        <w:kinsoku/>
        <w:wordWrap/>
        <w:overflowPunct/>
        <w:topLinePunct w:val="0"/>
        <w:autoSpaceDE/>
        <w:autoSpaceDN/>
        <w:bidi w:val="0"/>
        <w:adjustRightInd/>
        <w:spacing w:line="560" w:lineRule="atLeast"/>
        <w:ind w:left="0" w:leftChars="0" w:firstLine="640" w:firstLineChars="200"/>
        <w:rPr>
          <w:rFonts w:hint="eastAsia" w:ascii="仿宋_GB2312" w:hAnsi="Times New Roman" w:eastAsia="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eastAsia="zh-CN"/>
        </w:rPr>
        <w:t>2</w:t>
      </w:r>
      <w:r>
        <w:rPr>
          <w:rFonts w:ascii="仿宋_GB2312" w:hAnsi="仿宋_GB2312" w:eastAsia="仿宋_GB2312" w:cs="仿宋_GB2312"/>
          <w:sz w:val="32"/>
          <w:szCs w:val="32"/>
        </w:rPr>
        <w:t>.</w:t>
      </w:r>
      <w:r>
        <w:rPr>
          <w:rFonts w:hint="eastAsia" w:ascii="仿宋_GB2312" w:hAnsi="仿宋_GB2312" w:eastAsia="仿宋_GB2312" w:cs="仿宋_GB2312"/>
          <w:color w:val="auto"/>
          <w:sz w:val="32"/>
          <w:szCs w:val="32"/>
          <w:highlight w:val="none"/>
          <w:shd w:val="clear" w:color="auto" w:fill="auto"/>
          <w:lang w:val="en-US" w:eastAsia="zh-CN"/>
        </w:rPr>
        <w:t>商品房房票</w:t>
      </w:r>
      <w:r>
        <w:rPr>
          <w:rFonts w:hint="eastAsia" w:ascii="仿宋_GB2312" w:hAnsi="仿宋_GB2312" w:eastAsia="仿宋_GB2312" w:cs="仿宋_GB2312"/>
          <w:color w:val="auto"/>
          <w:sz w:val="32"/>
          <w:szCs w:val="32"/>
          <w:highlight w:val="none"/>
          <w:shd w:val="clear" w:color="auto" w:fill="auto"/>
          <w:lang w:eastAsia="zh-CN"/>
        </w:rPr>
        <w:t>安置。商品房房票安置是指政府给予集聚农户用于购买</w:t>
      </w:r>
      <w:r>
        <w:rPr>
          <w:rFonts w:hint="eastAsia" w:ascii="仿宋_GB2312" w:hAnsi="仿宋_GB2312" w:eastAsia="仿宋_GB2312" w:cs="仿宋_GB2312"/>
          <w:color w:val="auto"/>
          <w:sz w:val="32"/>
          <w:szCs w:val="32"/>
          <w:highlight w:val="none"/>
          <w:shd w:val="clear" w:color="auto" w:fill="auto"/>
          <w:lang w:val="en-US" w:eastAsia="zh-CN"/>
        </w:rPr>
        <w:t>市域房票一体化打通后的相关住宅商品房</w:t>
      </w:r>
      <w:r>
        <w:rPr>
          <w:rFonts w:hint="eastAsia" w:ascii="仿宋_GB2312" w:hAnsi="仿宋_GB2312" w:eastAsia="仿宋_GB2312" w:cs="仿宋_GB2312"/>
          <w:color w:val="auto"/>
          <w:sz w:val="32"/>
          <w:szCs w:val="32"/>
          <w:highlight w:val="none"/>
          <w:shd w:val="clear" w:color="auto" w:fill="auto"/>
          <w:lang w:eastAsia="zh-CN"/>
        </w:rPr>
        <w:t>的的购房补助。选择房票安置的，在享受零星搬迁或整村搬迁补偿、补助的同时，可按有房户</w:t>
      </w:r>
      <w:r>
        <w:rPr>
          <w:rFonts w:hint="eastAsia" w:ascii="仿宋_GB2312" w:hAnsi="仿宋_GB2312" w:eastAsia="仿宋_GB2312" w:cs="仿宋_GB2312"/>
          <w:color w:val="auto"/>
          <w:sz w:val="32"/>
          <w:szCs w:val="32"/>
          <w:highlight w:val="none"/>
          <w:shd w:val="clear" w:color="auto" w:fill="auto"/>
          <w:lang w:val="en-US" w:eastAsia="zh-CN"/>
        </w:rPr>
        <w:t>50</w:t>
      </w:r>
      <w:r>
        <w:rPr>
          <w:rFonts w:hint="eastAsia" w:ascii="仿宋_GB2312" w:hAnsi="仿宋_GB2312" w:eastAsia="仿宋_GB2312" w:cs="仿宋_GB2312"/>
          <w:color w:val="auto"/>
          <w:sz w:val="32"/>
          <w:szCs w:val="32"/>
          <w:highlight w:val="none"/>
          <w:shd w:val="clear" w:color="auto" w:fill="auto"/>
          <w:lang w:eastAsia="zh-CN"/>
        </w:rPr>
        <w:t>00元／平方米、无房户</w:t>
      </w:r>
      <w:r>
        <w:rPr>
          <w:rFonts w:hint="eastAsia" w:ascii="仿宋_GB2312" w:hAnsi="仿宋_GB2312" w:eastAsia="仿宋_GB2312" w:cs="仿宋_GB2312"/>
          <w:color w:val="auto"/>
          <w:sz w:val="32"/>
          <w:szCs w:val="32"/>
          <w:highlight w:val="none"/>
          <w:shd w:val="clear" w:color="auto" w:fill="auto"/>
          <w:lang w:val="en-US" w:eastAsia="zh-CN"/>
        </w:rPr>
        <w:t>40</w:t>
      </w:r>
      <w:r>
        <w:rPr>
          <w:rFonts w:hint="eastAsia" w:ascii="仿宋_GB2312" w:hAnsi="仿宋_GB2312" w:eastAsia="仿宋_GB2312" w:cs="仿宋_GB2312"/>
          <w:color w:val="auto"/>
          <w:sz w:val="32"/>
          <w:szCs w:val="32"/>
          <w:highlight w:val="none"/>
          <w:shd w:val="clear" w:color="auto" w:fill="auto"/>
          <w:lang w:eastAsia="zh-CN"/>
        </w:rPr>
        <w:t>00元／平方米的标准进行房票补助，</w:t>
      </w:r>
      <w:r>
        <w:rPr>
          <w:rFonts w:hint="eastAsia" w:ascii="仿宋_GB2312" w:hAnsi="仿宋_GB2312" w:eastAsia="仿宋_GB2312" w:cs="仿宋_GB2312"/>
          <w:color w:val="auto"/>
          <w:kern w:val="2"/>
          <w:sz w:val="32"/>
          <w:szCs w:val="32"/>
          <w:highlight w:val="none"/>
          <w:shd w:val="clear" w:color="auto" w:fill="auto"/>
          <w:lang w:val="en-US" w:eastAsia="zh-CN" w:bidi="ar-SA"/>
        </w:rPr>
        <w:t>购房补助实行总额控制，用完即止，</w:t>
      </w:r>
      <w:r>
        <w:rPr>
          <w:rFonts w:hint="eastAsia" w:ascii="仿宋_GB2312" w:hAnsi="Times New Roman" w:eastAsia="仿宋_GB2312"/>
          <w:color w:val="auto"/>
          <w:sz w:val="32"/>
          <w:szCs w:val="32"/>
          <w:highlight w:val="none"/>
          <w:shd w:val="clear" w:color="auto" w:fill="auto"/>
          <w:lang w:val="en-US" w:eastAsia="zh-CN"/>
        </w:rPr>
        <w:t>具体实施细则以住建部门出台的政策为准。</w:t>
      </w:r>
    </w:p>
    <w:p>
      <w:pPr>
        <w:pStyle w:val="2"/>
        <w:keepNext w:val="0"/>
        <w:keepLines w:val="0"/>
        <w:pageBreakBefore w:val="0"/>
        <w:kinsoku/>
        <w:wordWrap/>
        <w:overflowPunct/>
        <w:topLinePunct w:val="0"/>
        <w:autoSpaceDE/>
        <w:autoSpaceDN/>
        <w:bidi w:val="0"/>
        <w:adjustRightInd/>
        <w:spacing w:line="560" w:lineRule="atLeast"/>
        <w:ind w:left="0" w:leftChars="0" w:firstLine="640" w:firstLineChars="200"/>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以上公寓房房票安置和商品房房票安置的房票，仅限2024年度符合本《意见》的集聚对象使用。</w:t>
      </w:r>
    </w:p>
    <w:p>
      <w:pPr>
        <w:keepNext w:val="0"/>
        <w:keepLines w:val="0"/>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default"/>
          <w:color w:val="auto"/>
          <w:highlight w:val="none"/>
          <w:shd w:val="clear" w:color="auto" w:fill="auto"/>
          <w:lang w:val="en-US" w:eastAsia="zh-CN"/>
        </w:rPr>
      </w:pPr>
      <w:r>
        <w:rPr>
          <w:rFonts w:hint="eastAsia" w:ascii="楷体_GB2312" w:hAnsi="楷体_GB2312" w:eastAsia="楷体_GB2312" w:cs="楷体_GB2312"/>
          <w:b w:val="0"/>
          <w:bCs w:val="0"/>
          <w:color w:val="auto"/>
          <w:sz w:val="32"/>
          <w:szCs w:val="32"/>
          <w:highlight w:val="none"/>
          <w:shd w:val="clear" w:color="auto" w:fill="auto"/>
          <w:lang w:val="en-US" w:eastAsia="zh-CN"/>
        </w:rPr>
        <w:t>（二）集体土地</w:t>
      </w:r>
    </w:p>
    <w:p>
      <w:pPr>
        <w:keepNext w:val="0"/>
        <w:keepLines w:val="0"/>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default"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1</w:t>
      </w:r>
      <w:r>
        <w:rPr>
          <w:rFonts w:ascii="仿宋_GB2312" w:hAnsi="仿宋_GB2312" w:eastAsia="仿宋_GB2312" w:cs="仿宋_GB2312"/>
          <w:sz w:val="32"/>
          <w:szCs w:val="32"/>
        </w:rPr>
        <w:t>.</w:t>
      </w:r>
      <w:r>
        <w:rPr>
          <w:rFonts w:hint="eastAsia" w:ascii="仿宋_GB2312" w:hAnsi="仿宋_GB2312" w:eastAsia="仿宋_GB2312" w:cs="仿宋_GB2312"/>
          <w:color w:val="auto"/>
          <w:sz w:val="32"/>
          <w:szCs w:val="32"/>
          <w:highlight w:val="none"/>
          <w:shd w:val="clear" w:color="auto" w:fill="auto"/>
          <w:lang w:val="en-US" w:eastAsia="zh-CN"/>
        </w:rPr>
        <w:t>迁建</w:t>
      </w:r>
      <w:r>
        <w:rPr>
          <w:rFonts w:hint="eastAsia" w:ascii="仿宋_GB2312" w:hAnsi="仿宋_GB2312" w:eastAsia="仿宋_GB2312" w:cs="仿宋_GB2312"/>
          <w:color w:val="auto"/>
          <w:sz w:val="32"/>
          <w:szCs w:val="32"/>
          <w:highlight w:val="none"/>
          <w:shd w:val="clear" w:color="auto" w:fill="auto"/>
          <w:lang w:eastAsia="zh-CN"/>
        </w:rPr>
        <w:t>安置。指选择到镇级安置点，使用村集体建设用地建房的安置方式，符合条件的对象允许跨村跨乡镇安置。</w:t>
      </w:r>
    </w:p>
    <w:p>
      <w:pPr>
        <w:pStyle w:val="2"/>
        <w:keepNext w:val="0"/>
        <w:keepLines w:val="0"/>
        <w:pageBreakBefore w:val="0"/>
        <w:kinsoku/>
        <w:wordWrap/>
        <w:overflowPunct/>
        <w:topLinePunct w:val="0"/>
        <w:autoSpaceDE/>
        <w:autoSpaceDN/>
        <w:bidi w:val="0"/>
        <w:adjustRightInd/>
        <w:spacing w:line="560" w:lineRule="atLeast"/>
        <w:ind w:left="0" w:leftChars="0" w:firstLine="640" w:firstLineChars="200"/>
        <w:rPr>
          <w:rFonts w:hint="default" w:ascii="仿宋_GB2312" w:hAnsi="仿宋_GB2312" w:eastAsia="仿宋_GB2312" w:cs="仿宋_GB2312"/>
          <w:color w:val="auto"/>
          <w:kern w:val="2"/>
          <w:sz w:val="32"/>
          <w:szCs w:val="32"/>
          <w:highlight w:val="none"/>
          <w:shd w:val="clear" w:color="auto" w:fill="auto"/>
          <w:lang w:val="en-US" w:eastAsia="zh-CN" w:bidi="ar-SA"/>
        </w:rPr>
      </w:pPr>
      <w:r>
        <w:rPr>
          <w:rFonts w:hint="eastAsia" w:ascii="仿宋_GB2312" w:hAnsi="仿宋_GB2312" w:eastAsia="仿宋_GB2312" w:cs="仿宋_GB2312"/>
          <w:color w:val="auto"/>
          <w:sz w:val="32"/>
          <w:szCs w:val="32"/>
          <w:highlight w:val="none"/>
          <w:shd w:val="clear" w:color="auto" w:fill="auto"/>
          <w:lang w:eastAsia="zh-CN"/>
        </w:rPr>
        <w:t>（1）</w:t>
      </w:r>
      <w:r>
        <w:rPr>
          <w:rFonts w:hint="eastAsia" w:ascii="仿宋_GB2312" w:hAnsi="仿宋_GB2312" w:eastAsia="仿宋_GB2312" w:cs="仿宋_GB2312"/>
          <w:color w:val="auto"/>
          <w:sz w:val="32"/>
          <w:szCs w:val="32"/>
          <w:highlight w:val="none"/>
          <w:shd w:val="clear" w:color="auto" w:fill="auto"/>
          <w:lang w:val="en-US" w:eastAsia="zh-CN"/>
        </w:rPr>
        <w:t>迁建</w:t>
      </w:r>
      <w:r>
        <w:rPr>
          <w:rFonts w:hint="eastAsia" w:ascii="仿宋_GB2312" w:hAnsi="仿宋_GB2312" w:eastAsia="仿宋_GB2312" w:cs="仿宋_GB2312"/>
          <w:color w:val="auto"/>
          <w:kern w:val="2"/>
          <w:sz w:val="32"/>
          <w:szCs w:val="32"/>
          <w:highlight w:val="none"/>
          <w:shd w:val="clear" w:color="auto" w:fill="auto"/>
          <w:lang w:val="en-US" w:eastAsia="zh-CN" w:bidi="ar-SA"/>
        </w:rPr>
        <w:t>安置采用总量控制、限期申请、用完即止。具体实施细则以安置小区所属乡镇出台的政策为准。</w:t>
      </w:r>
    </w:p>
    <w:p>
      <w:pPr>
        <w:keepNext w:val="0"/>
        <w:keepLines w:val="0"/>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eastAsia" w:ascii="仿宋_GB2312" w:hAnsi="仿宋_GB2312" w:eastAsia="仿宋_GB2312" w:cs="仿宋_GB2312"/>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lang w:eastAsia="zh-CN"/>
        </w:rPr>
        <w:t>（2）采取排楼安置，大、中、小户建房按照《龙游县城市规划区范围外农村居民建房审批管理办法》（龙政办发</w:t>
      </w:r>
      <w:r>
        <w:rPr>
          <w:rFonts w:hint="eastAsia" w:ascii="仿宋_GB2312" w:hAnsi="仿宋_GB2312" w:eastAsia="仿宋_GB2312" w:cs="仿宋_GB2312"/>
          <w:color w:val="auto"/>
          <w:sz w:val="32"/>
          <w:szCs w:val="32"/>
          <w:highlight w:val="none"/>
          <w:shd w:val="clear" w:color="auto" w:fill="auto"/>
          <w:lang w:val="en-US" w:eastAsia="zh-CN"/>
        </w:rPr>
        <w:t>〔2022〕47号</w:t>
      </w:r>
      <w:r>
        <w:rPr>
          <w:rFonts w:hint="eastAsia" w:ascii="仿宋_GB2312" w:hAnsi="仿宋_GB2312" w:eastAsia="仿宋_GB2312" w:cs="仿宋_GB2312"/>
          <w:color w:val="auto"/>
          <w:sz w:val="32"/>
          <w:szCs w:val="32"/>
          <w:highlight w:val="none"/>
          <w:shd w:val="clear" w:color="auto" w:fill="auto"/>
          <w:lang w:eastAsia="zh-CN"/>
        </w:rPr>
        <w:t>）规定的标准执行，允许降档选位。</w:t>
      </w:r>
    </w:p>
    <w:p>
      <w:pPr>
        <w:keepNext w:val="0"/>
        <w:keepLines w:val="0"/>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eastAsia" w:ascii="仿宋_GB2312" w:hAnsi="仿宋_GB2312" w:eastAsia="仿宋_GB2312" w:cs="仿宋_GB2312"/>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lang w:val="en-US" w:eastAsia="zh-CN"/>
        </w:rPr>
        <w:t>2</w:t>
      </w:r>
      <w:r>
        <w:rPr>
          <w:rFonts w:ascii="仿宋_GB2312" w:hAnsi="仿宋_GB2312" w:eastAsia="仿宋_GB2312" w:cs="仿宋_GB2312"/>
          <w:sz w:val="32"/>
          <w:szCs w:val="32"/>
        </w:rPr>
        <w:t>.</w:t>
      </w:r>
      <w:r>
        <w:rPr>
          <w:rFonts w:hint="eastAsia" w:ascii="仿宋_GB2312" w:hAnsi="仿宋_GB2312" w:eastAsia="仿宋_GB2312" w:cs="仿宋_GB2312"/>
          <w:color w:val="auto"/>
          <w:sz w:val="32"/>
          <w:szCs w:val="32"/>
          <w:highlight w:val="none"/>
          <w:shd w:val="clear" w:color="auto" w:fill="auto"/>
          <w:lang w:eastAsia="zh-CN"/>
        </w:rPr>
        <w:t>兜底安置。在享受零星搬迁或整村搬迁补偿、补助的同时，选择到乡镇（街道）、村集体周转房（不超过60平方米）居住的，给予大户</w:t>
      </w:r>
      <w:r>
        <w:rPr>
          <w:rFonts w:hint="eastAsia" w:ascii="仿宋_GB2312" w:hAnsi="仿宋_GB2312" w:eastAsia="仿宋_GB2312" w:cs="仿宋_GB2312"/>
          <w:color w:val="auto"/>
          <w:sz w:val="32"/>
          <w:szCs w:val="32"/>
          <w:highlight w:val="none"/>
          <w:shd w:val="clear" w:color="auto" w:fill="auto"/>
          <w:lang w:val="en-US" w:eastAsia="zh-CN"/>
        </w:rPr>
        <w:t>8</w:t>
      </w:r>
      <w:r>
        <w:rPr>
          <w:rFonts w:hint="eastAsia" w:ascii="仿宋_GB2312" w:hAnsi="仿宋_GB2312" w:eastAsia="仿宋_GB2312" w:cs="仿宋_GB2312"/>
          <w:color w:val="auto"/>
          <w:sz w:val="32"/>
          <w:szCs w:val="32"/>
          <w:highlight w:val="none"/>
          <w:shd w:val="clear" w:color="auto" w:fill="auto"/>
          <w:lang w:eastAsia="zh-CN"/>
        </w:rPr>
        <w:t>万元、中户</w:t>
      </w:r>
      <w:r>
        <w:rPr>
          <w:rFonts w:hint="eastAsia" w:ascii="仿宋_GB2312" w:hAnsi="仿宋_GB2312" w:eastAsia="仿宋_GB2312" w:cs="仿宋_GB2312"/>
          <w:color w:val="auto"/>
          <w:sz w:val="32"/>
          <w:szCs w:val="32"/>
          <w:highlight w:val="none"/>
          <w:shd w:val="clear" w:color="auto" w:fill="auto"/>
          <w:lang w:val="en-US" w:eastAsia="zh-CN"/>
        </w:rPr>
        <w:t>7</w:t>
      </w:r>
      <w:r>
        <w:rPr>
          <w:rFonts w:hint="eastAsia" w:ascii="仿宋_GB2312" w:hAnsi="仿宋_GB2312" w:eastAsia="仿宋_GB2312" w:cs="仿宋_GB2312"/>
          <w:color w:val="auto"/>
          <w:sz w:val="32"/>
          <w:szCs w:val="32"/>
          <w:highlight w:val="none"/>
          <w:shd w:val="clear" w:color="auto" w:fill="auto"/>
          <w:lang w:eastAsia="zh-CN"/>
        </w:rPr>
        <w:t>万元、小户</w:t>
      </w:r>
      <w:r>
        <w:rPr>
          <w:rFonts w:hint="eastAsia" w:ascii="仿宋_GB2312" w:hAnsi="仿宋_GB2312" w:eastAsia="仿宋_GB2312" w:cs="仿宋_GB2312"/>
          <w:color w:val="auto"/>
          <w:sz w:val="32"/>
          <w:szCs w:val="32"/>
          <w:highlight w:val="none"/>
          <w:shd w:val="clear" w:color="auto" w:fill="auto"/>
          <w:lang w:val="en-US" w:eastAsia="zh-CN"/>
        </w:rPr>
        <w:t>6</w:t>
      </w:r>
      <w:r>
        <w:rPr>
          <w:rFonts w:hint="eastAsia" w:ascii="仿宋_GB2312" w:hAnsi="仿宋_GB2312" w:eastAsia="仿宋_GB2312" w:cs="仿宋_GB2312"/>
          <w:color w:val="auto"/>
          <w:sz w:val="32"/>
          <w:szCs w:val="32"/>
          <w:highlight w:val="none"/>
          <w:shd w:val="clear" w:color="auto" w:fill="auto"/>
          <w:lang w:eastAsia="zh-CN"/>
        </w:rPr>
        <w:t>万元的补助，选择投亲靠友的每户再增加2万元。具体由乡镇（街道）垫付、财政结算。</w:t>
      </w:r>
    </w:p>
    <w:p>
      <w:pPr>
        <w:keepNext w:val="0"/>
        <w:keepLines w:val="0"/>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eastAsia" w:ascii="黑体" w:hAnsi="黑体" w:eastAsia="黑体" w:cs="黑体"/>
          <w:color w:val="auto"/>
          <w:sz w:val="32"/>
          <w:szCs w:val="32"/>
          <w:highlight w:val="none"/>
          <w:shd w:val="clear" w:color="auto" w:fill="auto"/>
          <w:lang w:val="en-US" w:eastAsia="zh-CN"/>
        </w:rPr>
      </w:pPr>
      <w:r>
        <w:rPr>
          <w:rFonts w:hint="eastAsia" w:ascii="黑体" w:hAnsi="黑体" w:eastAsia="黑体" w:cs="黑体"/>
          <w:color w:val="auto"/>
          <w:sz w:val="32"/>
          <w:szCs w:val="32"/>
          <w:highlight w:val="none"/>
          <w:shd w:val="clear" w:color="auto" w:fill="auto"/>
          <w:lang w:val="en-US" w:eastAsia="zh-CN"/>
        </w:rPr>
        <w:t>四、安置小区和安置点建设及管理</w:t>
      </w:r>
    </w:p>
    <w:p>
      <w:pPr>
        <w:keepNext w:val="0"/>
        <w:keepLines w:val="0"/>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根据“721”集聚导向，在县城和中心城镇核心区位，以未来社区理念规划建设县级安置小区及镇级安置点。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atLeast"/>
        <w:ind w:left="630" w:leftChars="0"/>
        <w:textAlignment w:val="auto"/>
        <w:rPr>
          <w:rFonts w:hint="eastAsia" w:ascii="楷体_GB2312" w:hAnsi="楷体_GB2312" w:eastAsia="楷体_GB2312" w:cs="楷体_GB2312"/>
          <w:b w:val="0"/>
          <w:bCs w:val="0"/>
          <w:color w:val="auto"/>
          <w:sz w:val="32"/>
          <w:szCs w:val="32"/>
          <w:highlight w:val="none"/>
          <w:shd w:val="clear" w:color="auto" w:fill="auto"/>
          <w:lang w:val="en-US" w:eastAsia="zh-CN"/>
        </w:rPr>
      </w:pPr>
      <w:r>
        <w:rPr>
          <w:rFonts w:hint="eastAsia" w:ascii="楷体_GB2312" w:hAnsi="楷体_GB2312" w:eastAsia="楷体_GB2312" w:cs="楷体_GB2312"/>
          <w:b w:val="0"/>
          <w:bCs w:val="0"/>
          <w:color w:val="auto"/>
          <w:sz w:val="32"/>
          <w:szCs w:val="32"/>
          <w:highlight w:val="none"/>
          <w:shd w:val="clear" w:color="auto" w:fill="auto"/>
          <w:lang w:val="en-US" w:eastAsia="zh-CN"/>
        </w:rPr>
        <w:t>（一）县级安置小区</w:t>
      </w:r>
    </w:p>
    <w:p>
      <w:pPr>
        <w:keepNext w:val="0"/>
        <w:keepLines w:val="0"/>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文成、飞云、南海家苑（一期、二期）等小区。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atLeast"/>
        <w:ind w:firstLine="640" w:firstLineChars="200"/>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楷体_GB2312" w:hAnsi="楷体_GB2312" w:eastAsia="楷体_GB2312" w:cs="楷体_GB2312"/>
          <w:b w:val="0"/>
          <w:bCs w:val="0"/>
          <w:color w:val="auto"/>
          <w:sz w:val="32"/>
          <w:szCs w:val="32"/>
          <w:highlight w:val="none"/>
          <w:shd w:val="clear" w:color="auto" w:fill="auto"/>
          <w:lang w:val="en-US" w:eastAsia="zh-CN"/>
        </w:rPr>
        <w:t>（二）小南海安置点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atLeast"/>
        <w:ind w:firstLine="640" w:firstLineChars="200"/>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安置对象为龙游瀫范围内的农户。</w:t>
      </w:r>
    </w:p>
    <w:p>
      <w:pPr>
        <w:pStyle w:val="2"/>
        <w:keepNext w:val="0"/>
        <w:keepLines w:val="0"/>
        <w:pageBreakBefore w:val="0"/>
        <w:numPr>
          <w:ilvl w:val="0"/>
          <w:numId w:val="0"/>
        </w:numPr>
        <w:kinsoku/>
        <w:wordWrap/>
        <w:overflowPunct/>
        <w:topLinePunct w:val="0"/>
        <w:autoSpaceDE/>
        <w:autoSpaceDN/>
        <w:bidi w:val="0"/>
        <w:adjustRightInd/>
        <w:spacing w:line="560" w:lineRule="atLeast"/>
        <w:ind w:firstLine="640" w:firstLineChars="200"/>
        <w:rPr>
          <w:rFonts w:hint="eastAsia" w:ascii="楷体_GB2312" w:hAnsi="楷体_GB2312" w:eastAsia="楷体_GB2312" w:cs="楷体_GB2312"/>
          <w:b w:val="0"/>
          <w:bCs w:val="0"/>
          <w:color w:val="auto"/>
          <w:sz w:val="32"/>
          <w:szCs w:val="32"/>
          <w:highlight w:val="none"/>
          <w:shd w:val="clear" w:color="auto" w:fill="auto"/>
          <w:lang w:val="en-US" w:eastAsia="zh-CN"/>
        </w:rPr>
      </w:pPr>
      <w:r>
        <w:rPr>
          <w:rFonts w:hint="eastAsia" w:ascii="楷体_GB2312" w:hAnsi="楷体_GB2312" w:eastAsia="楷体_GB2312" w:cs="楷体_GB2312"/>
          <w:b w:val="0"/>
          <w:bCs w:val="0"/>
          <w:color w:val="auto"/>
          <w:sz w:val="32"/>
          <w:szCs w:val="32"/>
          <w:highlight w:val="none"/>
          <w:shd w:val="clear" w:color="auto" w:fill="auto"/>
          <w:lang w:val="en-US" w:eastAsia="zh-CN"/>
        </w:rPr>
        <w:t>（三）</w:t>
      </w:r>
      <w:r>
        <w:rPr>
          <w:rFonts w:hint="eastAsia" w:ascii="楷体_GB2312" w:hAnsi="楷体_GB2312" w:eastAsia="楷体_GB2312" w:cs="楷体_GB2312"/>
          <w:b w:val="0"/>
          <w:bCs w:val="0"/>
          <w:color w:val="auto"/>
          <w:sz w:val="32"/>
          <w:szCs w:val="32"/>
          <w:highlight w:val="none"/>
          <w:u w:val="none"/>
          <w:shd w:val="clear" w:color="auto" w:fill="auto"/>
          <w:lang w:val="en-US" w:eastAsia="zh-CN"/>
        </w:rPr>
        <w:t>其他</w:t>
      </w:r>
      <w:r>
        <w:rPr>
          <w:rFonts w:hint="eastAsia" w:ascii="楷体_GB2312" w:hAnsi="楷体_GB2312" w:eastAsia="楷体_GB2312" w:cs="楷体_GB2312"/>
          <w:b w:val="0"/>
          <w:bCs w:val="0"/>
          <w:color w:val="auto"/>
          <w:sz w:val="32"/>
          <w:szCs w:val="32"/>
          <w:highlight w:val="none"/>
          <w:shd w:val="clear" w:color="auto" w:fill="auto"/>
          <w:lang w:val="en-US" w:eastAsia="zh-CN"/>
        </w:rPr>
        <w:t>镇级安置点</w:t>
      </w:r>
    </w:p>
    <w:p>
      <w:pPr>
        <w:pStyle w:val="2"/>
        <w:keepNext w:val="0"/>
        <w:keepLines w:val="0"/>
        <w:pageBreakBefore w:val="0"/>
        <w:numPr>
          <w:ilvl w:val="0"/>
          <w:numId w:val="0"/>
        </w:numPr>
        <w:kinsoku/>
        <w:wordWrap/>
        <w:overflowPunct/>
        <w:topLinePunct w:val="0"/>
        <w:autoSpaceDE/>
        <w:autoSpaceDN/>
        <w:bidi w:val="0"/>
        <w:adjustRightInd/>
        <w:spacing w:line="560" w:lineRule="atLeast"/>
        <w:ind w:firstLine="640" w:firstLineChars="200"/>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湖镇安置点、溪口安置点、横山安置点、塔石安置点、詹家安置点。</w:t>
      </w:r>
    </w:p>
    <w:p>
      <w:pPr>
        <w:keepNext w:val="0"/>
        <w:keepLines w:val="0"/>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1</w:t>
      </w:r>
      <w:r>
        <w:rPr>
          <w:rFonts w:ascii="仿宋_GB2312" w:hAnsi="仿宋_GB2312" w:eastAsia="仿宋_GB2312" w:cs="仿宋_GB2312"/>
          <w:sz w:val="32"/>
          <w:szCs w:val="32"/>
        </w:rPr>
        <w:t>.</w:t>
      </w:r>
      <w:r>
        <w:rPr>
          <w:rFonts w:hint="eastAsia" w:ascii="仿宋_GB2312" w:hAnsi="仿宋_GB2312" w:eastAsia="仿宋_GB2312" w:cs="仿宋_GB2312"/>
          <w:color w:val="auto"/>
          <w:sz w:val="32"/>
          <w:szCs w:val="32"/>
          <w:highlight w:val="none"/>
          <w:shd w:val="clear" w:color="auto" w:fill="auto"/>
          <w:lang w:val="en-US" w:eastAsia="zh-CN"/>
        </w:rPr>
        <w:t>迁建安置按照统规自建、统规代建等模式，由乡镇（街道）负责实施，建设新型集聚小区；安置点用地的政策处理等相关费用，由县及乡镇统一保障。</w:t>
      </w:r>
    </w:p>
    <w:p>
      <w:pPr>
        <w:keepNext w:val="0"/>
        <w:keepLines w:val="0"/>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2</w:t>
      </w:r>
      <w:r>
        <w:rPr>
          <w:rFonts w:ascii="仿宋_GB2312" w:hAnsi="仿宋_GB2312" w:eastAsia="仿宋_GB2312" w:cs="仿宋_GB2312"/>
          <w:sz w:val="32"/>
          <w:szCs w:val="32"/>
        </w:rPr>
        <w:t>.</w:t>
      </w:r>
      <w:r>
        <w:rPr>
          <w:rFonts w:hint="eastAsia" w:ascii="仿宋_GB2312" w:hAnsi="仿宋_GB2312" w:eastAsia="仿宋_GB2312" w:cs="仿宋_GB2312"/>
          <w:color w:val="auto"/>
          <w:sz w:val="32"/>
          <w:szCs w:val="32"/>
          <w:highlight w:val="none"/>
          <w:shd w:val="clear" w:color="auto" w:fill="auto"/>
          <w:lang w:val="en-US" w:eastAsia="zh-CN"/>
        </w:rPr>
        <w:t>迁建安置点所在行政村，安置点外原则上不再新增农民建房用地指标。迁建安置小区内配套总用地面积比例不超过5%的集体公共配套建设用地指标，配套总用地面积比例不超过5%的农民建房用地指标，由乡镇（街道）统筹安排。</w:t>
      </w:r>
    </w:p>
    <w:p>
      <w:pPr>
        <w:keepNext w:val="0"/>
        <w:keepLines w:val="0"/>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eastAsia" w:ascii="黑体" w:hAnsi="黑体" w:eastAsia="黑体" w:cs="黑体"/>
          <w:color w:val="auto"/>
          <w:sz w:val="32"/>
          <w:szCs w:val="32"/>
          <w:highlight w:val="none"/>
          <w:shd w:val="clear" w:color="auto" w:fill="auto"/>
          <w:lang w:val="en-US" w:eastAsia="zh-CN"/>
        </w:rPr>
      </w:pPr>
      <w:r>
        <w:rPr>
          <w:rFonts w:hint="eastAsia" w:ascii="黑体" w:hAnsi="黑体" w:eastAsia="黑体" w:cs="黑体"/>
          <w:color w:val="auto"/>
          <w:sz w:val="32"/>
          <w:szCs w:val="32"/>
          <w:highlight w:val="none"/>
          <w:shd w:val="clear" w:color="auto" w:fill="auto"/>
          <w:lang w:val="en-US" w:eastAsia="zh-CN"/>
        </w:rPr>
        <w:t>五、集聚包干经费</w:t>
      </w:r>
    </w:p>
    <w:p>
      <w:pPr>
        <w:keepNext w:val="0"/>
        <w:keepLines w:val="0"/>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对于自愿放弃合法宅基地及建房资格权且拆除原宅的对象，或自愿放弃建房资格权的无房户，根据安置人口数，</w:t>
      </w:r>
      <w:r>
        <w:rPr>
          <w:rFonts w:hint="eastAsia" w:ascii="仿宋_GB2312" w:hAnsi="仿宋_GB2312" w:eastAsia="仿宋_GB2312" w:cs="仿宋_GB2312"/>
          <w:color w:val="auto"/>
          <w:sz w:val="32"/>
          <w:szCs w:val="32"/>
          <w:highlight w:val="none"/>
          <w:u w:val="none"/>
          <w:shd w:val="clear" w:color="auto" w:fill="auto"/>
          <w:lang w:val="en-US" w:eastAsia="zh-CN"/>
        </w:rPr>
        <w:t>按照《龙游县土地整治项目暂行管理办法》，</w:t>
      </w:r>
      <w:r>
        <w:rPr>
          <w:rFonts w:hint="eastAsia" w:ascii="仿宋_GB2312" w:hAnsi="仿宋_GB2312" w:eastAsia="仿宋_GB2312" w:cs="仿宋_GB2312"/>
          <w:color w:val="auto"/>
          <w:sz w:val="32"/>
          <w:szCs w:val="32"/>
          <w:highlight w:val="none"/>
          <w:shd w:val="clear" w:color="auto" w:fill="auto"/>
          <w:lang w:val="en-US" w:eastAsia="zh-CN"/>
        </w:rPr>
        <w:t>由乡镇（街道）统筹使用。</w:t>
      </w:r>
    </w:p>
    <w:p>
      <w:pPr>
        <w:keepNext w:val="0"/>
        <w:keepLines w:val="0"/>
        <w:pageBreakBefore w:val="0"/>
        <w:widowControl w:val="0"/>
        <w:numPr>
          <w:ilvl w:val="0"/>
          <w:numId w:val="2"/>
        </w:numPr>
        <w:kinsoku/>
        <w:wordWrap/>
        <w:overflowPunct/>
        <w:topLinePunct w:val="0"/>
        <w:autoSpaceDE/>
        <w:autoSpaceDN/>
        <w:bidi w:val="0"/>
        <w:adjustRightInd/>
        <w:snapToGrid/>
        <w:spacing w:line="560" w:lineRule="atLeast"/>
        <w:ind w:left="0" w:leftChars="0" w:firstLine="640" w:firstLineChars="200"/>
        <w:textAlignment w:val="auto"/>
        <w:rPr>
          <w:rFonts w:hint="eastAsia" w:ascii="黑体" w:hAnsi="黑体" w:eastAsia="黑体" w:cs="黑体"/>
          <w:color w:val="auto"/>
          <w:sz w:val="32"/>
          <w:szCs w:val="32"/>
          <w:highlight w:val="none"/>
          <w:shd w:val="clear" w:color="auto" w:fill="auto"/>
          <w:lang w:val="en-US" w:eastAsia="zh-CN"/>
        </w:rPr>
      </w:pPr>
      <w:r>
        <w:rPr>
          <w:rFonts w:hint="eastAsia" w:ascii="黑体" w:hAnsi="黑体" w:eastAsia="黑体" w:cs="黑体"/>
          <w:color w:val="auto"/>
          <w:sz w:val="32"/>
          <w:szCs w:val="32"/>
          <w:highlight w:val="none"/>
          <w:shd w:val="clear" w:color="auto" w:fill="auto"/>
          <w:lang w:val="en-US" w:eastAsia="zh-CN"/>
        </w:rPr>
        <w:t>其他</w:t>
      </w:r>
    </w:p>
    <w:p>
      <w:pPr>
        <w:keepNext w:val="0"/>
        <w:keepLines w:val="0"/>
        <w:pageBreakBefore w:val="0"/>
        <w:widowControl w:val="0"/>
        <w:numPr>
          <w:ilvl w:val="0"/>
          <w:numId w:val="0"/>
        </w:numPr>
        <w:kinsoku/>
        <w:wordWrap/>
        <w:overflowPunct/>
        <w:topLinePunct w:val="0"/>
        <w:autoSpaceDE/>
        <w:autoSpaceDN/>
        <w:bidi w:val="0"/>
        <w:adjustRightInd/>
        <w:snapToGrid/>
        <w:spacing w:line="560" w:lineRule="atLeast"/>
        <w:ind w:firstLine="640" w:firstLineChars="200"/>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1</w:t>
      </w:r>
      <w:r>
        <w:rPr>
          <w:rFonts w:ascii="仿宋_GB2312" w:hAnsi="仿宋_GB2312" w:eastAsia="仿宋_GB2312" w:cs="仿宋_GB2312"/>
          <w:sz w:val="32"/>
          <w:szCs w:val="32"/>
        </w:rPr>
        <w:t>.</w:t>
      </w:r>
      <w:r>
        <w:rPr>
          <w:rFonts w:hint="eastAsia" w:ascii="仿宋_GB2312" w:hAnsi="仿宋_GB2312" w:eastAsia="仿宋_GB2312" w:cs="仿宋_GB2312"/>
          <w:color w:val="auto"/>
          <w:sz w:val="32"/>
          <w:szCs w:val="32"/>
          <w:highlight w:val="none"/>
          <w:shd w:val="clear" w:color="auto" w:fill="auto"/>
          <w:lang w:val="en-US" w:eastAsia="zh-CN"/>
        </w:rPr>
        <w:t>根据《浙江省乡村振兴局 浙江省财政厅 浙江省自然资源厅关于印发&lt;浙江省异地搬迁项目管理办法&gt;的通知》（浙乡振发〔</w:t>
      </w:r>
      <w:bookmarkStart w:id="0" w:name="_GoBack"/>
      <w:bookmarkEnd w:id="0"/>
      <w:r>
        <w:rPr>
          <w:rFonts w:hint="eastAsia" w:ascii="仿宋_GB2312" w:hAnsi="仿宋_GB2312" w:eastAsia="仿宋_GB2312" w:cs="仿宋_GB2312"/>
          <w:color w:val="auto"/>
          <w:sz w:val="32"/>
          <w:szCs w:val="32"/>
          <w:highlight w:val="none"/>
          <w:shd w:val="clear" w:color="auto" w:fill="auto"/>
          <w:lang w:val="en-US" w:eastAsia="zh-CN"/>
        </w:rPr>
        <w:t>2021〕3号）精神，县农业农村局（乡村振兴局）负责农民集聚转化项目管理，结合本地实际，制定相应的项目管理办法；县财政局会同有关部门负责农民集聚转化资金使用管理，县自然资源和规划局负责保障农民集聚转化项目新增建设用地计划指标。</w:t>
      </w:r>
    </w:p>
    <w:p>
      <w:pPr>
        <w:keepNext w:val="0"/>
        <w:keepLines w:val="0"/>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2</w:t>
      </w:r>
      <w:r>
        <w:rPr>
          <w:rFonts w:ascii="仿宋_GB2312" w:hAnsi="仿宋_GB2312" w:eastAsia="仿宋_GB2312" w:cs="仿宋_GB2312"/>
          <w:sz w:val="32"/>
          <w:szCs w:val="32"/>
        </w:rPr>
        <w:t>.</w:t>
      </w:r>
      <w:r>
        <w:rPr>
          <w:rFonts w:hint="eastAsia" w:ascii="仿宋_GB2312" w:hAnsi="仿宋_GB2312" w:eastAsia="仿宋_GB2312" w:cs="仿宋_GB2312"/>
          <w:color w:val="auto"/>
          <w:sz w:val="32"/>
          <w:szCs w:val="32"/>
          <w:highlight w:val="none"/>
          <w:shd w:val="clear" w:color="auto" w:fill="auto"/>
          <w:lang w:val="en-US" w:eastAsia="zh-CN"/>
        </w:rPr>
        <w:t>鼓励农户向城区、镇安置点集聚，并按照乡镇（街道）年度产生的新增建设用地指标配置一定比例用于保障农民建房。</w:t>
      </w:r>
    </w:p>
    <w:p>
      <w:pPr>
        <w:keepNext w:val="0"/>
        <w:keepLines w:val="0"/>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3</w:t>
      </w:r>
      <w:r>
        <w:rPr>
          <w:rFonts w:ascii="仿宋_GB2312" w:hAnsi="仿宋_GB2312" w:eastAsia="仿宋_GB2312" w:cs="仿宋_GB2312"/>
          <w:sz w:val="32"/>
          <w:szCs w:val="32"/>
        </w:rPr>
        <w:t>.</w:t>
      </w:r>
      <w:r>
        <w:rPr>
          <w:rFonts w:hint="eastAsia" w:ascii="仿宋_GB2312" w:hAnsi="仿宋_GB2312" w:eastAsia="仿宋_GB2312" w:cs="仿宋_GB2312"/>
          <w:color w:val="auto"/>
          <w:sz w:val="32"/>
          <w:szCs w:val="32"/>
          <w:highlight w:val="none"/>
          <w:shd w:val="clear" w:color="auto" w:fill="auto"/>
          <w:lang w:val="en-US" w:eastAsia="zh-CN"/>
        </w:rPr>
        <w:t>实行乡镇（街道）、村公建项目用地与新增建设用地复垦产生的指标相挂钩，配置比例不超过5%；同时，允许创新使用即台账式管理使用。</w:t>
      </w:r>
    </w:p>
    <w:p>
      <w:pPr>
        <w:keepNext w:val="0"/>
        <w:keepLines w:val="0"/>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eastAsia"/>
          <w:color w:val="auto"/>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4.对弄虚作假获得集聚安置房的单位和个人，一经查实，解除购房合同，收回安置房，注销安置房所有权证，按有关法律法规和规章制度予以处理。涉嫌犯罪的，移送司法机关依法处理。</w:t>
      </w:r>
    </w:p>
    <w:p>
      <w:pPr>
        <w:keepNext w:val="0"/>
        <w:keepLines w:val="0"/>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本意见自2024年 月 日起施行。本意见施行前，已实施的项目按原有的规定执行。自施行之日起,我县相关政策文件与本意见政策冲突的，以本意见为准。龙游县“小县大城 共同富裕”全域土地整治工作领导小组享有最终解释权。</w:t>
      </w:r>
    </w:p>
    <w:p>
      <w:pPr>
        <w:pStyle w:val="2"/>
        <w:keepNext w:val="0"/>
        <w:keepLines w:val="0"/>
        <w:pageBreakBefore w:val="0"/>
        <w:kinsoku/>
        <w:wordWrap/>
        <w:overflowPunct/>
        <w:topLinePunct w:val="0"/>
        <w:autoSpaceDE/>
        <w:autoSpaceDN/>
        <w:bidi w:val="0"/>
        <w:adjustRightInd/>
        <w:spacing w:line="560" w:lineRule="atLeast"/>
        <w:ind w:left="0" w:leftChars="0" w:firstLine="640" w:firstLineChars="200"/>
        <w:rPr>
          <w:rFonts w:hint="eastAsia" w:ascii="黑体" w:hAnsi="黑体" w:eastAsia="黑体" w:cs="黑体"/>
          <w:b w:val="0"/>
          <w:bCs w:val="0"/>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附件</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控制范围及影像图</w:t>
      </w:r>
    </w:p>
    <w:p>
      <w:pPr>
        <w:pStyle w:val="2"/>
        <w:ind w:left="0" w:leftChars="0" w:firstLine="0" w:firstLineChars="0"/>
        <w:rPr>
          <w:rFonts w:hint="eastAsia" w:ascii="黑体" w:hAnsi="黑体" w:eastAsia="黑体" w:cs="黑体"/>
          <w:b w:val="0"/>
          <w:bCs w:val="0"/>
          <w:color w:val="auto"/>
          <w:sz w:val="32"/>
          <w:szCs w:val="32"/>
          <w:highlight w:val="none"/>
          <w:shd w:val="clear" w:color="auto" w:fill="auto"/>
          <w:lang w:val="en-US" w:eastAsia="zh-CN"/>
        </w:rPr>
        <w:sectPr>
          <w:headerReference r:id="rId3" w:type="default"/>
          <w:footerReference r:id="rId4" w:type="default"/>
          <w:pgSz w:w="11906" w:h="16838"/>
          <w:pgMar w:top="2098" w:right="1474" w:bottom="1984" w:left="1588" w:header="851" w:footer="1417" w:gutter="0"/>
          <w:pgBorders>
            <w:top w:val="none" w:sz="0" w:space="0"/>
            <w:left w:val="none" w:sz="0" w:space="0"/>
            <w:bottom w:val="none" w:sz="0" w:space="0"/>
            <w:right w:val="none" w:sz="0" w:space="0"/>
          </w:pgBorders>
          <w:pgNumType w:fmt="numberInDash"/>
          <w:cols w:space="720" w:num="1"/>
          <w:rtlGutter w:val="0"/>
          <w:docGrid w:type="lines" w:linePitch="312" w:charSpace="0"/>
        </w:sectPr>
      </w:pPr>
    </w:p>
    <w:p>
      <w:pPr>
        <w:pStyle w:val="2"/>
        <w:ind w:left="0" w:leftChars="0" w:firstLine="0" w:firstLineChars="0"/>
        <w:rPr>
          <w:rFonts w:hint="eastAsia" w:ascii="黑体" w:hAnsi="黑体" w:eastAsia="黑体" w:cs="黑体"/>
          <w:b w:val="0"/>
          <w:bCs w:val="0"/>
          <w:color w:val="auto"/>
          <w:sz w:val="32"/>
          <w:szCs w:val="32"/>
          <w:highlight w:val="none"/>
          <w:shd w:val="clear" w:color="auto" w:fill="auto"/>
          <w:lang w:val="en-US" w:eastAsia="zh-CN"/>
        </w:rPr>
      </w:pPr>
      <w:r>
        <w:rPr>
          <w:rFonts w:hint="eastAsia" w:ascii="黑体" w:hAnsi="黑体" w:eastAsia="黑体" w:cs="黑体"/>
          <w:b w:val="0"/>
          <w:bCs w:val="0"/>
          <w:color w:val="auto"/>
          <w:sz w:val="32"/>
          <w:szCs w:val="32"/>
          <w:highlight w:val="none"/>
          <w:shd w:val="clear" w:color="auto" w:fill="auto"/>
          <w:lang w:val="en-US" w:eastAsia="zh-CN"/>
        </w:rPr>
        <w:t>附件</w:t>
      </w:r>
    </w:p>
    <w:p>
      <w:pPr>
        <w:pStyle w:val="2"/>
        <w:ind w:left="0" w:leftChars="0" w:firstLine="0" w:firstLineChars="0"/>
        <w:rPr>
          <w:rFonts w:hint="default" w:ascii="黑体" w:hAnsi="黑体" w:eastAsia="黑体" w:cs="黑体"/>
          <w:b w:val="0"/>
          <w:bCs w:val="0"/>
          <w:color w:val="auto"/>
          <w:sz w:val="32"/>
          <w:szCs w:val="32"/>
          <w:highlight w:val="none"/>
          <w:shd w:val="clear" w:color="auto" w:fill="auto"/>
          <w:lang w:val="en-US" w:eastAsia="zh-CN"/>
        </w:rPr>
      </w:pPr>
    </w:p>
    <w:p>
      <w:pPr>
        <w:pStyle w:val="2"/>
        <w:ind w:left="0" w:leftChars="0" w:firstLine="0" w:firstLineChars="0"/>
        <w:jc w:val="center"/>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方正小标宋简体" w:hAnsi="方正小标宋简体" w:eastAsia="方正小标宋简体" w:cs="方正小标宋简体"/>
          <w:b w:val="0"/>
          <w:bCs w:val="0"/>
          <w:color w:val="auto"/>
          <w:kern w:val="2"/>
          <w:sz w:val="44"/>
          <w:szCs w:val="44"/>
          <w:highlight w:val="none"/>
          <w:shd w:val="clear" w:color="auto" w:fill="auto"/>
          <w:lang w:val="en-US" w:eastAsia="zh-CN" w:bidi="ar-SA"/>
        </w:rPr>
        <w:t>控制范围及影像图</w:t>
      </w:r>
    </w:p>
    <w:p>
      <w:pPr>
        <w:pStyle w:val="2"/>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控制范围包括城中村及以下城郊村：</w:t>
      </w:r>
    </w:p>
    <w:p>
      <w:pPr>
        <w:pStyle w:val="2"/>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龙洲街道:山底村、曹家村、白坂村、柳村和兰石村；</w:t>
      </w:r>
    </w:p>
    <w:p>
      <w:pPr>
        <w:pStyle w:val="2"/>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东华街道:下杨村、上杨村、横路祝村、高仙塘村、十里铺村、张王村；</w:t>
      </w:r>
    </w:p>
    <w:p>
      <w:pPr>
        <w:pStyle w:val="2"/>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模环乡:琚家村、凤基坤村、虎龙村、大治村、白马村、湖塘殿村白路岗和下平山自然村、西元村西元和狮子型自然村、王北斗村牛岗自然村；</w:t>
      </w:r>
    </w:p>
    <w:p>
      <w:pPr>
        <w:pStyle w:val="2"/>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湖镇镇：范家村、张家埠村、杨家村、马报桥村寺底袁自然村、隔塘村上田铺自然村、曹垅村；</w:t>
      </w:r>
    </w:p>
    <w:p>
      <w:pPr>
        <w:pStyle w:val="2"/>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小南海镇:下章村、新山水村、汀塘圩村、雅塘村（杭金衙高速公路以南）；</w:t>
      </w:r>
    </w:p>
    <w:p>
      <w:pPr>
        <w:pStyle w:val="2"/>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詹家镇:詹家村、浦山村、前游村(龙丽高速以东部分)以及石亘村（龙丽高速以东部分）。</w:t>
      </w:r>
    </w:p>
    <w:p>
      <w:pPr>
        <w:pStyle w:val="2"/>
        <w:rPr>
          <w:rFonts w:hint="eastAsia" w:ascii="仿宋_GB2312" w:hAnsi="仿宋_GB2312" w:eastAsia="仿宋_GB2312" w:cs="仿宋_GB2312"/>
          <w:color w:val="auto"/>
          <w:sz w:val="32"/>
          <w:szCs w:val="32"/>
          <w:highlight w:val="none"/>
          <w:shd w:val="clear" w:color="auto" w:fill="auto"/>
          <w:lang w:val="en-US" w:eastAsia="zh-CN"/>
        </w:rPr>
      </w:pPr>
    </w:p>
    <w:p>
      <w:pPr>
        <w:pStyle w:val="2"/>
        <w:rPr>
          <w:rFonts w:hint="eastAsia" w:ascii="仿宋_GB2312" w:hAnsi="仿宋_GB2312" w:eastAsia="仿宋_GB2312" w:cs="仿宋_GB2312"/>
          <w:color w:val="auto"/>
          <w:sz w:val="32"/>
          <w:szCs w:val="32"/>
          <w:highlight w:val="none"/>
          <w:shd w:val="clear" w:color="auto" w:fill="auto"/>
          <w:lang w:val="en-US" w:eastAsia="zh-CN"/>
        </w:rPr>
        <w:sectPr>
          <w:pgSz w:w="11906" w:h="16838"/>
          <w:pgMar w:top="2098" w:right="1474" w:bottom="1984" w:left="1588" w:header="851" w:footer="1417" w:gutter="0"/>
          <w:pgBorders>
            <w:top w:val="none" w:sz="0" w:space="0"/>
            <w:left w:val="none" w:sz="0" w:space="0"/>
            <w:bottom w:val="none" w:sz="0" w:space="0"/>
            <w:right w:val="none" w:sz="0" w:space="0"/>
          </w:pgBorders>
          <w:pgNumType w:fmt="numberInDash"/>
          <w:cols w:space="720" w:num="1"/>
          <w:rtlGutter w:val="0"/>
          <w:docGrid w:type="lines" w:linePitch="312" w:charSpace="0"/>
        </w:sectPr>
      </w:pPr>
    </w:p>
    <w:p>
      <w:pPr>
        <w:pStyle w:val="2"/>
        <w:ind w:left="0" w:leftChars="0" w:firstLine="0" w:firstLineChars="0"/>
        <w:rPr>
          <w:rFonts w:hint="eastAsia" w:ascii="仿宋_GB2312" w:hAnsi="仿宋_GB2312" w:eastAsia="仿宋_GB2312" w:cs="仿宋_GB2312"/>
          <w:color w:val="auto"/>
          <w:sz w:val="32"/>
          <w:szCs w:val="32"/>
          <w:highlight w:val="none"/>
          <w:shd w:val="clear" w:color="auto" w:fill="auto"/>
          <w:lang w:val="en-US" w:eastAsia="zh-CN"/>
        </w:rPr>
        <w:sectPr>
          <w:pgSz w:w="16838" w:h="11906" w:orient="landscape"/>
          <w:pgMar w:top="1588" w:right="2098" w:bottom="1474" w:left="1984" w:header="851" w:footer="1417" w:gutter="0"/>
          <w:pgBorders>
            <w:top w:val="none" w:sz="0" w:space="0"/>
            <w:left w:val="none" w:sz="0" w:space="0"/>
            <w:bottom w:val="none" w:sz="0" w:space="0"/>
            <w:right w:val="none" w:sz="0" w:space="0"/>
          </w:pgBorders>
          <w:pgNumType w:fmt="numberInDash"/>
          <w:cols w:space="720" w:num="1"/>
          <w:rtlGutter w:val="0"/>
          <w:docGrid w:type="lines" w:linePitch="312" w:charSpace="0"/>
        </w:sectPr>
      </w:pPr>
      <w:r>
        <w:rPr>
          <w:rFonts w:hint="eastAsia" w:ascii="仿宋_GB2312" w:hAnsi="仿宋_GB2312" w:eastAsia="仿宋_GB2312" w:cs="仿宋_GB2312"/>
          <w:color w:val="auto"/>
          <w:sz w:val="32"/>
          <w:szCs w:val="32"/>
          <w:highlight w:val="none"/>
          <w:shd w:val="clear" w:color="auto" w:fill="auto"/>
          <w:lang w:val="en-US" w:eastAsia="zh-CN"/>
        </w:rPr>
        <w:drawing>
          <wp:inline distT="0" distB="0" distL="114300" distR="114300">
            <wp:extent cx="7714615" cy="5450205"/>
            <wp:effectExtent l="0" t="0" r="635" b="17145"/>
            <wp:docPr id="2" name="图片 2" descr="ff2fff333af5966658d72d03fce8d4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f2fff333af5966658d72d03fce8d46a"/>
                    <pic:cNvPicPr>
                      <a:picLocks noChangeAspect="1"/>
                    </pic:cNvPicPr>
                  </pic:nvPicPr>
                  <pic:blipFill>
                    <a:blip r:embed="rId6"/>
                    <a:stretch>
                      <a:fillRect/>
                    </a:stretch>
                  </pic:blipFill>
                  <pic:spPr>
                    <a:xfrm>
                      <a:off x="0" y="0"/>
                      <a:ext cx="7714615" cy="5450205"/>
                    </a:xfrm>
                    <a:prstGeom prst="rect">
                      <a:avLst/>
                    </a:prstGeom>
                  </pic:spPr>
                </pic:pic>
              </a:graphicData>
            </a:graphic>
          </wp:inline>
        </w:drawing>
      </w:r>
    </w:p>
    <w:p>
      <w:pPr>
        <w:pStyle w:val="2"/>
        <w:ind w:left="0" w:leftChars="0" w:firstLine="0" w:firstLineChars="0"/>
        <w:rPr>
          <w:rFonts w:hint="default" w:ascii="仿宋_GB2312" w:hAnsi="仿宋_GB2312" w:eastAsia="仿宋_GB2312" w:cs="仿宋_GB2312"/>
          <w:color w:val="auto"/>
          <w:sz w:val="32"/>
          <w:szCs w:val="32"/>
          <w:highlight w:val="none"/>
          <w:shd w:val="clear" w:color="auto" w:fill="auto"/>
          <w:lang w:val="en-US" w:eastAsia="zh-CN"/>
        </w:rPr>
      </w:pPr>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- 4 -</w:t>
                          </w:r>
                          <w:r>
                            <w:rPr>
                              <w:rFonts w:hint="eastAsia" w:ascii="仿宋_GB2312" w:hAnsi="仿宋_GB2312" w:eastAsia="仿宋_GB2312" w:cs="仿宋_GB2312"/>
                              <w:sz w:val="28"/>
                              <w:szCs w:val="28"/>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naBycgBAACZAwAADgAAAGRycy9lMm9Eb2MueG1srVPNjtMwEL4j8Q6W&#10;79RpD6iKmq4WVYuQECAtPIDr2I0l/8njNukLwBtw4sKd5+pzMHaS7rJc9rCXZDwz+eb7Pk8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TaDEcYsXfvn54/Lrz+X3d7LM&#10;9vQBauy6D9iXhnd+yK1THjCZVQ8q2vxGPQTraO75aq4cEhH5o/Vqva6wJLA2HxCHPXweIqT30luS&#10;g4ZGvL1iKj99hDS2zi15mvN32hjM89q4fxKImTMscx855igN+2EivvftGfX0ePENdbjnlJgPDn3N&#10;OzIHcQ72c3AMUR86pLYsvCDcHhOSKNzyhBF2Gow3VtRN25VX4vG5dD38Ud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p2gcnIAQAAmQMAAA4AAAAAAAAAAQAgAAAAHgEAAGRycy9lMm9Eb2Mu&#10;eG1sUEsFBgAAAAAGAAYAWQEAAFgFAAAAAA==&#10;">
              <v:fill on="f" focussize="0,0"/>
              <v:stroke on="f"/>
              <v:imagedata o:title=""/>
              <o:lock v:ext="edit" aspectratio="f"/>
              <v:textbox inset="0mm,0mm,0mm,0mm" style="mso-fit-shape-to-text:t;">
                <w:txbxContent>
                  <w:p>
                    <w:pPr>
                      <w:pStyle w:val="4"/>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- 4 -</w:t>
                    </w:r>
                    <w:r>
                      <w:rPr>
                        <w:rFonts w:hint="eastAsia" w:ascii="仿宋_GB2312" w:hAnsi="仿宋_GB2312" w:eastAsia="仿宋_GB2312" w:cs="仿宋_GB2312"/>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none" w:color="auto" w:sz="0" w:space="0"/>
        <w:left w:val="none" w:color="auto" w:sz="0" w:space="0"/>
        <w:bottom w:val="none" w:color="auto" w:sz="0" w:space="0"/>
        <w:right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ABEC85"/>
    <w:multiLevelType w:val="singleLevel"/>
    <w:tmpl w:val="C1ABEC85"/>
    <w:lvl w:ilvl="0" w:tentative="0">
      <w:start w:val="6"/>
      <w:numFmt w:val="chineseCounting"/>
      <w:suff w:val="nothing"/>
      <w:lvlText w:val="%1、"/>
      <w:lvlJc w:val="left"/>
      <w:rPr>
        <w:rFonts w:hint="eastAsia"/>
      </w:rPr>
    </w:lvl>
  </w:abstractNum>
  <w:abstractNum w:abstractNumId="1">
    <w:nsid w:val="4E4AC265"/>
    <w:multiLevelType w:val="singleLevel"/>
    <w:tmpl w:val="4E4AC265"/>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U5YTM2Y2MxZjhlYzkzOTdkYTAzMGRlMzYxZjQ5N2MifQ=="/>
  </w:docVars>
  <w:rsids>
    <w:rsidRoot w:val="00000000"/>
    <w:rsid w:val="04EB6629"/>
    <w:rsid w:val="066752BB"/>
    <w:rsid w:val="072C7501"/>
    <w:rsid w:val="08F06C2A"/>
    <w:rsid w:val="0AB2563A"/>
    <w:rsid w:val="0BD4194F"/>
    <w:rsid w:val="0C8D7BE7"/>
    <w:rsid w:val="0DAD4E1B"/>
    <w:rsid w:val="0DB8627A"/>
    <w:rsid w:val="0EA42C19"/>
    <w:rsid w:val="12AD338B"/>
    <w:rsid w:val="135316DC"/>
    <w:rsid w:val="137536DC"/>
    <w:rsid w:val="14C173FE"/>
    <w:rsid w:val="14E7216F"/>
    <w:rsid w:val="15572DDB"/>
    <w:rsid w:val="16532180"/>
    <w:rsid w:val="1824317B"/>
    <w:rsid w:val="1894313D"/>
    <w:rsid w:val="18C95654"/>
    <w:rsid w:val="1B78690C"/>
    <w:rsid w:val="1DFA398C"/>
    <w:rsid w:val="20B0726A"/>
    <w:rsid w:val="27D921DC"/>
    <w:rsid w:val="2A151926"/>
    <w:rsid w:val="2C6347F4"/>
    <w:rsid w:val="2D947780"/>
    <w:rsid w:val="2DD67732"/>
    <w:rsid w:val="30B33C47"/>
    <w:rsid w:val="31466E58"/>
    <w:rsid w:val="33BE6B8B"/>
    <w:rsid w:val="34CC1224"/>
    <w:rsid w:val="38F113CD"/>
    <w:rsid w:val="39C65003"/>
    <w:rsid w:val="3A0E3A4A"/>
    <w:rsid w:val="3A973B8B"/>
    <w:rsid w:val="3AC202F2"/>
    <w:rsid w:val="3B74015D"/>
    <w:rsid w:val="3FFB09F1"/>
    <w:rsid w:val="42E72D9E"/>
    <w:rsid w:val="440F6F8F"/>
    <w:rsid w:val="443C6E9C"/>
    <w:rsid w:val="443D3AFC"/>
    <w:rsid w:val="46C500F1"/>
    <w:rsid w:val="477B590B"/>
    <w:rsid w:val="48BA75AD"/>
    <w:rsid w:val="4D227D33"/>
    <w:rsid w:val="4D583754"/>
    <w:rsid w:val="509A3240"/>
    <w:rsid w:val="535625F8"/>
    <w:rsid w:val="56F54173"/>
    <w:rsid w:val="57D82813"/>
    <w:rsid w:val="5813309A"/>
    <w:rsid w:val="582D1AB0"/>
    <w:rsid w:val="59274B58"/>
    <w:rsid w:val="599E0E3E"/>
    <w:rsid w:val="5A0C5FF2"/>
    <w:rsid w:val="5CF62461"/>
    <w:rsid w:val="5DD173A1"/>
    <w:rsid w:val="643B16E6"/>
    <w:rsid w:val="648570CD"/>
    <w:rsid w:val="64CC6AAA"/>
    <w:rsid w:val="64E020C6"/>
    <w:rsid w:val="6554084E"/>
    <w:rsid w:val="65B759C2"/>
    <w:rsid w:val="6939281C"/>
    <w:rsid w:val="6A5C6058"/>
    <w:rsid w:val="6CAD3F7A"/>
    <w:rsid w:val="706406DD"/>
    <w:rsid w:val="71927FCB"/>
    <w:rsid w:val="71F72C8D"/>
    <w:rsid w:val="72301AD8"/>
    <w:rsid w:val="73423ABC"/>
    <w:rsid w:val="741A6049"/>
    <w:rsid w:val="77B157B6"/>
    <w:rsid w:val="78A304F7"/>
    <w:rsid w:val="7B0F302A"/>
    <w:rsid w:val="7DD00F61"/>
    <w:rsid w:val="7EF3140C"/>
    <w:rsid w:val="7FE4225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3"/>
    <w:autoRedefine/>
    <w:qFormat/>
    <w:uiPriority w:val="99"/>
    <w:pPr>
      <w:ind w:firstLine="420"/>
    </w:pPr>
    <w:rPr>
      <w:rFonts w:cs="宋体"/>
      <w:szCs w:val="21"/>
    </w:rPr>
  </w:style>
  <w:style w:type="paragraph" w:styleId="3">
    <w:name w:val="Body Text Indent"/>
    <w:basedOn w:val="1"/>
    <w:qFormat/>
    <w:uiPriority w:val="99"/>
    <w:pPr>
      <w:spacing w:after="120"/>
      <w:ind w:left="420" w:leftChars="200"/>
    </w:p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Pages>
  <Words>3001</Words>
  <Characters>3077</Characters>
  <Lines>0</Lines>
  <Paragraphs>0</Paragraphs>
  <TotalTime>5</TotalTime>
  <ScaleCrop>false</ScaleCrop>
  <LinksUpToDate>false</LinksUpToDate>
  <CharactersWithSpaces>3083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2024-02-21T14:27:00Z</dcterms:created>
  <dc:creator>Administrator</dc:creator>
  <cp:lastModifiedBy>宛何</cp:lastModifiedBy>
  <cp:lastPrinted>2024-05-10T06:47:00Z</cp:lastPrinted>
  <dcterms:modified xsi:type="dcterms:W3CDTF">2024-05-26T03:24:09Z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2DBDD59B032C4B089EDE2BD71A259F43_12</vt:lpwstr>
  </property>
</Properties>
</file>