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富盛镇202</w:t>
      </w:r>
      <w:r>
        <w:rPr>
          <w:rFonts w:hint="default" w:eastAsia="方正小标宋简体"/>
          <w:sz w:val="44"/>
          <w:szCs w:val="44"/>
          <w:lang w:val="en"/>
        </w:rPr>
        <w:t>5</w:t>
      </w:r>
      <w:r>
        <w:rPr>
          <w:rFonts w:eastAsia="方正小标宋简体"/>
          <w:sz w:val="44"/>
          <w:szCs w:val="44"/>
        </w:rPr>
        <w:t>年度经济发展激励政策实施办法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为深入贯彻习近平总书记关于民营经济发展的重要论述，加快发展新质生产力，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根据《绍兴市人民政府办公室关于印发先进制造业强市建设“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4151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”计划专项政策等五个政策的通知》（绍政办发〔2025〕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号）、《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2025年越城区“1+9”政策汇编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》等文件精神，结合我镇工作实际，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经研究特制定富盛镇202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年度经济发展激励政策。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全力</w:t>
      </w:r>
      <w:r>
        <w:rPr>
          <w:rFonts w:hint="eastAsia" w:ascii="黑体" w:hAnsi="黑体" w:eastAsia="黑体" w:cs="黑体"/>
          <w:sz w:val="32"/>
          <w:szCs w:val="32"/>
        </w:rPr>
        <w:t>推进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高效</w:t>
      </w:r>
      <w:r>
        <w:rPr>
          <w:rFonts w:hint="eastAsia" w:ascii="黑体" w:hAnsi="黑体" w:eastAsia="黑体" w:cs="黑体"/>
          <w:sz w:val="32"/>
          <w:szCs w:val="32"/>
        </w:rPr>
        <w:t>招商引资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项目引进。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企业、组织、个人引进并报经镇政府签约的产业项目，实际投资达到5000万、1亿元、5亿元，分别奖励1万元、3万元、5万元。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资本引进。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企业、组织、个人新引进符合国家产业政策的外商投资项目，经区主管部门认定当年实现实到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外资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10万美元以上（含）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的，给予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投资方当年度实到外资的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1.5%的奖励</w:t>
      </w:r>
      <w:r>
        <w:rPr>
          <w:rFonts w:hint="default" w:eastAsia="仿宋_GB2312" w:cs="Times New Roman"/>
          <w:sz w:val="32"/>
          <w:szCs w:val="32"/>
          <w:u w:val="none"/>
          <w:lang w:val="en" w:eastAsia="zh-CN"/>
        </w:rPr>
        <w:t>,</w:t>
      </w:r>
      <w:r>
        <w:rPr>
          <w:rFonts w:hint="eastAsia" w:eastAsia="仿宋_GB2312" w:cs="Times New Roman"/>
          <w:sz w:val="32"/>
          <w:szCs w:val="32"/>
          <w:u w:val="none"/>
          <w:lang w:val="en" w:eastAsia="zh-CN"/>
        </w:rPr>
        <w:t>每家企业最高不超过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30万元。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企业、组织、个人新引进符合国家产业政策的市外内资投资项目，经区主管部门认定当年实现实到内资的，给予引进方和投资方各奖励1万元，内资超过2000万元的，给予投资方每2000万元5万元人民币奖励，最高奖励不超过10万元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企业引进。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企业、组织、个人新引进工业、批发、零售、住宿、餐饮及其他营利性服务业企业，</w:t>
      </w:r>
      <w:r>
        <w:rPr>
          <w:rFonts w:hint="eastAsia" w:eastAsia="仿宋_GB2312" w:cs="Times New Roman"/>
          <w:sz w:val="32"/>
          <w:szCs w:val="32"/>
          <w:lang w:eastAsia="zh-CN"/>
        </w:rPr>
        <w:t>当年首次达到规模（限额）以上标准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，引进企业为工业企业、住宿、餐饮企业的，奖励1万元，引进企业为批发、零售、其他营利性服务业企业的，奖励0.5万元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。企业、组织、个人招引建筑业企业，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具有施工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级及以上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建筑企业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且全年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产值5000万元以上的，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新引进建筑业企业在上级奖励补助的基础上一次性奖励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万元。企业、组织、个人新引进外贸实绩企业，每家</w:t>
      </w:r>
      <w:r>
        <w:rPr>
          <w:rFonts w:hint="default" w:eastAsia="仿宋_GB2312" w:cs="Times New Roman"/>
          <w:sz w:val="32"/>
          <w:szCs w:val="32"/>
          <w:highlight w:val="none"/>
          <w:lang w:val="e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奖励0.5万元。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eastAsia="仿宋_GB2312" w:cs="Times New Roman"/>
          <w:b/>
          <w:bCs w:val="0"/>
          <w:kern w:val="2"/>
          <w:sz w:val="32"/>
          <w:szCs w:val="32"/>
          <w:lang w:val="en" w:eastAsia="zh-CN" w:bidi="ar-SA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优秀评定。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根据引进企业的产值、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等经济指标，在全镇范围内评选优秀招商个人和村居，具体奖项、名额、奖额另行研究。（镇机关、各村工作人员不享受本办法1-4项奖励政策）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二、积极促进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企业质效提升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b/>
          <w:bCs w:val="0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鼓励发展龙头型企业。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根据工农业、服务业、建筑业、商贸业等企业年度实缴税金及产销利等经济指标，评选富盛镇“经济社会发展进步奖”若干名，具体奖项、奖额另行研究。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eastAsia="仿宋_GB2312" w:cs="Times New Roman"/>
          <w:b/>
          <w:bCs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.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支持企业培大育强。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对连续2年</w:t>
      </w:r>
      <w:r>
        <w:rPr>
          <w:rFonts w:hint="eastAsia" w:eastAsia="仿宋_GB2312" w:cs="Times New Roman"/>
          <w:sz w:val="32"/>
          <w:szCs w:val="32"/>
          <w:lang w:eastAsia="zh-CN"/>
        </w:rPr>
        <w:t>达到规模以上标准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，当年工业总产值超3000万元、5000万元、1亿元、3亿元且增速达15%的规上工业企业，分别奖励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对连续2年</w:t>
      </w:r>
      <w:r>
        <w:rPr>
          <w:rFonts w:hint="eastAsia" w:eastAsia="仿宋_GB2312" w:cs="Times New Roman"/>
          <w:sz w:val="32"/>
          <w:szCs w:val="32"/>
          <w:lang w:eastAsia="zh-CN"/>
        </w:rPr>
        <w:t>达到限额以上标准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，当年销售额3000万元、5000万元、1亿元以上且增速达30%的批发企业</w:t>
      </w:r>
      <w:r>
        <w:rPr>
          <w:rFonts w:hint="eastAsia" w:eastAsia="仿宋_GB2312" w:cs="Times New Roman"/>
          <w:sz w:val="32"/>
          <w:szCs w:val="32"/>
          <w:lang w:eastAsia="zh-CN"/>
        </w:rPr>
        <w:t>，分别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奖励1万元、3万元、5万元。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对连续2年</w:t>
      </w:r>
      <w:r>
        <w:rPr>
          <w:rFonts w:hint="eastAsia" w:eastAsia="仿宋_GB2312" w:cs="Times New Roman"/>
          <w:sz w:val="32"/>
          <w:szCs w:val="32"/>
          <w:lang w:eastAsia="zh-CN"/>
        </w:rPr>
        <w:t>达到限额以上标准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，当年销售额300万元、500万元、1000万元以上且增速达30%的零售企业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，分别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万元、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万元、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对连续2年</w:t>
      </w:r>
      <w:r>
        <w:rPr>
          <w:rFonts w:hint="eastAsia" w:eastAsia="仿宋_GB2312" w:cs="Times New Roman"/>
          <w:sz w:val="32"/>
          <w:szCs w:val="32"/>
          <w:lang w:eastAsia="zh-CN"/>
        </w:rPr>
        <w:t>达到限额以上标准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，当年销售额1000万元以上且增速达30%的住宿餐饮企业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对连续2年</w:t>
      </w:r>
      <w:r>
        <w:rPr>
          <w:rFonts w:hint="eastAsia" w:eastAsia="仿宋_GB2312" w:cs="Times New Roman"/>
          <w:sz w:val="32"/>
          <w:szCs w:val="32"/>
          <w:lang w:eastAsia="zh-CN"/>
        </w:rPr>
        <w:t>达到规模以上标准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，当年营业收入3000万元</w:t>
      </w:r>
      <w:r>
        <w:rPr>
          <w:rFonts w:hint="eastAsia" w:eastAsia="仿宋_GB2312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营业收入增速达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的其他营利性服务业企业（含互联网和软件信息服务业），奖励5万元。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当年建筑业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省内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产值5000万元、1亿元、3亿元以上且增速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%的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资质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建筑业企业分别奖励1万元，3万元、5万元。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b/>
          <w:bCs w:val="0"/>
          <w:sz w:val="32"/>
          <w:szCs w:val="32"/>
          <w:lang w:val="en" w:eastAsia="zh-CN"/>
        </w:rPr>
        <w:t>7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扶持</w:t>
      </w:r>
      <w:r>
        <w:rPr>
          <w:rFonts w:hint="eastAsia" w:eastAsia="仿宋_GB2312" w:cs="Times New Roman"/>
          <w:b/>
          <w:bCs w:val="0"/>
          <w:sz w:val="32"/>
          <w:szCs w:val="32"/>
          <w:lang w:eastAsia="zh-CN"/>
        </w:rPr>
        <w:t>企业规模化发展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对当年</w:t>
      </w:r>
      <w:r>
        <w:rPr>
          <w:rFonts w:hint="eastAsia" w:eastAsia="仿宋_GB2312" w:cs="Times New Roman"/>
          <w:sz w:val="32"/>
          <w:szCs w:val="32"/>
          <w:lang w:eastAsia="zh-CN"/>
        </w:rPr>
        <w:t>首次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达到规模</w:t>
      </w:r>
      <w:r>
        <w:rPr>
          <w:rFonts w:hint="eastAsia" w:eastAsia="仿宋_GB2312" w:cs="Times New Roman"/>
          <w:sz w:val="32"/>
          <w:szCs w:val="32"/>
          <w:lang w:eastAsia="zh-CN"/>
        </w:rPr>
        <w:t>（限额）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eastAsia" w:eastAsia="仿宋_GB2312" w:cs="Times New Roman"/>
          <w:sz w:val="32"/>
          <w:szCs w:val="32"/>
          <w:lang w:eastAsia="zh-CN"/>
        </w:rPr>
        <w:t>标准的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工业、</w:t>
      </w:r>
      <w:r>
        <w:rPr>
          <w:rFonts w:hint="eastAsia" w:eastAsia="仿宋_GB2312" w:cs="Times New Roman"/>
          <w:sz w:val="32"/>
          <w:szCs w:val="32"/>
          <w:lang w:eastAsia="zh-CN"/>
        </w:rPr>
        <w:t>其他营利性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服务业、批零住餐企业，经区主管部门认定，在上级奖励补助的基础上给予一次性奖励。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其中工业企业：</w:t>
      </w:r>
      <w:r>
        <w:rPr>
          <w:rFonts w:hint="eastAsia" w:eastAsia="仿宋_GB2312" w:cs="Times New Roman"/>
          <w:sz w:val="32"/>
          <w:szCs w:val="32"/>
          <w:lang w:eastAsia="zh-CN"/>
        </w:rPr>
        <w:t>按月度达到、年度达到分别给予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一次性奖励8万元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批发、零售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/>
        </w:rPr>
        <w:t>其他营利性服务业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hint="eastAsia" w:eastAsia="仿宋_GB2312" w:cs="Times New Roman"/>
          <w:sz w:val="32"/>
          <w:szCs w:val="32"/>
          <w:lang w:eastAsia="zh-CN"/>
        </w:rPr>
        <w:t>按月度达到、年度达到分别给予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一次性奖励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住宿、餐饮业：</w:t>
      </w:r>
      <w:r>
        <w:rPr>
          <w:rFonts w:hint="eastAsia" w:eastAsia="仿宋_GB2312" w:cs="Times New Roman"/>
          <w:sz w:val="32"/>
          <w:szCs w:val="32"/>
          <w:lang w:eastAsia="zh-CN"/>
        </w:rPr>
        <w:t>按月度达到、年度达到分别给予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一次性奖励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b/>
          <w:bCs w:val="0"/>
          <w:kern w:val="2"/>
          <w:sz w:val="32"/>
          <w:szCs w:val="32"/>
          <w:lang w:val="en" w:eastAsia="zh-CN" w:bidi="ar-SA"/>
        </w:rPr>
        <w:t>8</w:t>
      </w:r>
      <w:r>
        <w:rPr>
          <w:rFonts w:hint="eastAsia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鼓励企业股改转型。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经镇登记审核备案，对当年度新设立或有限公司转为股份制公司，每家奖励0.8万元。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eastAsia="仿宋_GB2312" w:cs="Times New Roman"/>
          <w:b/>
          <w:bCs w:val="0"/>
          <w:kern w:val="2"/>
          <w:sz w:val="32"/>
          <w:szCs w:val="32"/>
          <w:lang w:val="en" w:eastAsia="zh-CN" w:bidi="ar-SA"/>
        </w:rPr>
        <w:t>9</w:t>
      </w:r>
      <w:r>
        <w:rPr>
          <w:rFonts w:hint="eastAsia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促进企业技术改造。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对经备案（核准）符合国家产业政策的二次开发项目，经区主管部门认定当年</w:t>
      </w:r>
      <w:r>
        <w:rPr>
          <w:rFonts w:hint="default" w:eastAsia="仿宋_GB2312" w:cs="Times New Roman"/>
          <w:sz w:val="32"/>
          <w:szCs w:val="32"/>
          <w:lang w:val="en"/>
        </w:rPr>
        <w:t>实际</w:t>
      </w:r>
      <w:r>
        <w:rPr>
          <w:rFonts w:hint="eastAsia" w:eastAsia="仿宋_GB2312" w:cs="Times New Roman"/>
          <w:sz w:val="32"/>
          <w:szCs w:val="32"/>
          <w:lang w:eastAsia="zh-CN"/>
        </w:rPr>
        <w:t>投入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在3000万元至5000万元、5000万（含）至1亿元、1亿（含）以上的企业，一次性给予5万元、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万元的奖励补助；对经备案（核准）符合国家产业政策的工业投资项目，经区主管部门认定当年设备</w:t>
      </w:r>
      <w:r>
        <w:rPr>
          <w:rFonts w:hint="default" w:eastAsia="仿宋_GB2312" w:cs="Times New Roman"/>
          <w:sz w:val="32"/>
          <w:szCs w:val="32"/>
          <w:lang w:val="e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投入在300万元至500万元、500万（含）至1000万元、1000万（含）至5000万元、5000万元（含）以上的企业，在上级奖励补助的基础上，一次性给予1万元、2万元、5万元、10万元的奖励补助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。二次开发奖励和设备投入奖励不重复奖励。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10.支持企业扩展跨境电商业务。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对在跨境电子商务综合试验区线上综合服务平台注册并连续2年以上通过跨境电商海关监管方式（9610、9710、9810）出口，当年出口总额达1600万美元，且平台出口额达300万美元以上的企业，在上级奖励补助的基础上，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一次性给予20万元的奖励补助。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default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加快聚合多元消费业态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保护和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发展传统产业。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传承发展黄酒经典产业，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对符合国家产业政策的黄酒等经典产业制造业投资项目，当年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投入在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00万元以上的企业，给予一次性奖励5万元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鼓励企业积极参展，对黄酒等经典产业企业参加境外展会的，给予展位费60%补助，单场展会、单家企业最高不得超过10万元。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12.推动特色商业街区建设。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积极推进镇域首发经济，对当年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在本镇开设首家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知名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品牌餐饮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休闲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门店的个人、企业，给予3万元一次性奖励；激发夜间消费活力，鼓励门店延长经营时间，对24小时经营且营业一年以上的餐饮休闲门店，给予每家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万元的电费补助；对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影响力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、带动力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特色餐饮民宿</w:t>
      </w:r>
      <w:r>
        <w:rPr>
          <w:rFonts w:hint="default" w:eastAsia="仿宋_GB2312" w:cs="Times New Roman"/>
          <w:sz w:val="32"/>
          <w:szCs w:val="32"/>
          <w:highlight w:val="none"/>
          <w:u w:val="none"/>
          <w:lang w:val="en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进行额外奖励，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当年首次达到规模以上标准的企业，给予15万元一次性奖励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该政策与本政策第7条不重复享受。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扎实推动企业科技创新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1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支持科技项目申报。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经镇登记审核备案，当年新认定的</w:t>
      </w:r>
      <w:r>
        <w:rPr>
          <w:rFonts w:hint="eastAsia" w:eastAsia="仿宋_GB2312" w:cs="Times New Roman"/>
          <w:sz w:val="32"/>
          <w:szCs w:val="32"/>
          <w:lang w:eastAsia="zh-CN"/>
        </w:rPr>
        <w:t>市级以上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数字化车间，每家奖励5万元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当年认定国家高新技术企业，每家奖励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当年新认定</w:t>
      </w:r>
      <w:r>
        <w:rPr>
          <w:rFonts w:hint="eastAsia" w:eastAsia="仿宋_GB2312" w:cs="Times New Roman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专精特新</w:t>
      </w:r>
      <w:r>
        <w:rPr>
          <w:rFonts w:hint="eastAsia" w:eastAsia="仿宋_GB2312" w:cs="Times New Roman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每家奖励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1万元；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当年新认定省级科技型中小企业，每家奖励0.5万元；当年新认定省级技术研发中心，每家奖励1万元。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鼓励产业关键核心技术攻关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</w:rPr>
        <w:t>经镇登记审核备案，</w:t>
      </w:r>
      <w:r>
        <w:rPr>
          <w:rFonts w:hint="eastAsia" w:eastAsia="仿宋_GB2312" w:cs="Times New Roman"/>
          <w:strike w:val="0"/>
          <w:dstrike w:val="0"/>
          <w:sz w:val="32"/>
          <w:szCs w:val="32"/>
          <w:lang w:eastAsia="zh-CN"/>
        </w:rPr>
        <w:t>按项目研发投入对企业给予补助</w:t>
      </w:r>
      <w:r>
        <w:rPr>
          <w:rFonts w:hint="eastAsia" w:eastAsia="仿宋_GB2312" w:cs="Times New Roman"/>
          <w:strike w:val="0"/>
          <w:dstrike w:val="0"/>
          <w:sz w:val="32"/>
          <w:szCs w:val="32"/>
          <w:lang w:val="en-US" w:eastAsia="zh-CN"/>
        </w:rPr>
        <w:t>，研发投入正增长且当年研发投入达600万以上的企业，每家奖励0.5万元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本政策的适用对象是指注册与纳税均在本镇，且本奖励政策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实行期间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未迁出的企业。对同一事项符合本政策相关条款的，不作重复奖励，按最高额计奖。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因逃税骗税、恶意欠薪、故意侵犯知识产权被法院列入失信被执行人或者在食品药品、生态环境、工程质量、安全生产、消防安全等领域存在违法行为被有关部门处以行政处罚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或承担刑事责任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的，不予享受政策。已享受的，我镇有权撤销该奖励。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相关证明材料由各申报单位提供，由镇经发办、财政所予以审核，汇总后提交镇党委会议审议确定，加强财政资金兑现审核与绩效考核，奖励费用由镇财政列支。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本政策文件执行期限为发文日起至202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年12月31日止（202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年1月1日至发文日参照此文件执行）。实施过程中如遇上级政策调整，按上级政策执行。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本政策由富盛镇人民政府负责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解释。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1134" w:gutter="0"/>
      <w:pgNumType w:fmt="numberInDash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oaYJL0wAAAAUBAAAPAAAAAAAAAAEAIAAAADgAAABkcnMvZG93bnJl&#10;di54bWxQSwECFAAUAAAACACHTuJAJrdmWrMBAABMAwAADgAAAAAAAAABACAAAAA4AQAAZHJzL2Uy&#10;b0RvYy54bWxQSwUGAAAAAAYABgBZAQAAX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OWVjMDkwZGU3ODI3OTY3YWI0MmNhNTM5MWVlOTQifQ=="/>
  </w:docVars>
  <w:rsids>
    <w:rsidRoot w:val="007D624A"/>
    <w:rsid w:val="00015BA3"/>
    <w:rsid w:val="0004440B"/>
    <w:rsid w:val="00105B2C"/>
    <w:rsid w:val="00131E49"/>
    <w:rsid w:val="001E5C00"/>
    <w:rsid w:val="0023298D"/>
    <w:rsid w:val="00232A24"/>
    <w:rsid w:val="002914EE"/>
    <w:rsid w:val="00301B61"/>
    <w:rsid w:val="003B4A81"/>
    <w:rsid w:val="003B66DE"/>
    <w:rsid w:val="003C74F4"/>
    <w:rsid w:val="003D335F"/>
    <w:rsid w:val="003E7B8B"/>
    <w:rsid w:val="00403756"/>
    <w:rsid w:val="004B2046"/>
    <w:rsid w:val="004C698F"/>
    <w:rsid w:val="004D49B6"/>
    <w:rsid w:val="00561975"/>
    <w:rsid w:val="005F1BF6"/>
    <w:rsid w:val="0062216B"/>
    <w:rsid w:val="006308C6"/>
    <w:rsid w:val="006D4321"/>
    <w:rsid w:val="007955F5"/>
    <w:rsid w:val="007D624A"/>
    <w:rsid w:val="007F409E"/>
    <w:rsid w:val="008716FA"/>
    <w:rsid w:val="008A3FBA"/>
    <w:rsid w:val="008B3C2C"/>
    <w:rsid w:val="009413FF"/>
    <w:rsid w:val="00964AD0"/>
    <w:rsid w:val="00B36789"/>
    <w:rsid w:val="00B525C9"/>
    <w:rsid w:val="00C45660"/>
    <w:rsid w:val="00CA75C8"/>
    <w:rsid w:val="00D939AF"/>
    <w:rsid w:val="00DB1E27"/>
    <w:rsid w:val="00DB32EC"/>
    <w:rsid w:val="00E27B4E"/>
    <w:rsid w:val="00EC58B3"/>
    <w:rsid w:val="00ED31E0"/>
    <w:rsid w:val="00ED7362"/>
    <w:rsid w:val="00F11894"/>
    <w:rsid w:val="017716F4"/>
    <w:rsid w:val="023B3012"/>
    <w:rsid w:val="026E1310"/>
    <w:rsid w:val="02CF4A24"/>
    <w:rsid w:val="03777EED"/>
    <w:rsid w:val="03E51230"/>
    <w:rsid w:val="070E1431"/>
    <w:rsid w:val="071D409C"/>
    <w:rsid w:val="0810162E"/>
    <w:rsid w:val="08CB3C8B"/>
    <w:rsid w:val="09E16AC8"/>
    <w:rsid w:val="0B031CE8"/>
    <w:rsid w:val="0C632E78"/>
    <w:rsid w:val="0C7B5CE1"/>
    <w:rsid w:val="0DFD4D01"/>
    <w:rsid w:val="0FA35A55"/>
    <w:rsid w:val="107F23F1"/>
    <w:rsid w:val="116229A7"/>
    <w:rsid w:val="11D81D3B"/>
    <w:rsid w:val="123236BC"/>
    <w:rsid w:val="197FFD47"/>
    <w:rsid w:val="1A5403CD"/>
    <w:rsid w:val="1B3630CF"/>
    <w:rsid w:val="1C055E22"/>
    <w:rsid w:val="1CC61A56"/>
    <w:rsid w:val="1CE41EDC"/>
    <w:rsid w:val="1D7657B1"/>
    <w:rsid w:val="1E004AF3"/>
    <w:rsid w:val="1F114FE9"/>
    <w:rsid w:val="1F760DBF"/>
    <w:rsid w:val="2137071E"/>
    <w:rsid w:val="231E010D"/>
    <w:rsid w:val="23CE7442"/>
    <w:rsid w:val="24C22B02"/>
    <w:rsid w:val="24D46CDA"/>
    <w:rsid w:val="2557740C"/>
    <w:rsid w:val="25A358FC"/>
    <w:rsid w:val="262D2A4A"/>
    <w:rsid w:val="26451C3D"/>
    <w:rsid w:val="26553801"/>
    <w:rsid w:val="26C53386"/>
    <w:rsid w:val="27374912"/>
    <w:rsid w:val="29F364C0"/>
    <w:rsid w:val="2FED1788"/>
    <w:rsid w:val="31756270"/>
    <w:rsid w:val="322F0BE2"/>
    <w:rsid w:val="333948D8"/>
    <w:rsid w:val="34054557"/>
    <w:rsid w:val="36BF54F6"/>
    <w:rsid w:val="36CB4323"/>
    <w:rsid w:val="378D275D"/>
    <w:rsid w:val="380F0322"/>
    <w:rsid w:val="38F372D7"/>
    <w:rsid w:val="396D2C05"/>
    <w:rsid w:val="3AB669D6"/>
    <w:rsid w:val="3B7E1CC6"/>
    <w:rsid w:val="3BBF16F2"/>
    <w:rsid w:val="3C1001A0"/>
    <w:rsid w:val="3C6D35EE"/>
    <w:rsid w:val="3D4F6AA6"/>
    <w:rsid w:val="3F3C52C8"/>
    <w:rsid w:val="3FA0668B"/>
    <w:rsid w:val="405803B1"/>
    <w:rsid w:val="406113FE"/>
    <w:rsid w:val="40AF442B"/>
    <w:rsid w:val="41C17390"/>
    <w:rsid w:val="42441A8E"/>
    <w:rsid w:val="425F396C"/>
    <w:rsid w:val="45356EC9"/>
    <w:rsid w:val="4871646A"/>
    <w:rsid w:val="493537CA"/>
    <w:rsid w:val="495B1697"/>
    <w:rsid w:val="4A4A3507"/>
    <w:rsid w:val="4AE72554"/>
    <w:rsid w:val="4BE17463"/>
    <w:rsid w:val="4CA564BA"/>
    <w:rsid w:val="4CD65F5F"/>
    <w:rsid w:val="4E281379"/>
    <w:rsid w:val="4EBB21ED"/>
    <w:rsid w:val="50FB36C9"/>
    <w:rsid w:val="530B3162"/>
    <w:rsid w:val="537F42DC"/>
    <w:rsid w:val="563606F8"/>
    <w:rsid w:val="56EB1178"/>
    <w:rsid w:val="58B167FC"/>
    <w:rsid w:val="59351B77"/>
    <w:rsid w:val="5B0A0784"/>
    <w:rsid w:val="5DAF9102"/>
    <w:rsid w:val="5F2C67EF"/>
    <w:rsid w:val="5F434C73"/>
    <w:rsid w:val="5F677827"/>
    <w:rsid w:val="5FFAEFB8"/>
    <w:rsid w:val="5FFB8FC0"/>
    <w:rsid w:val="5FFD44C9"/>
    <w:rsid w:val="60986E4F"/>
    <w:rsid w:val="62166177"/>
    <w:rsid w:val="6454622A"/>
    <w:rsid w:val="656B62C3"/>
    <w:rsid w:val="661324B7"/>
    <w:rsid w:val="665748B6"/>
    <w:rsid w:val="665916BE"/>
    <w:rsid w:val="66AF21DF"/>
    <w:rsid w:val="670D18B0"/>
    <w:rsid w:val="6A10568B"/>
    <w:rsid w:val="6B632BA3"/>
    <w:rsid w:val="6BAB77E7"/>
    <w:rsid w:val="6BCB5566"/>
    <w:rsid w:val="6C9D569E"/>
    <w:rsid w:val="6D826675"/>
    <w:rsid w:val="6DFD1FC1"/>
    <w:rsid w:val="6ED50650"/>
    <w:rsid w:val="6EE56F39"/>
    <w:rsid w:val="6F3F592C"/>
    <w:rsid w:val="70C20D61"/>
    <w:rsid w:val="71420268"/>
    <w:rsid w:val="71DEBE59"/>
    <w:rsid w:val="7293C285"/>
    <w:rsid w:val="72F825DD"/>
    <w:rsid w:val="73B75664"/>
    <w:rsid w:val="73FF2D65"/>
    <w:rsid w:val="755D72AA"/>
    <w:rsid w:val="75FD4485"/>
    <w:rsid w:val="75FF7A8F"/>
    <w:rsid w:val="764F58D5"/>
    <w:rsid w:val="76C77567"/>
    <w:rsid w:val="777CB3C0"/>
    <w:rsid w:val="77E89DF9"/>
    <w:rsid w:val="77F57086"/>
    <w:rsid w:val="797F1930"/>
    <w:rsid w:val="79EB3E1A"/>
    <w:rsid w:val="7A4566CC"/>
    <w:rsid w:val="7A657F89"/>
    <w:rsid w:val="7A9A06F6"/>
    <w:rsid w:val="7B7D2182"/>
    <w:rsid w:val="7BBF1984"/>
    <w:rsid w:val="7C3F7621"/>
    <w:rsid w:val="7CBF4B01"/>
    <w:rsid w:val="7DC56BF3"/>
    <w:rsid w:val="7DFEAAAE"/>
    <w:rsid w:val="7E90206A"/>
    <w:rsid w:val="7EEF684A"/>
    <w:rsid w:val="7F1C42C1"/>
    <w:rsid w:val="7F7D2F0F"/>
    <w:rsid w:val="7F9B617B"/>
    <w:rsid w:val="7FC2FE8C"/>
    <w:rsid w:val="7FC88181"/>
    <w:rsid w:val="7FDF2D4F"/>
    <w:rsid w:val="7FEF30A2"/>
    <w:rsid w:val="7FF2A747"/>
    <w:rsid w:val="A7BB7162"/>
    <w:rsid w:val="B3985889"/>
    <w:rsid w:val="BAF2AE2D"/>
    <w:rsid w:val="BBF74348"/>
    <w:rsid w:val="BDFF1E42"/>
    <w:rsid w:val="BF6FBE28"/>
    <w:rsid w:val="BFC5E723"/>
    <w:rsid w:val="BFDFA858"/>
    <w:rsid w:val="BFFFB699"/>
    <w:rsid w:val="C7FF60D7"/>
    <w:rsid w:val="D61BD953"/>
    <w:rsid w:val="DF786141"/>
    <w:rsid w:val="EE6EF9DF"/>
    <w:rsid w:val="EFE3D6F7"/>
    <w:rsid w:val="EFEF8604"/>
    <w:rsid w:val="EFFFE065"/>
    <w:rsid w:val="F2E69113"/>
    <w:rsid w:val="F67B928D"/>
    <w:rsid w:val="F76F0615"/>
    <w:rsid w:val="F797A55B"/>
    <w:rsid w:val="F813C57A"/>
    <w:rsid w:val="FAEEC93A"/>
    <w:rsid w:val="FB5B193D"/>
    <w:rsid w:val="FD696C10"/>
    <w:rsid w:val="FDFF2FC8"/>
    <w:rsid w:val="FEB2BFC0"/>
    <w:rsid w:val="FEFF530E"/>
    <w:rsid w:val="FFB4C3C4"/>
    <w:rsid w:val="FFBB9D5E"/>
    <w:rsid w:val="FFCEC3BA"/>
    <w:rsid w:val="FFD76893"/>
    <w:rsid w:val="FFE75791"/>
    <w:rsid w:val="FFEF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仿宋_GB2312"/>
      <w:sz w:val="28"/>
    </w:r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99"/>
    <w:rPr>
      <w:sz w:val="18"/>
      <w:szCs w:val="18"/>
    </w:rPr>
  </w:style>
  <w:style w:type="paragraph" w:styleId="10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1468</Words>
  <Characters>1558</Characters>
  <Lines>74</Lines>
  <Paragraphs>44</Paragraphs>
  <TotalTime>632</TotalTime>
  <ScaleCrop>false</ScaleCrop>
  <LinksUpToDate>false</LinksUpToDate>
  <CharactersWithSpaces>2982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2023-03-20T02:25:00Z</dcterms:created>
  <dc:creator>Administrator.USER-20181207PB</dc:creator>
  <cp:lastModifiedBy>a</cp:lastModifiedBy>
  <cp:lastPrinted>2025-04-09T11:39:15Z</cp:lastPrinted>
  <dcterms:modified xsi:type="dcterms:W3CDTF">2025-04-09T11:57:24Z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1A960D332FD944DA8110829CE9EE2AAF</vt:lpwstr>
  </property>
</Properties>
</file>