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eastAsia" w:ascii="Times New Roman" w:hAnsi="Times New Roman" w:eastAsia="方正小标宋简体"/>
          <w:color w:val="auto"/>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eastAsia" w:ascii="Times New Roman" w:hAnsi="Times New Roman" w:eastAsia="方正小标宋简体"/>
          <w:color w:val="auto"/>
          <w:sz w:val="44"/>
          <w:szCs w:val="44"/>
        </w:rPr>
      </w:pPr>
      <w:r>
        <w:rPr>
          <w:rFonts w:hint="eastAsia" w:ascii="Times New Roman" w:hAnsi="Times New Roman" w:eastAsia="方正小标宋简体"/>
          <w:color w:val="auto"/>
          <w:sz w:val="44"/>
          <w:szCs w:val="44"/>
          <w:lang w:val="en-US" w:eastAsia="zh-CN"/>
        </w:rPr>
        <w:t>《绍兴市人力资源和社会保障局 绍兴市财政局转发〈浙江省人力资源和社会保障厅 浙江省财政厅关于印发浙江省就业见习管理办法的通知〉的通知（征求意见稿）》的</w:t>
      </w:r>
      <w:r>
        <w:rPr>
          <w:rFonts w:hint="eastAsia" w:ascii="Times New Roman" w:hAnsi="Times New Roman" w:eastAsia="方正小标宋简体"/>
          <w:color w:val="auto"/>
          <w:sz w:val="44"/>
          <w:szCs w:val="44"/>
        </w:rPr>
        <w:t>起草</w:t>
      </w:r>
      <w:r>
        <w:rPr>
          <w:rFonts w:hint="eastAsia" w:ascii="Times New Roman" w:hAnsi="Times New Roman" w:eastAsia="方正小标宋简体"/>
          <w:color w:val="auto"/>
          <w:sz w:val="44"/>
          <w:szCs w:val="44"/>
          <w:lang w:val="en-US" w:eastAsia="zh-CN"/>
        </w:rPr>
        <w:t>情况</w:t>
      </w:r>
      <w:r>
        <w:rPr>
          <w:rFonts w:hint="eastAsia" w:ascii="Times New Roman" w:hAnsi="Times New Roman" w:eastAsia="方正小标宋简体"/>
          <w:color w:val="auto"/>
          <w:sz w:val="44"/>
          <w:szCs w:val="44"/>
        </w:rPr>
        <w:t>说明</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仿宋_GB2312" w:cs="Times New Roman"/>
          <w:color w:val="auto"/>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lang w:eastAsia="zh-CN"/>
        </w:rPr>
      </w:pPr>
      <w:r>
        <w:rPr>
          <w:rFonts w:hint="eastAsia" w:ascii="Times New Roman" w:hAnsi="Times New Roman" w:eastAsia="仿宋_GB2312" w:cs="仿宋_GB2312"/>
          <w:color w:val="auto"/>
          <w:sz w:val="32"/>
          <w:szCs w:val="32"/>
          <w:lang w:val="en-US" w:eastAsia="zh-CN"/>
        </w:rPr>
        <w:t>根据《浙江省人力资源和社会保障厅 浙江省财政厅关于印发浙江省就业见习管理办法的通知》，</w:t>
      </w:r>
      <w:r>
        <w:rPr>
          <w:rFonts w:hint="eastAsia" w:ascii="Times New Roman" w:hAnsi="Times New Roman" w:eastAsia="仿宋_GB2312" w:cs="Times New Roman"/>
          <w:color w:val="auto"/>
          <w:sz w:val="32"/>
          <w:szCs w:val="32"/>
          <w:lang w:val="en-US" w:eastAsia="zh-CN"/>
        </w:rPr>
        <w:t>市人力社保局起草了</w:t>
      </w:r>
      <w:r>
        <w:rPr>
          <w:rFonts w:hint="eastAsia" w:ascii="Times New Roman" w:hAnsi="Times New Roman" w:eastAsia="仿宋_GB2312" w:cs="仿宋_GB2312"/>
          <w:color w:val="auto"/>
          <w:sz w:val="32"/>
          <w:szCs w:val="32"/>
          <w:lang w:val="en-US" w:eastAsia="zh-CN"/>
        </w:rPr>
        <w:t>《绍兴市人力资源和社会保障局 绍兴市财政局关于转发&lt;浙江省人力资源和社会保障厅 浙江省财政厅关于印发浙江省就业见习管理办法的通知&gt;通知（征求意见稿）》</w:t>
      </w:r>
      <w:r>
        <w:rPr>
          <w:rFonts w:hint="eastAsia" w:ascii="Times New Roman" w:hAnsi="Times New Roman" w:eastAsia="仿宋_GB2312" w:cs="Times New Roman"/>
          <w:color w:val="auto"/>
          <w:sz w:val="32"/>
          <w:szCs w:val="32"/>
        </w:rPr>
        <w:t>（以下简称</w:t>
      </w:r>
      <w:r>
        <w:rPr>
          <w:rFonts w:hint="eastAsia" w:ascii="Times New Roman" w:hAnsi="Times New Roman" w:eastAsia="仿宋_GB2312" w:cs="Times New Roman"/>
          <w:color w:val="auto"/>
          <w:sz w:val="32"/>
          <w:szCs w:val="32"/>
          <w:lang w:eastAsia="zh-CN"/>
        </w:rPr>
        <w:t>《</w:t>
      </w:r>
      <w:r>
        <w:rPr>
          <w:rFonts w:hint="eastAsia" w:ascii="Times New Roman" w:hAnsi="Times New Roman" w:eastAsia="仿宋_GB2312" w:cs="Times New Roman"/>
          <w:color w:val="auto"/>
          <w:sz w:val="32"/>
          <w:szCs w:val="32"/>
          <w:lang w:val="en-US" w:eastAsia="zh-CN"/>
        </w:rPr>
        <w:t>通知</w:t>
      </w:r>
      <w:r>
        <w:rPr>
          <w:rFonts w:hint="eastAsia" w:ascii="Times New Roman" w:hAnsi="Times New Roman" w:eastAsia="仿宋_GB2312" w:cs="Times New Roman"/>
          <w:color w:val="auto"/>
          <w:sz w:val="32"/>
          <w:szCs w:val="32"/>
          <w:lang w:eastAsia="zh-CN"/>
        </w:rPr>
        <w:t>》</w:t>
      </w:r>
      <w:r>
        <w:rPr>
          <w:rFonts w:hint="eastAsia"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w:t>
      </w:r>
      <w:r>
        <w:rPr>
          <w:rFonts w:hint="eastAsia" w:ascii="Times New Roman" w:hAnsi="Times New Roman" w:eastAsia="仿宋_GB2312" w:cs="Times New Roman"/>
          <w:color w:val="auto"/>
          <w:sz w:val="32"/>
          <w:szCs w:val="32"/>
          <w:lang w:val="en-US" w:eastAsia="zh-CN"/>
        </w:rPr>
        <w:t>现说明如下：</w:t>
      </w:r>
    </w:p>
    <w:p>
      <w:pPr>
        <w:keepNext w:val="0"/>
        <w:keepLines w:val="0"/>
        <w:pageBreakBefore w:val="0"/>
        <w:widowControl w:val="0"/>
        <w:numPr>
          <w:ilvl w:val="0"/>
          <w:numId w:val="5"/>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黑体"/>
          <w:color w:val="auto"/>
          <w:sz w:val="32"/>
          <w:szCs w:val="32"/>
          <w:lang w:val="en-US" w:eastAsia="zh-CN"/>
        </w:rPr>
      </w:pPr>
      <w:r>
        <w:rPr>
          <w:rFonts w:hint="eastAsia" w:ascii="Times New Roman" w:hAnsi="Times New Roman" w:eastAsia="黑体"/>
          <w:color w:val="auto"/>
          <w:sz w:val="32"/>
          <w:szCs w:val="32"/>
          <w:lang w:val="en-US" w:eastAsia="zh-CN"/>
        </w:rPr>
        <w:t>起草背景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rPr>
      </w:pPr>
      <w:r>
        <w:rPr>
          <w:rFonts w:hint="eastAsia" w:ascii="Times New Roman" w:hAnsi="Times New Roman" w:eastAsia="仿宋_GB2312" w:cs="仿宋_GB2312"/>
          <w:b w:val="0"/>
          <w:bCs w:val="0"/>
          <w:color w:val="auto"/>
          <w:sz w:val="32"/>
          <w:szCs w:val="32"/>
          <w:highlight w:val="none"/>
          <w:lang w:val="en-US" w:eastAsia="zh-CN"/>
        </w:rPr>
        <w:t>2024年12月，浙江省人力资源和社会保障厅 浙江省财政厅印发《浙江省就业见习管理办法》，对全省就业见习单位认定、见习岗位、见习人员管理与保障、见习协议管理等内容进行了明确，并要求各地认真贯彻执行。同时，《管理办法》第三十四条明确了“设区市人力社保部门、财政部门可按照本办法对见习单位认定条件、年度评估内容及流程、见习对象范围、见习岗位比例、见习补贴标准等进行细化规定”。为进一步细化明确见习有关工作事项，</w:t>
      </w:r>
      <w:r>
        <w:rPr>
          <w:rFonts w:hint="eastAsia" w:ascii="Times New Roman" w:hAnsi="Times New Roman" w:eastAsia="仿宋_GB2312"/>
          <w:color w:val="000000"/>
          <w:sz w:val="32"/>
          <w:szCs w:val="32"/>
          <w:lang w:eastAsia="zh-CN"/>
        </w:rPr>
        <w:t>兼顾政策稳定性、可持续性和体系性，结合绍兴实际，</w:t>
      </w:r>
      <w:r>
        <w:rPr>
          <w:rFonts w:hint="eastAsia" w:ascii="Times New Roman" w:hAnsi="Times New Roman" w:eastAsia="仿宋_GB2312" w:cs="仿宋_GB2312"/>
          <w:b w:val="0"/>
          <w:bCs w:val="0"/>
          <w:color w:val="auto"/>
          <w:sz w:val="32"/>
          <w:szCs w:val="32"/>
          <w:highlight w:val="none"/>
          <w:lang w:val="en-US" w:eastAsia="zh-CN"/>
        </w:rPr>
        <w:t>我局会同财政部门牵头起草了本通知</w:t>
      </w:r>
      <w:r>
        <w:rPr>
          <w:rFonts w:hint="eastAsia" w:ascii="Times New Roman" w:hAnsi="Times New Roman" w:eastAsia="仿宋_GB2312" w:cs="Times New Roman"/>
          <w:color w:val="auto"/>
          <w:sz w:val="32"/>
          <w:szCs w:val="32"/>
        </w:rPr>
        <w:t>。</w:t>
      </w:r>
    </w:p>
    <w:p>
      <w:pPr>
        <w:keepNext w:val="0"/>
        <w:keepLines w:val="0"/>
        <w:pageBreakBefore w:val="0"/>
        <w:widowControl w:val="0"/>
        <w:numPr>
          <w:ilvl w:val="0"/>
          <w:numId w:val="5"/>
        </w:numPr>
        <w:kinsoku/>
        <w:wordWrap/>
        <w:overflowPunct/>
        <w:topLinePunct w:val="0"/>
        <w:autoSpaceDE/>
        <w:autoSpaceDN/>
        <w:bidi w:val="0"/>
        <w:adjustRightInd/>
        <w:snapToGrid/>
        <w:spacing w:line="560" w:lineRule="exact"/>
        <w:ind w:left="0" w:leftChars="0" w:firstLine="640" w:firstLineChars="200"/>
        <w:textAlignment w:val="auto"/>
        <w:rPr>
          <w:rFonts w:hint="eastAsia" w:ascii="Times New Roman" w:hAnsi="Times New Roman" w:eastAsia="黑体"/>
          <w:color w:val="auto"/>
          <w:sz w:val="32"/>
          <w:szCs w:val="32"/>
          <w:lang w:eastAsia="zh-CN"/>
        </w:rPr>
      </w:pPr>
      <w:r>
        <w:rPr>
          <w:rFonts w:hint="eastAsia" w:ascii="Times New Roman" w:hAnsi="Times New Roman" w:eastAsia="黑体"/>
          <w:color w:val="auto"/>
          <w:sz w:val="32"/>
          <w:szCs w:val="32"/>
          <w:lang w:val="en-US" w:eastAsia="zh-CN"/>
        </w:rPr>
        <w:t>制定</w:t>
      </w:r>
      <w:r>
        <w:rPr>
          <w:rFonts w:hint="eastAsia" w:ascii="Times New Roman" w:hAnsi="Times New Roman" w:eastAsia="黑体"/>
          <w:color w:val="auto"/>
          <w:sz w:val="32"/>
          <w:szCs w:val="32"/>
          <w:lang w:eastAsia="zh-CN"/>
        </w:rPr>
        <w:t>依据</w:t>
      </w:r>
    </w:p>
    <w:p>
      <w:pPr>
        <w:pStyle w:val="8"/>
        <w:numPr>
          <w:ilvl w:val="0"/>
          <w:numId w:val="0"/>
        </w:numPr>
        <w:ind w:firstLine="640" w:firstLineChars="200"/>
        <w:jc w:val="left"/>
        <w:rPr>
          <w:rFonts w:hint="eastAsia" w:ascii="Times New Roman" w:hAnsi="Times New Roman" w:eastAsia="仿宋_GB2312" w:cs="仿宋_GB2312"/>
          <w:color w:val="000000"/>
          <w:sz w:val="32"/>
          <w:szCs w:val="32"/>
          <w:lang w:val="en" w:eastAsia="zh-CN"/>
        </w:rPr>
      </w:pPr>
      <w:r>
        <w:rPr>
          <w:rFonts w:hint="eastAsia" w:ascii="Times New Roman" w:hAnsi="Times New Roman"/>
          <w:lang w:val="en-US" w:eastAsia="zh-CN"/>
        </w:rPr>
        <w:t>1.《</w:t>
      </w:r>
      <w:r>
        <w:rPr>
          <w:rFonts w:hint="eastAsia" w:ascii="Times New Roman" w:hAnsi="Times New Roman" w:eastAsia="仿宋_GB2312" w:cs="仿宋_GB2312"/>
          <w:b w:val="0"/>
          <w:bCs w:val="0"/>
          <w:color w:val="auto"/>
          <w:sz w:val="32"/>
          <w:szCs w:val="32"/>
          <w:highlight w:val="none"/>
          <w:lang w:val="en-US" w:eastAsia="zh-CN"/>
        </w:rPr>
        <w:t>浙江省人力资源和社会保障厅 浙江省财政厅关于印发</w:t>
      </w:r>
      <w:r>
        <w:rPr>
          <w:rFonts w:hint="default" w:ascii="Times New Roman" w:hAnsi="Times New Roman" w:eastAsia="仿宋_GB2312" w:cs="仿宋_GB2312"/>
          <w:b w:val="0"/>
          <w:bCs w:val="0"/>
          <w:color w:val="auto"/>
          <w:sz w:val="32"/>
          <w:szCs w:val="32"/>
          <w:highlight w:val="none"/>
          <w:lang w:val="en" w:eastAsia="zh-CN"/>
        </w:rPr>
        <w:t>&lt;</w:t>
      </w:r>
      <w:r>
        <w:rPr>
          <w:rFonts w:hint="eastAsia" w:ascii="Times New Roman" w:hAnsi="Times New Roman" w:eastAsia="仿宋_GB2312" w:cs="仿宋_GB2312"/>
          <w:b w:val="0"/>
          <w:bCs w:val="0"/>
          <w:color w:val="auto"/>
          <w:sz w:val="32"/>
          <w:szCs w:val="32"/>
          <w:highlight w:val="none"/>
          <w:lang w:val="en-US" w:eastAsia="zh-CN"/>
        </w:rPr>
        <w:t>浙江省就业见习管理办法</w:t>
      </w:r>
      <w:r>
        <w:rPr>
          <w:rFonts w:hint="default" w:ascii="Times New Roman" w:hAnsi="Times New Roman" w:eastAsia="仿宋_GB2312" w:cs="仿宋_GB2312"/>
          <w:b w:val="0"/>
          <w:bCs w:val="0"/>
          <w:color w:val="auto"/>
          <w:sz w:val="32"/>
          <w:szCs w:val="32"/>
          <w:highlight w:val="none"/>
          <w:lang w:val="en" w:eastAsia="zh-CN"/>
        </w:rPr>
        <w:t>&gt;</w:t>
      </w:r>
      <w:r>
        <w:rPr>
          <w:rFonts w:hint="eastAsia" w:ascii="Times New Roman" w:hAnsi="Times New Roman" w:eastAsia="仿宋_GB2312" w:cs="仿宋_GB2312"/>
          <w:b w:val="0"/>
          <w:bCs w:val="0"/>
          <w:color w:val="auto"/>
          <w:sz w:val="32"/>
          <w:szCs w:val="32"/>
          <w:highlight w:val="none"/>
          <w:lang w:val="en-US" w:eastAsia="zh-CN"/>
        </w:rPr>
        <w:t>的通知》（浙人社发</w:t>
      </w:r>
      <w:r>
        <w:rPr>
          <w:rFonts w:hint="eastAsia" w:ascii="Times New Roman" w:hAnsi="Times New Roman" w:eastAsia="仿宋_GB2312" w:cs="仿宋_GB2312"/>
          <w:color w:val="000000"/>
          <w:sz w:val="32"/>
          <w:szCs w:val="32"/>
        </w:rPr>
        <w:t>〔</w:t>
      </w:r>
      <w:r>
        <w:rPr>
          <w:rFonts w:hint="eastAsia" w:ascii="Times New Roman" w:hAnsi="Times New Roman" w:eastAsia="仿宋_GB2312" w:cs="仿宋_GB2312"/>
          <w:color w:val="000000"/>
          <w:sz w:val="32"/>
          <w:szCs w:val="32"/>
          <w:lang w:val="en-US" w:eastAsia="zh-CN"/>
        </w:rPr>
        <w:t>202</w:t>
      </w:r>
      <w:r>
        <w:rPr>
          <w:rFonts w:hint="default" w:ascii="Times New Roman" w:hAnsi="Times New Roman" w:eastAsia="仿宋_GB2312" w:cs="仿宋_GB2312"/>
          <w:color w:val="000000"/>
          <w:sz w:val="32"/>
          <w:szCs w:val="32"/>
          <w:lang w:val="en" w:eastAsia="zh-CN"/>
        </w:rPr>
        <w:t>4</w:t>
      </w:r>
      <w:r>
        <w:rPr>
          <w:rFonts w:hint="eastAsia" w:ascii="Times New Roman" w:hAnsi="Times New Roman" w:eastAsia="仿宋_GB2312" w:cs="仿宋_GB2312"/>
          <w:color w:val="000000"/>
          <w:sz w:val="32"/>
          <w:szCs w:val="32"/>
        </w:rPr>
        <w:t>〕</w:t>
      </w:r>
      <w:r>
        <w:rPr>
          <w:rFonts w:hint="default" w:ascii="Times New Roman" w:hAnsi="Times New Roman" w:eastAsia="仿宋_GB2312" w:cs="仿宋_GB2312"/>
          <w:color w:val="000000"/>
          <w:sz w:val="32"/>
          <w:szCs w:val="32"/>
          <w:lang w:val="en"/>
        </w:rPr>
        <w:t>77</w:t>
      </w:r>
      <w:r>
        <w:rPr>
          <w:rFonts w:hint="eastAsia" w:ascii="Times New Roman" w:hAnsi="Times New Roman" w:eastAsia="仿宋_GB2312" w:cs="仿宋_GB2312"/>
          <w:color w:val="000000"/>
          <w:sz w:val="32"/>
          <w:szCs w:val="32"/>
          <w:lang w:val="en" w:eastAsia="zh-CN"/>
        </w:rPr>
        <w:t>号）</w:t>
      </w:r>
    </w:p>
    <w:p>
      <w:pPr>
        <w:pStyle w:val="8"/>
        <w:numPr>
          <w:ilvl w:val="0"/>
          <w:numId w:val="0"/>
        </w:numPr>
        <w:ind w:firstLine="640" w:firstLineChars="200"/>
        <w:jc w:val="left"/>
        <w:rPr>
          <w:rFonts w:hint="eastAsia" w:ascii="Times New Roman" w:hAnsi="Times New Roman" w:eastAsia="仿宋_GB2312" w:cs="Times New Roman"/>
          <w:color w:val="auto"/>
          <w:sz w:val="32"/>
          <w:szCs w:val="32"/>
          <w:lang w:val="en-US" w:eastAsia="zh-CN"/>
        </w:rPr>
      </w:pPr>
      <w:r>
        <w:rPr>
          <w:rFonts w:hint="eastAsia" w:ascii="Times New Roman" w:hAnsi="Times New Roman" w:eastAsia="仿宋_GB2312" w:cs="仿宋_GB2312"/>
          <w:color w:val="000000"/>
          <w:sz w:val="32"/>
          <w:szCs w:val="32"/>
          <w:lang w:val="en-US" w:eastAsia="zh-CN"/>
        </w:rPr>
        <w:t>2.</w:t>
      </w:r>
      <w:r>
        <w:rPr>
          <w:rFonts w:hint="default" w:ascii="Times New Roman" w:hAnsi="Times New Roman" w:eastAsia="仿宋_GB2312" w:cs="Times New Roman"/>
          <w:color w:val="auto"/>
          <w:sz w:val="32"/>
          <w:szCs w:val="32"/>
          <w:lang w:val="en-US" w:eastAsia="zh-CN"/>
        </w:rPr>
        <w:t>绍兴市进一步完善绍兴市区大中专毕业生就业见习制度的通知》（绍市人社发〔2012〕57号）</w:t>
      </w:r>
    </w:p>
    <w:p>
      <w:pPr>
        <w:pStyle w:val="8"/>
        <w:numPr>
          <w:ilvl w:val="0"/>
          <w:numId w:val="0"/>
        </w:numPr>
        <w:ind w:firstLine="640" w:firstLineChars="200"/>
        <w:jc w:val="left"/>
        <w:rPr>
          <w:rFonts w:hint="default"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3.</w:t>
      </w:r>
      <w:r>
        <w:rPr>
          <w:rFonts w:hint="default" w:ascii="Times New Roman" w:hAnsi="Times New Roman" w:eastAsia="仿宋_GB2312" w:cs="Times New Roman"/>
          <w:color w:val="auto"/>
          <w:sz w:val="32"/>
          <w:szCs w:val="32"/>
          <w:lang w:val="en-US" w:eastAsia="zh-CN"/>
        </w:rPr>
        <w:t>《绍兴市人力资源和社会保障局办公室关于进一步做好高校毕业生等青年就业见习相关工作的通知》（绍市人社办发〔</w:t>
      </w:r>
      <w:r>
        <w:rPr>
          <w:rFonts w:hint="default" w:ascii="Times New Roman" w:hAnsi="Times New Roman" w:eastAsia="仿宋_GB2312" w:cs="Times New Roman"/>
          <w:color w:val="auto"/>
          <w:sz w:val="32"/>
          <w:szCs w:val="32"/>
          <w:lang w:val="en-US" w:eastAsia="zh"/>
        </w:rPr>
        <w:t>2023</w:t>
      </w:r>
      <w:r>
        <w:rPr>
          <w:rFonts w:hint="default" w:ascii="Times New Roman" w:hAnsi="Times New Roman" w:eastAsia="仿宋_GB2312" w:cs="Times New Roman"/>
          <w:color w:val="auto"/>
          <w:sz w:val="32"/>
          <w:szCs w:val="32"/>
          <w:lang w:val="en-US" w:eastAsia="zh-CN"/>
        </w:rPr>
        <w:t>〕19号）</w:t>
      </w:r>
    </w:p>
    <w:p>
      <w:pPr>
        <w:pStyle w:val="8"/>
        <w:numPr>
          <w:ilvl w:val="0"/>
          <w:numId w:val="0"/>
        </w:numPr>
        <w:ind w:firstLine="640" w:firstLineChars="200"/>
        <w:jc w:val="left"/>
        <w:rPr>
          <w:rFonts w:hint="default"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4.《绍兴市人力资源和社会保障局关于印发</w:t>
      </w:r>
      <w:r>
        <w:rPr>
          <w:rFonts w:hint="default" w:ascii="Times New Roman" w:hAnsi="Times New Roman" w:eastAsia="仿宋_GB2312" w:cs="Times New Roman"/>
          <w:color w:val="auto"/>
          <w:sz w:val="32"/>
          <w:szCs w:val="32"/>
          <w:lang w:val="en" w:eastAsia="zh-CN"/>
        </w:rPr>
        <w:t>&lt;2024</w:t>
      </w:r>
      <w:r>
        <w:rPr>
          <w:rFonts w:hint="eastAsia" w:ascii="Times New Roman" w:hAnsi="Times New Roman" w:eastAsia="仿宋_GB2312" w:cs="Times New Roman"/>
          <w:color w:val="auto"/>
          <w:sz w:val="32"/>
          <w:szCs w:val="32"/>
          <w:lang w:val="en" w:eastAsia="zh-CN"/>
        </w:rPr>
        <w:t>年绍兴市就业见习工作实施方案</w:t>
      </w:r>
      <w:r>
        <w:rPr>
          <w:rFonts w:hint="default" w:ascii="Times New Roman" w:hAnsi="Times New Roman" w:eastAsia="仿宋_GB2312" w:cs="Times New Roman"/>
          <w:color w:val="auto"/>
          <w:sz w:val="32"/>
          <w:szCs w:val="32"/>
          <w:lang w:val="en" w:eastAsia="zh-CN"/>
        </w:rPr>
        <w:t>&gt;</w:t>
      </w:r>
      <w:r>
        <w:rPr>
          <w:rFonts w:hint="eastAsia" w:ascii="Times New Roman" w:hAnsi="Times New Roman" w:eastAsia="仿宋_GB2312" w:cs="Times New Roman"/>
          <w:color w:val="auto"/>
          <w:sz w:val="32"/>
          <w:szCs w:val="32"/>
          <w:lang w:val="en" w:eastAsia="zh-CN"/>
        </w:rPr>
        <w:t>的通知》</w:t>
      </w:r>
      <w:r>
        <w:rPr>
          <w:rFonts w:hint="default" w:ascii="Times New Roman" w:hAnsi="Times New Roman" w:eastAsia="仿宋_GB2312" w:cs="Times New Roman"/>
          <w:color w:val="auto"/>
          <w:sz w:val="32"/>
          <w:szCs w:val="32"/>
          <w:lang w:val="en-US" w:eastAsia="zh-CN"/>
        </w:rPr>
        <w:t>（绍市人社发〔202</w:t>
      </w:r>
      <w:r>
        <w:rPr>
          <w:rFonts w:hint="eastAsia" w:ascii="Times New Roman" w:hAnsi="Times New Roman" w:eastAsia="仿宋_GB2312" w:cs="Times New Roman"/>
          <w:color w:val="auto"/>
          <w:sz w:val="32"/>
          <w:szCs w:val="32"/>
          <w:lang w:val="en-US" w:eastAsia="zh-CN"/>
        </w:rPr>
        <w:t>4</w:t>
      </w:r>
      <w:r>
        <w:rPr>
          <w:rFonts w:hint="default" w:ascii="Times New Roman" w:hAnsi="Times New Roman" w:eastAsia="仿宋_GB2312" w:cs="Times New Roman"/>
          <w:color w:val="auto"/>
          <w:sz w:val="32"/>
          <w:szCs w:val="32"/>
          <w:lang w:val="en-US" w:eastAsia="zh-CN"/>
        </w:rPr>
        <w:t>〕</w:t>
      </w:r>
      <w:r>
        <w:rPr>
          <w:rFonts w:hint="eastAsia" w:ascii="Times New Roman" w:hAnsi="Times New Roman" w:eastAsia="仿宋_GB2312" w:cs="Times New Roman"/>
          <w:color w:val="auto"/>
          <w:sz w:val="32"/>
          <w:szCs w:val="32"/>
          <w:lang w:val="en-US" w:eastAsia="zh-CN"/>
        </w:rPr>
        <w:t>12</w:t>
      </w:r>
      <w:r>
        <w:rPr>
          <w:rFonts w:hint="default" w:ascii="Times New Roman" w:hAnsi="Times New Roman" w:eastAsia="仿宋_GB2312" w:cs="Times New Roman"/>
          <w:color w:val="auto"/>
          <w:sz w:val="32"/>
          <w:szCs w:val="32"/>
          <w:lang w:val="en-US" w:eastAsia="zh-CN"/>
        </w:rPr>
        <w:t>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olor w:val="auto"/>
          <w:sz w:val="32"/>
          <w:szCs w:val="32"/>
          <w:lang w:val="en-US" w:eastAsia="zh-CN"/>
        </w:rPr>
      </w:pPr>
      <w:r>
        <w:rPr>
          <w:rFonts w:hint="eastAsia" w:ascii="Times New Roman" w:hAnsi="Times New Roman" w:eastAsia="黑体"/>
          <w:color w:val="auto"/>
          <w:sz w:val="32"/>
          <w:szCs w:val="32"/>
          <w:lang w:eastAsia="zh-CN"/>
        </w:rPr>
        <w:t>三、</w:t>
      </w:r>
      <w:r>
        <w:rPr>
          <w:rFonts w:hint="eastAsia" w:ascii="Times New Roman" w:hAnsi="Times New Roman" w:eastAsia="黑体"/>
          <w:color w:val="auto"/>
          <w:sz w:val="32"/>
          <w:szCs w:val="32"/>
          <w:lang w:val="en-US" w:eastAsia="zh-CN"/>
        </w:rPr>
        <w:t>主要内容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对见习对象范围、见习单位认定条件、年度评估流程、见习岗位比例、见习补贴标准等进行了细化明确。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kern w:val="2"/>
          <w:sz w:val="32"/>
          <w:szCs w:val="32"/>
          <w:lang w:val="en-US" w:eastAsia="zh-CN" w:bidi="ar-SA"/>
        </w:rPr>
      </w:pPr>
      <w:bookmarkStart w:id="0" w:name="_GoBack"/>
      <w:bookmarkEnd w:id="0"/>
    </w:p>
    <w:p>
      <w:pPr>
        <w:pStyle w:val="4"/>
        <w:ind w:left="0" w:leftChars="0" w:firstLine="0" w:firstLineChars="0"/>
        <w:jc w:val="center"/>
        <w:rPr>
          <w:rFonts w:hint="eastAsia" w:ascii="Times New Roman" w:hAnsi="Times New Roman" w:eastAsia="方正小标宋_GBK" w:cs="方正小标宋_GBK"/>
          <w:sz w:val="28"/>
          <w:szCs w:val="28"/>
          <w:lang w:val="en-US" w:eastAsia="zh-CN"/>
        </w:rPr>
      </w:pPr>
      <w:r>
        <w:rPr>
          <w:rFonts w:hint="eastAsia" w:ascii="Times New Roman" w:hAnsi="Times New Roman" w:eastAsia="方正小标宋_GBK" w:cs="方正小标宋_GBK"/>
          <w:sz w:val="28"/>
          <w:szCs w:val="28"/>
          <w:lang w:val="en-US" w:eastAsia="zh-CN"/>
        </w:rPr>
        <w:t>全市就业见习政策前后执行对照表</w:t>
      </w:r>
    </w:p>
    <w:tbl>
      <w:tblPr>
        <w:tblStyle w:val="14"/>
        <w:tblW w:w="9520" w:type="dxa"/>
        <w:tblInd w:w="-24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2850"/>
        <w:gridCol w:w="3355"/>
        <w:gridCol w:w="20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vAlign w:val="center"/>
          </w:tcPr>
          <w:p>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黑体" w:cs="黑体"/>
                <w:b w:val="0"/>
                <w:bCs w:val="0"/>
                <w:sz w:val="24"/>
                <w:szCs w:val="24"/>
                <w:vertAlign w:val="baseline"/>
                <w:lang w:val="en-US" w:eastAsia="zh-CN"/>
              </w:rPr>
            </w:pPr>
            <w:r>
              <w:rPr>
                <w:rFonts w:hint="eastAsia" w:ascii="Times New Roman" w:hAnsi="Times New Roman" w:eastAsia="黑体" w:cs="黑体"/>
                <w:b w:val="0"/>
                <w:bCs w:val="0"/>
                <w:sz w:val="24"/>
                <w:szCs w:val="24"/>
                <w:vertAlign w:val="baseline"/>
                <w:lang w:val="en-US" w:eastAsia="zh-CN"/>
              </w:rPr>
              <w:t>政策内容</w:t>
            </w:r>
          </w:p>
        </w:tc>
        <w:tc>
          <w:tcPr>
            <w:tcW w:w="2850" w:type="dxa"/>
            <w:vAlign w:val="center"/>
          </w:tcPr>
          <w:p>
            <w:pPr>
              <w:pStyle w:val="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黑体" w:cs="黑体"/>
                <w:b w:val="0"/>
                <w:bCs w:val="0"/>
                <w:sz w:val="24"/>
                <w:szCs w:val="24"/>
                <w:vertAlign w:val="baseline"/>
                <w:lang w:val="en-US" w:eastAsia="zh-CN"/>
              </w:rPr>
            </w:pPr>
            <w:r>
              <w:rPr>
                <w:rFonts w:hint="eastAsia" w:ascii="Times New Roman" w:hAnsi="Times New Roman" w:eastAsia="黑体" w:cs="黑体"/>
                <w:b w:val="0"/>
                <w:bCs w:val="0"/>
                <w:sz w:val="24"/>
                <w:szCs w:val="24"/>
                <w:vertAlign w:val="baseline"/>
                <w:lang w:val="en-US" w:eastAsia="zh-CN"/>
              </w:rPr>
              <w:t>绍兴原政策</w:t>
            </w:r>
          </w:p>
        </w:tc>
        <w:tc>
          <w:tcPr>
            <w:tcW w:w="3355" w:type="dxa"/>
            <w:vAlign w:val="center"/>
          </w:tcPr>
          <w:p>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黑体" w:cs="黑体"/>
                <w:b w:val="0"/>
                <w:bCs w:val="0"/>
                <w:sz w:val="24"/>
                <w:szCs w:val="24"/>
                <w:vertAlign w:val="baseline"/>
                <w:lang w:val="en-US" w:eastAsia="zh-CN"/>
              </w:rPr>
            </w:pPr>
            <w:r>
              <w:rPr>
                <w:rFonts w:hint="eastAsia" w:ascii="Times New Roman" w:hAnsi="Times New Roman" w:eastAsia="黑体" w:cs="黑体"/>
                <w:b w:val="0"/>
                <w:bCs w:val="0"/>
                <w:sz w:val="24"/>
                <w:szCs w:val="24"/>
                <w:vertAlign w:val="baseline"/>
                <w:lang w:val="en-US" w:eastAsia="zh-CN"/>
              </w:rPr>
              <w:t>绍兴拟调整后政策</w:t>
            </w:r>
          </w:p>
        </w:tc>
        <w:tc>
          <w:tcPr>
            <w:tcW w:w="2073" w:type="dxa"/>
            <w:vAlign w:val="center"/>
          </w:tcPr>
          <w:p>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黑体" w:cs="黑体"/>
                <w:b w:val="0"/>
                <w:bCs w:val="0"/>
                <w:sz w:val="24"/>
                <w:szCs w:val="24"/>
                <w:vertAlign w:val="baseline"/>
                <w:lang w:val="en-US" w:eastAsia="zh-CN"/>
              </w:rPr>
            </w:pPr>
            <w:r>
              <w:rPr>
                <w:rFonts w:hint="eastAsia" w:ascii="Times New Roman" w:hAnsi="Times New Roman" w:eastAsia="黑体" w:cs="黑体"/>
                <w:b w:val="0"/>
                <w:bCs w:val="0"/>
                <w:sz w:val="24"/>
                <w:szCs w:val="24"/>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5" w:hRule="atLeast"/>
        </w:trPr>
        <w:tc>
          <w:tcPr>
            <w:tcW w:w="1242" w:type="dxa"/>
            <w:vAlign w:val="center"/>
          </w:tcPr>
          <w:p>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仿宋_GB2312" w:cs="仿宋_GB2312"/>
                <w:sz w:val="24"/>
                <w:szCs w:val="24"/>
                <w:vertAlign w:val="baseline"/>
                <w:lang w:val="en-US" w:eastAsia="zh-CN"/>
              </w:rPr>
            </w:pPr>
            <w:r>
              <w:rPr>
                <w:rFonts w:hint="eastAsia" w:ascii="Times New Roman" w:hAnsi="Times New Roman" w:eastAsia="仿宋_GB2312" w:cs="仿宋_GB2312"/>
                <w:sz w:val="24"/>
                <w:szCs w:val="24"/>
                <w:vertAlign w:val="baseline"/>
                <w:lang w:val="en-US" w:eastAsia="zh-CN"/>
              </w:rPr>
              <w:t>见习对象范围</w:t>
            </w:r>
          </w:p>
        </w:tc>
        <w:tc>
          <w:tcPr>
            <w:tcW w:w="2850" w:type="dxa"/>
            <w:vAlign w:val="center"/>
          </w:tcPr>
          <w:p>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left"/>
              <w:textAlignment w:val="auto"/>
              <w:rPr>
                <w:rFonts w:hint="default" w:ascii="Times New Roman" w:hAnsi="Times New Roman" w:eastAsia="仿宋_GB2312" w:cs="仿宋_GB2312"/>
                <w:sz w:val="24"/>
                <w:szCs w:val="24"/>
                <w:vertAlign w:val="baseline"/>
                <w:lang w:val="en-US" w:eastAsia="zh-CN"/>
              </w:rPr>
            </w:pPr>
            <w:r>
              <w:rPr>
                <w:rFonts w:hint="eastAsia" w:ascii="Times New Roman" w:hAnsi="Times New Roman" w:eastAsia="仿宋_GB2312" w:cs="仿宋_GB2312"/>
                <w:kern w:val="2"/>
                <w:sz w:val="24"/>
                <w:szCs w:val="24"/>
                <w:vertAlign w:val="baseline"/>
                <w:lang w:val="en-US" w:eastAsia="zh-CN" w:bidi="ar-SA"/>
              </w:rPr>
              <w:t>2023年为</w:t>
            </w:r>
            <w:r>
              <w:rPr>
                <w:rFonts w:hint="default" w:ascii="Times New Roman" w:hAnsi="Times New Roman" w:eastAsia="仿宋_GB2312" w:cs="仿宋_GB2312"/>
                <w:kern w:val="2"/>
                <w:sz w:val="24"/>
                <w:szCs w:val="24"/>
                <w:vertAlign w:val="baseline"/>
                <w:lang w:val="en-US" w:eastAsia="zh-CN" w:bidi="ar-SA"/>
              </w:rPr>
              <w:t>离校</w:t>
            </w:r>
            <w:r>
              <w:rPr>
                <w:rFonts w:hint="eastAsia" w:ascii="Times New Roman" w:hAnsi="Times New Roman" w:eastAsia="仿宋_GB2312" w:cs="仿宋_GB2312"/>
                <w:kern w:val="2"/>
                <w:sz w:val="24"/>
                <w:szCs w:val="24"/>
                <w:vertAlign w:val="baseline"/>
                <w:lang w:val="en-US" w:eastAsia="zh-CN" w:bidi="ar-SA"/>
              </w:rPr>
              <w:t>两</w:t>
            </w:r>
            <w:r>
              <w:rPr>
                <w:rFonts w:hint="default" w:ascii="Times New Roman" w:hAnsi="Times New Roman" w:eastAsia="仿宋_GB2312" w:cs="仿宋_GB2312"/>
                <w:kern w:val="2"/>
                <w:sz w:val="24"/>
                <w:szCs w:val="24"/>
                <w:vertAlign w:val="baseline"/>
                <w:lang w:val="en-US" w:eastAsia="zh-CN" w:bidi="ar-SA"/>
              </w:rPr>
              <w:t>年内未就业高校毕业生，16 至 24 岁登记失业青年</w:t>
            </w:r>
            <w:r>
              <w:rPr>
                <w:rFonts w:hint="eastAsia" w:ascii="Times New Roman" w:hAnsi="Times New Roman" w:eastAsia="仿宋_GB2312" w:cs="仿宋_GB2312"/>
                <w:kern w:val="2"/>
                <w:sz w:val="24"/>
                <w:szCs w:val="24"/>
                <w:vertAlign w:val="baseline"/>
                <w:lang w:val="en-US" w:eastAsia="zh-CN" w:bidi="ar-SA"/>
              </w:rPr>
              <w:t>和毕业年度（学年）大学生（指离毕业时间不足6个月尚未落实工作单位的全日制普通高校学生），2024年为</w:t>
            </w:r>
            <w:r>
              <w:rPr>
                <w:rFonts w:hint="default" w:ascii="Times New Roman" w:hAnsi="Times New Roman" w:eastAsia="仿宋_GB2312" w:cs="仿宋_GB2312"/>
                <w:kern w:val="2"/>
                <w:sz w:val="24"/>
                <w:szCs w:val="24"/>
                <w:vertAlign w:val="baseline"/>
                <w:lang w:val="en-US" w:eastAsia="zh-CN" w:bidi="ar-SA"/>
              </w:rPr>
              <w:t>离校</w:t>
            </w:r>
            <w:r>
              <w:rPr>
                <w:rFonts w:hint="eastAsia" w:ascii="Times New Roman" w:hAnsi="Times New Roman" w:eastAsia="仿宋_GB2312" w:cs="仿宋_GB2312"/>
                <w:kern w:val="2"/>
                <w:sz w:val="24"/>
                <w:szCs w:val="24"/>
                <w:vertAlign w:val="baseline"/>
                <w:lang w:val="en-US" w:eastAsia="zh-CN" w:bidi="ar-SA"/>
              </w:rPr>
              <w:t>两</w:t>
            </w:r>
            <w:r>
              <w:rPr>
                <w:rFonts w:hint="default" w:ascii="Times New Roman" w:hAnsi="Times New Roman" w:eastAsia="仿宋_GB2312" w:cs="仿宋_GB2312"/>
                <w:kern w:val="2"/>
                <w:sz w:val="24"/>
                <w:szCs w:val="24"/>
                <w:vertAlign w:val="baseline"/>
                <w:lang w:val="en-US" w:eastAsia="zh-CN" w:bidi="ar-SA"/>
              </w:rPr>
              <w:t>年内未就业高校毕业生，16 至 24 岁登记失业青年</w:t>
            </w:r>
            <w:r>
              <w:rPr>
                <w:rFonts w:hint="eastAsia" w:ascii="Times New Roman" w:hAnsi="Times New Roman" w:eastAsia="仿宋_GB2312" w:cs="仿宋_GB2312"/>
                <w:kern w:val="2"/>
                <w:sz w:val="24"/>
                <w:szCs w:val="24"/>
                <w:vertAlign w:val="baseline"/>
                <w:lang w:val="en-US" w:eastAsia="zh-CN" w:bidi="ar-SA"/>
              </w:rPr>
              <w:t>和毕业学年大学生（指最后学年的9月1日到次年的8月31日）</w:t>
            </w:r>
          </w:p>
        </w:tc>
        <w:tc>
          <w:tcPr>
            <w:tcW w:w="3355" w:type="dxa"/>
            <w:vAlign w:val="center"/>
          </w:tcPr>
          <w:p>
            <w:pPr>
              <w:keepNext w:val="0"/>
              <w:keepLines w:val="0"/>
              <w:pageBreakBefore w:val="0"/>
              <w:widowControl w:val="0"/>
              <w:suppressLineNumbers w:val="0"/>
              <w:suppressAutoHyphens/>
              <w:kinsoku/>
              <w:wordWrap/>
              <w:overflowPunct/>
              <w:topLinePunct w:val="0"/>
              <w:autoSpaceDE/>
              <w:autoSpaceDN/>
              <w:bidi w:val="0"/>
              <w:adjustRightInd/>
              <w:snapToGrid/>
              <w:spacing w:before="0" w:beforeAutospacing="0" w:after="0" w:afterAutospacing="0" w:line="240" w:lineRule="auto"/>
              <w:ind w:left="0" w:right="0"/>
              <w:textAlignment w:val="auto"/>
              <w:rPr>
                <w:rFonts w:hint="default" w:ascii="Times New Roman" w:hAnsi="Times New Roman" w:eastAsia="仿宋_GB2312" w:cs="仿宋_GB2312"/>
                <w:kern w:val="2"/>
                <w:sz w:val="24"/>
                <w:szCs w:val="24"/>
                <w:vertAlign w:val="baseline"/>
                <w:lang w:val="en-US" w:eastAsia="zh-CN" w:bidi="ar-SA"/>
              </w:rPr>
            </w:pPr>
            <w:r>
              <w:rPr>
                <w:rFonts w:hint="default" w:ascii="Times New Roman" w:hAnsi="Times New Roman" w:eastAsia="仿宋_GB2312" w:cs="仿宋_GB2312"/>
                <w:kern w:val="2"/>
                <w:sz w:val="24"/>
                <w:szCs w:val="24"/>
                <w:vertAlign w:val="baseline"/>
                <w:lang w:val="en-US" w:eastAsia="zh-CN" w:bidi="ar-SA"/>
              </w:rPr>
              <w:t>离校 2 年内未就业高校毕业生，16 至 24 岁的登记失业青年</w:t>
            </w:r>
            <w:r>
              <w:rPr>
                <w:rFonts w:hint="eastAsia" w:ascii="Times New Roman" w:hAnsi="Times New Roman" w:eastAsia="仿宋_GB2312" w:cs="仿宋_GB2312"/>
                <w:kern w:val="2"/>
                <w:sz w:val="24"/>
                <w:szCs w:val="24"/>
                <w:vertAlign w:val="baseline"/>
                <w:lang w:val="en-US" w:eastAsia="zh-CN" w:bidi="ar-SA"/>
              </w:rPr>
              <w:t>，毕业学年大学生（指全日制普通高校专科以上、技工院校高级工班</w:t>
            </w:r>
            <w:r>
              <w:rPr>
                <w:rFonts w:hint="default" w:ascii="Times New Roman" w:hAnsi="Times New Roman" w:eastAsia="仿宋_GB2312" w:cs="仿宋_GB2312"/>
                <w:kern w:val="2"/>
                <w:sz w:val="24"/>
                <w:szCs w:val="24"/>
                <w:vertAlign w:val="baseline"/>
                <w:lang w:val="en-US" w:eastAsia="zh-CN" w:bidi="ar-SA"/>
              </w:rPr>
              <w:t>和技师班</w:t>
            </w:r>
            <w:r>
              <w:rPr>
                <w:rFonts w:hint="eastAsia" w:ascii="Times New Roman" w:hAnsi="Times New Roman" w:eastAsia="仿宋_GB2312" w:cs="仿宋_GB2312"/>
                <w:kern w:val="2"/>
                <w:sz w:val="24"/>
                <w:szCs w:val="24"/>
                <w:vertAlign w:val="baseline"/>
                <w:lang w:val="en-US" w:eastAsia="zh-CN" w:bidi="ar-SA"/>
              </w:rPr>
              <w:t>&lt;</w:t>
            </w:r>
            <w:r>
              <w:rPr>
                <w:rFonts w:hint="default" w:ascii="Times New Roman" w:hAnsi="Times New Roman" w:eastAsia="仿宋_GB2312" w:cs="仿宋_GB2312"/>
                <w:kern w:val="2"/>
                <w:sz w:val="24"/>
                <w:szCs w:val="24"/>
                <w:vertAlign w:val="baseline"/>
                <w:lang w:val="en-US" w:eastAsia="zh-CN" w:bidi="ar-SA"/>
              </w:rPr>
              <w:t>预备技师班</w:t>
            </w:r>
            <w:r>
              <w:rPr>
                <w:rFonts w:hint="eastAsia" w:ascii="Times New Roman" w:hAnsi="Times New Roman" w:eastAsia="仿宋_GB2312" w:cs="仿宋_GB2312"/>
                <w:kern w:val="2"/>
                <w:sz w:val="24"/>
                <w:szCs w:val="24"/>
                <w:vertAlign w:val="baseline"/>
                <w:lang w:val="en-US" w:eastAsia="zh-CN" w:bidi="ar-SA"/>
              </w:rPr>
              <w:t>&gt;</w:t>
            </w:r>
            <w:r>
              <w:rPr>
                <w:rFonts w:hint="default" w:ascii="Times New Roman" w:hAnsi="Times New Roman" w:eastAsia="仿宋_GB2312" w:cs="仿宋_GB2312"/>
                <w:kern w:val="2"/>
                <w:sz w:val="24"/>
                <w:szCs w:val="24"/>
                <w:vertAlign w:val="baseline"/>
                <w:lang w:val="en-US" w:eastAsia="zh-CN" w:bidi="ar-SA"/>
              </w:rPr>
              <w:t>、特殊教育院校职业教育类</w:t>
            </w:r>
            <w:r>
              <w:rPr>
                <w:rFonts w:hint="eastAsia" w:ascii="Times New Roman" w:hAnsi="Times New Roman" w:eastAsia="仿宋_GB2312" w:cs="仿宋_GB2312"/>
                <w:kern w:val="2"/>
                <w:sz w:val="24"/>
                <w:szCs w:val="24"/>
                <w:vertAlign w:val="baseline"/>
                <w:lang w:val="en-US" w:eastAsia="zh-CN" w:bidi="ar-SA"/>
              </w:rPr>
              <w:t>学生，</w:t>
            </w:r>
            <w:r>
              <w:rPr>
                <w:rFonts w:hint="default" w:ascii="Times New Roman" w:hAnsi="Times New Roman" w:eastAsia="仿宋_GB2312" w:cs="仿宋_GB2312"/>
                <w:kern w:val="2"/>
                <w:sz w:val="24"/>
                <w:szCs w:val="24"/>
                <w:vertAlign w:val="baseline"/>
                <w:lang w:val="en-US" w:eastAsia="zh-CN" w:bidi="ar-SA"/>
              </w:rPr>
              <w:t>最后学年的9月1日到次年的8月31日）。港澳台地区人员</w:t>
            </w:r>
            <w:r>
              <w:rPr>
                <w:rFonts w:hint="eastAsia" w:ascii="Times New Roman" w:hAnsi="Times New Roman" w:eastAsia="仿宋_GB2312" w:cs="仿宋_GB2312"/>
                <w:kern w:val="2"/>
                <w:sz w:val="24"/>
                <w:szCs w:val="24"/>
                <w:vertAlign w:val="baseline"/>
                <w:lang w:val="en-US" w:eastAsia="zh-CN" w:bidi="ar-SA"/>
              </w:rPr>
              <w:t>参照执行。</w:t>
            </w:r>
          </w:p>
        </w:tc>
        <w:tc>
          <w:tcPr>
            <w:tcW w:w="2073" w:type="dxa"/>
            <w:vAlign w:val="center"/>
          </w:tcPr>
          <w:p>
            <w:pPr>
              <w:keepNext w:val="0"/>
              <w:keepLines w:val="0"/>
              <w:pageBreakBefore w:val="0"/>
              <w:widowControl w:val="0"/>
              <w:suppressLineNumbers w:val="0"/>
              <w:suppressAutoHyphens/>
              <w:kinsoku/>
              <w:wordWrap/>
              <w:overflowPunct/>
              <w:topLinePunct w:val="0"/>
              <w:autoSpaceDE/>
              <w:autoSpaceDN/>
              <w:bidi w:val="0"/>
              <w:adjustRightInd/>
              <w:snapToGrid/>
              <w:spacing w:before="0" w:beforeAutospacing="0" w:after="0" w:afterAutospacing="0" w:line="240" w:lineRule="auto"/>
              <w:ind w:left="0" w:right="0"/>
              <w:textAlignment w:val="auto"/>
              <w:rPr>
                <w:rFonts w:hint="default" w:ascii="Times New Roman" w:hAnsi="Times New Roman" w:eastAsia="仿宋_GB2312" w:cs="仿宋_GB2312"/>
                <w:kern w:val="2"/>
                <w:sz w:val="24"/>
                <w:szCs w:val="24"/>
                <w:vertAlign w:val="baseline"/>
                <w:lang w:val="en-US" w:eastAsia="zh-CN" w:bidi="ar-SA"/>
              </w:rPr>
            </w:pPr>
            <w:r>
              <w:rPr>
                <w:rFonts w:hint="eastAsia" w:ascii="Times New Roman" w:hAnsi="Times New Roman" w:eastAsia="仿宋_GB2312" w:cs="仿宋_GB2312"/>
                <w:kern w:val="2"/>
                <w:sz w:val="24"/>
                <w:szCs w:val="24"/>
                <w:vertAlign w:val="baseline"/>
                <w:lang w:val="en-US" w:eastAsia="zh-CN" w:bidi="ar-SA"/>
              </w:rPr>
              <w:t>对象范围均在省级要求基础上扩大到毕业年度（学年）高校学生，予以明确，扩大类人员经费由地方财政另行安排，其他两类人员可从就业专项资金中列支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5" w:hRule="atLeast"/>
        </w:trPr>
        <w:tc>
          <w:tcPr>
            <w:tcW w:w="1242" w:type="dxa"/>
            <w:vAlign w:val="center"/>
          </w:tcPr>
          <w:p>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仿宋_GB2312" w:cs="仿宋_GB2312"/>
                <w:sz w:val="24"/>
                <w:szCs w:val="24"/>
                <w:vertAlign w:val="baseline"/>
                <w:lang w:val="en-US" w:eastAsia="zh-CN"/>
              </w:rPr>
            </w:pPr>
            <w:r>
              <w:rPr>
                <w:rFonts w:hint="eastAsia" w:ascii="Times New Roman" w:hAnsi="Times New Roman" w:eastAsia="仿宋_GB2312" w:cs="仿宋_GB2312"/>
                <w:sz w:val="24"/>
                <w:szCs w:val="24"/>
                <w:vertAlign w:val="baseline"/>
                <w:lang w:val="en-US" w:eastAsia="zh-CN"/>
              </w:rPr>
              <w:t>见习生活补贴</w:t>
            </w:r>
          </w:p>
        </w:tc>
        <w:tc>
          <w:tcPr>
            <w:tcW w:w="2850" w:type="dxa"/>
            <w:vAlign w:val="center"/>
          </w:tcPr>
          <w:p>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default" w:ascii="Times New Roman" w:hAnsi="Times New Roman" w:eastAsia="仿宋_GB2312" w:cs="仿宋_GB2312"/>
                <w:sz w:val="24"/>
                <w:szCs w:val="24"/>
                <w:vertAlign w:val="baseline"/>
                <w:lang w:val="en-US" w:eastAsia="zh-CN"/>
              </w:rPr>
            </w:pPr>
            <w:r>
              <w:rPr>
                <w:rFonts w:hint="eastAsia" w:ascii="Times New Roman" w:hAnsi="Times New Roman" w:eastAsia="仿宋_GB2312" w:cs="仿宋_GB2312"/>
                <w:sz w:val="24"/>
                <w:szCs w:val="24"/>
                <w:vertAlign w:val="baseline"/>
                <w:lang w:val="en-US" w:eastAsia="zh-CN"/>
              </w:rPr>
              <w:t>按照16-24岁失业青年、专科（高职）按照不低于最低工资标准的60%给予补贴，本科及以上按照不低于最低工资标准的80%给予补贴，对被评为国家级、省级见习示范基地或见习人员见习期满留用达50%以上的单位，可提高至80%</w:t>
            </w:r>
          </w:p>
        </w:tc>
        <w:tc>
          <w:tcPr>
            <w:tcW w:w="3355" w:type="dxa"/>
            <w:vAlign w:val="center"/>
          </w:tcPr>
          <w:p>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left"/>
              <w:textAlignment w:val="auto"/>
              <w:rPr>
                <w:rFonts w:hint="default" w:ascii="Times New Roman" w:hAnsi="Times New Roman" w:eastAsia="仿宋_GB2312" w:cs="仿宋_GB2312"/>
                <w:kern w:val="2"/>
                <w:sz w:val="24"/>
                <w:szCs w:val="24"/>
                <w:vertAlign w:val="baseline"/>
                <w:lang w:val="en-US" w:eastAsia="zh-CN" w:bidi="ar-SA"/>
              </w:rPr>
            </w:pPr>
            <w:r>
              <w:rPr>
                <w:rFonts w:hint="eastAsia" w:ascii="Times New Roman" w:hAnsi="Times New Roman" w:eastAsia="仿宋_GB2312" w:cs="仿宋_GB2312"/>
                <w:sz w:val="24"/>
                <w:szCs w:val="24"/>
                <w:vertAlign w:val="baseline"/>
                <w:lang w:val="en-US" w:eastAsia="zh-CN"/>
              </w:rPr>
              <w:t>按每人每月当地最低工资标准的70%确定，评估合格且留用率达到50%以上的见习单位，补贴标准可提高至80%。</w:t>
            </w:r>
          </w:p>
        </w:tc>
        <w:tc>
          <w:tcPr>
            <w:tcW w:w="2073" w:type="dxa"/>
            <w:vAlign w:val="center"/>
          </w:tcPr>
          <w:p>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left"/>
              <w:textAlignment w:val="auto"/>
              <w:rPr>
                <w:rFonts w:hint="default" w:ascii="Times New Roman" w:hAnsi="Times New Roman" w:eastAsia="仿宋_GB2312" w:cs="仿宋_GB2312"/>
                <w:kern w:val="2"/>
                <w:sz w:val="24"/>
                <w:szCs w:val="24"/>
                <w:vertAlign w:val="baseline"/>
                <w:lang w:val="en-US" w:eastAsia="zh-CN" w:bidi="ar-SA"/>
              </w:rPr>
            </w:pPr>
            <w:r>
              <w:rPr>
                <w:rFonts w:hint="eastAsia" w:ascii="Times New Roman" w:hAnsi="Times New Roman" w:eastAsia="仿宋_GB2312" w:cs="仿宋_GB2312"/>
                <w:kern w:val="2"/>
                <w:sz w:val="24"/>
                <w:szCs w:val="24"/>
                <w:vertAlign w:val="baseline"/>
                <w:lang w:val="en-US" w:eastAsia="zh-CN" w:bidi="ar-SA"/>
              </w:rPr>
              <w:t>大专（高职）1356</w:t>
            </w:r>
            <w:r>
              <w:rPr>
                <w:rFonts w:hint="eastAsia" w:ascii="Times New Roman" w:hAnsi="Times New Roman" w:eastAsia="仿宋_GB2312" w:cs="仿宋_GB2312"/>
                <w:kern w:val="2"/>
                <w:sz w:val="24"/>
                <w:szCs w:val="24"/>
                <w:vertAlign w:val="baseline"/>
                <w:lang w:val="en" w:eastAsia="zh-CN" w:bidi="ar-SA"/>
              </w:rPr>
              <w:t>元</w:t>
            </w:r>
            <w:r>
              <w:rPr>
                <w:rFonts w:hint="default" w:ascii="Times New Roman" w:hAnsi="Times New Roman" w:eastAsia="仿宋_GB2312" w:cs="仿宋_GB2312"/>
                <w:kern w:val="2"/>
                <w:sz w:val="24"/>
                <w:szCs w:val="24"/>
                <w:vertAlign w:val="baseline"/>
                <w:lang w:val="en" w:eastAsia="zh-CN" w:bidi="ar-SA"/>
              </w:rPr>
              <w:t>/</w:t>
            </w:r>
            <w:r>
              <w:rPr>
                <w:rFonts w:hint="eastAsia" w:ascii="Times New Roman" w:hAnsi="Times New Roman" w:eastAsia="仿宋_GB2312" w:cs="仿宋_GB2312"/>
                <w:kern w:val="2"/>
                <w:sz w:val="24"/>
                <w:szCs w:val="24"/>
                <w:vertAlign w:val="baseline"/>
                <w:lang w:val="en" w:eastAsia="zh-CN" w:bidi="ar-SA"/>
              </w:rPr>
              <w:t>月调整到</w:t>
            </w:r>
            <w:r>
              <w:rPr>
                <w:rFonts w:hint="eastAsia" w:ascii="Times New Roman" w:hAnsi="Times New Roman" w:eastAsia="仿宋_GB2312" w:cs="仿宋_GB2312"/>
                <w:kern w:val="2"/>
                <w:sz w:val="24"/>
                <w:szCs w:val="24"/>
                <w:vertAlign w:val="baseline"/>
                <w:lang w:val="en-US" w:eastAsia="zh-CN" w:bidi="ar-SA"/>
              </w:rPr>
              <w:t>1582元/月；本科及以上1808元</w:t>
            </w:r>
            <w:r>
              <w:rPr>
                <w:rFonts w:hint="default" w:ascii="Times New Roman" w:hAnsi="Times New Roman" w:eastAsia="仿宋_GB2312" w:cs="仿宋_GB2312"/>
                <w:kern w:val="2"/>
                <w:sz w:val="24"/>
                <w:szCs w:val="24"/>
                <w:vertAlign w:val="baseline"/>
                <w:lang w:val="en" w:eastAsia="zh-CN" w:bidi="ar-SA"/>
              </w:rPr>
              <w:t>/</w:t>
            </w:r>
            <w:r>
              <w:rPr>
                <w:rFonts w:hint="eastAsia" w:ascii="Times New Roman" w:hAnsi="Times New Roman" w:eastAsia="仿宋_GB2312" w:cs="仿宋_GB2312"/>
                <w:kern w:val="2"/>
                <w:sz w:val="24"/>
                <w:szCs w:val="24"/>
                <w:vertAlign w:val="baseline"/>
                <w:lang w:val="en" w:eastAsia="zh-CN" w:bidi="ar-SA"/>
              </w:rPr>
              <w:t>月降至</w:t>
            </w:r>
            <w:r>
              <w:rPr>
                <w:rFonts w:hint="eastAsia" w:ascii="Times New Roman" w:hAnsi="Times New Roman" w:eastAsia="仿宋_GB2312" w:cs="仿宋_GB2312"/>
                <w:kern w:val="2"/>
                <w:sz w:val="24"/>
                <w:szCs w:val="24"/>
                <w:vertAlign w:val="baseline"/>
                <w:lang w:val="en-US" w:eastAsia="zh-CN" w:bidi="ar-SA"/>
              </w:rPr>
              <w:t>1582元；体现层级，取消国家级、省级表述，对留用率50%以上给予奖励。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1242" w:type="dxa"/>
            <w:vAlign w:val="center"/>
          </w:tcPr>
          <w:p>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仿宋_GB2312" w:cs="仿宋_GB2312"/>
                <w:sz w:val="24"/>
                <w:szCs w:val="24"/>
                <w:vertAlign w:val="baseline"/>
                <w:lang w:val="en-US" w:eastAsia="zh-CN"/>
              </w:rPr>
            </w:pPr>
            <w:r>
              <w:rPr>
                <w:rFonts w:hint="eastAsia" w:ascii="Times New Roman" w:hAnsi="Times New Roman" w:eastAsia="仿宋_GB2312" w:cs="仿宋_GB2312"/>
                <w:sz w:val="24"/>
                <w:szCs w:val="24"/>
                <w:vertAlign w:val="baseline"/>
                <w:lang w:val="en-US" w:eastAsia="zh-CN"/>
              </w:rPr>
              <w:t>综合商业保险</w:t>
            </w:r>
          </w:p>
        </w:tc>
        <w:tc>
          <w:tcPr>
            <w:tcW w:w="2850" w:type="dxa"/>
            <w:vAlign w:val="center"/>
          </w:tcPr>
          <w:p>
            <w:pPr>
              <w:pStyle w:val="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仿宋_GB2312"/>
                <w:sz w:val="24"/>
                <w:szCs w:val="24"/>
                <w:vertAlign w:val="baseline"/>
                <w:lang w:val="en-US" w:eastAsia="zh-CN"/>
              </w:rPr>
            </w:pPr>
            <w:r>
              <w:rPr>
                <w:rFonts w:hint="eastAsia" w:ascii="Times New Roman" w:hAnsi="Times New Roman" w:eastAsia="仿宋_GB2312" w:cs="仿宋_GB2312"/>
                <w:sz w:val="24"/>
                <w:szCs w:val="24"/>
                <w:vertAlign w:val="baseline"/>
                <w:lang w:val="en-US" w:eastAsia="zh-CN"/>
              </w:rPr>
              <w:t>按每人50元标准</w:t>
            </w:r>
          </w:p>
        </w:tc>
        <w:tc>
          <w:tcPr>
            <w:tcW w:w="3355" w:type="dxa"/>
            <w:vAlign w:val="center"/>
          </w:tcPr>
          <w:p>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left"/>
              <w:textAlignment w:val="auto"/>
              <w:rPr>
                <w:rFonts w:hint="default" w:ascii="Times New Roman" w:hAnsi="Times New Roman" w:eastAsia="仿宋_GB2312" w:cs="仿宋_GB2312"/>
                <w:sz w:val="24"/>
                <w:szCs w:val="24"/>
                <w:vertAlign w:val="baseline"/>
                <w:lang w:val="en-US" w:eastAsia="zh-CN"/>
              </w:rPr>
            </w:pPr>
            <w:r>
              <w:rPr>
                <w:rFonts w:hint="eastAsia" w:ascii="Times New Roman" w:hAnsi="Times New Roman" w:eastAsia="仿宋_GB2312" w:cs="仿宋_GB2312"/>
                <w:sz w:val="24"/>
                <w:szCs w:val="24"/>
                <w:vertAlign w:val="baseline"/>
                <w:lang w:val="en-US" w:eastAsia="zh-CN"/>
              </w:rPr>
              <w:t>按每人50元标准给予补贴，由政府统一购买综合商业保险的，不再给予补贴</w:t>
            </w:r>
          </w:p>
        </w:tc>
        <w:tc>
          <w:tcPr>
            <w:tcW w:w="2073" w:type="dxa"/>
            <w:vAlign w:val="center"/>
          </w:tcPr>
          <w:p>
            <w:pPr>
              <w:pStyle w:val="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仿宋_GB2312"/>
                <w:sz w:val="24"/>
                <w:szCs w:val="24"/>
                <w:vertAlign w:val="baseline"/>
                <w:lang w:val="en-US" w:eastAsia="zh-CN"/>
              </w:rPr>
            </w:pPr>
            <w:r>
              <w:rPr>
                <w:rFonts w:hint="eastAsia" w:ascii="Times New Roman" w:hAnsi="Times New Roman" w:eastAsia="仿宋_GB2312" w:cs="仿宋_GB2312"/>
                <w:sz w:val="24"/>
                <w:szCs w:val="24"/>
                <w:vertAlign w:val="baseline"/>
                <w:lang w:val="en-US" w:eastAsia="zh-CN"/>
              </w:rPr>
              <w:t>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trPr>
        <w:tc>
          <w:tcPr>
            <w:tcW w:w="1242" w:type="dxa"/>
            <w:vAlign w:val="center"/>
          </w:tcPr>
          <w:p>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仿宋_GB2312" w:cs="仿宋_GB2312"/>
                <w:sz w:val="24"/>
                <w:szCs w:val="24"/>
                <w:vertAlign w:val="baseline"/>
                <w:lang w:val="en-US" w:eastAsia="zh-CN"/>
              </w:rPr>
            </w:pPr>
            <w:r>
              <w:rPr>
                <w:rFonts w:hint="eastAsia" w:ascii="Times New Roman" w:hAnsi="Times New Roman" w:eastAsia="仿宋_GB2312" w:cs="仿宋_GB2312"/>
                <w:sz w:val="24"/>
                <w:szCs w:val="24"/>
                <w:vertAlign w:val="baseline"/>
                <w:lang w:val="en-US" w:eastAsia="zh-CN"/>
              </w:rPr>
              <w:t>单工伤保险</w:t>
            </w:r>
          </w:p>
        </w:tc>
        <w:tc>
          <w:tcPr>
            <w:tcW w:w="2850" w:type="dxa"/>
            <w:vAlign w:val="center"/>
          </w:tcPr>
          <w:p>
            <w:pPr>
              <w:pStyle w:val="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仿宋_GB2312"/>
                <w:sz w:val="24"/>
                <w:szCs w:val="24"/>
                <w:vertAlign w:val="baseline"/>
                <w:lang w:val="en-US" w:eastAsia="zh-CN"/>
              </w:rPr>
            </w:pPr>
            <w:r>
              <w:rPr>
                <w:rFonts w:hint="eastAsia" w:ascii="Times New Roman" w:hAnsi="Times New Roman" w:eastAsia="仿宋_GB2312" w:cs="仿宋_GB2312"/>
                <w:sz w:val="24"/>
                <w:szCs w:val="24"/>
                <w:vertAlign w:val="baseline"/>
                <w:lang w:val="en-US" w:eastAsia="zh-CN"/>
              </w:rPr>
              <w:t>无</w:t>
            </w:r>
          </w:p>
        </w:tc>
        <w:tc>
          <w:tcPr>
            <w:tcW w:w="3355" w:type="dxa"/>
            <w:vAlign w:val="center"/>
          </w:tcPr>
          <w:p>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left"/>
              <w:textAlignment w:val="auto"/>
              <w:rPr>
                <w:rFonts w:hint="default" w:ascii="Times New Roman" w:hAnsi="Times New Roman" w:eastAsia="仿宋_GB2312" w:cs="仿宋_GB2312"/>
                <w:sz w:val="24"/>
                <w:szCs w:val="24"/>
                <w:vertAlign w:val="baseline"/>
                <w:lang w:val="en-US" w:eastAsia="zh-CN"/>
              </w:rPr>
            </w:pPr>
            <w:r>
              <w:rPr>
                <w:rFonts w:hint="eastAsia" w:ascii="Times New Roman" w:hAnsi="Times New Roman" w:eastAsia="仿宋_GB2312" w:cs="仿宋_GB2312"/>
                <w:sz w:val="24"/>
                <w:szCs w:val="24"/>
                <w:vertAlign w:val="baseline"/>
                <w:lang w:val="en-US" w:eastAsia="zh-CN"/>
              </w:rPr>
              <w:t>见习单位为见习人员缴纳工伤保险的，补贴标准按实际缴纳的工伤保险费确定</w:t>
            </w:r>
          </w:p>
        </w:tc>
        <w:tc>
          <w:tcPr>
            <w:tcW w:w="2073" w:type="dxa"/>
            <w:vAlign w:val="center"/>
          </w:tcPr>
          <w:p>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仿宋_GB2312" w:cs="仿宋_GB2312"/>
                <w:sz w:val="24"/>
                <w:szCs w:val="24"/>
                <w:vertAlign w:val="baseline"/>
                <w:lang w:val="en-US" w:eastAsia="zh-CN"/>
              </w:rPr>
            </w:pPr>
            <w:r>
              <w:rPr>
                <w:rFonts w:hint="eastAsia" w:ascii="Times New Roman" w:hAnsi="Times New Roman" w:eastAsia="仿宋_GB2312" w:cs="仿宋_GB2312"/>
                <w:sz w:val="24"/>
                <w:szCs w:val="24"/>
                <w:vertAlign w:val="baseline"/>
                <w:lang w:val="en-US" w:eastAsia="zh-CN"/>
              </w:rPr>
              <w:t>新增，按单位实际缴纳部分给予补贴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vAlign w:val="center"/>
          </w:tcPr>
          <w:p>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仿宋_GB2312" w:cs="仿宋_GB2312"/>
                <w:sz w:val="24"/>
                <w:szCs w:val="24"/>
                <w:vertAlign w:val="baseline"/>
                <w:lang w:val="en-US" w:eastAsia="zh-CN"/>
              </w:rPr>
            </w:pPr>
            <w:r>
              <w:rPr>
                <w:rFonts w:hint="eastAsia" w:ascii="Times New Roman" w:hAnsi="Times New Roman" w:eastAsia="仿宋_GB2312" w:cs="仿宋_GB2312"/>
                <w:sz w:val="24"/>
                <w:szCs w:val="24"/>
                <w:vertAlign w:val="baseline"/>
                <w:lang w:val="en-US" w:eastAsia="zh-CN"/>
              </w:rPr>
              <w:t>见习指导管理费</w:t>
            </w:r>
          </w:p>
        </w:tc>
        <w:tc>
          <w:tcPr>
            <w:tcW w:w="2850" w:type="dxa"/>
            <w:vAlign w:val="center"/>
          </w:tcPr>
          <w:p>
            <w:pPr>
              <w:pStyle w:val="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仿宋_GB2312"/>
                <w:sz w:val="24"/>
                <w:szCs w:val="24"/>
                <w:vertAlign w:val="baseline"/>
                <w:lang w:val="en-US" w:eastAsia="zh-CN"/>
              </w:rPr>
            </w:pPr>
            <w:r>
              <w:rPr>
                <w:rFonts w:hint="eastAsia" w:ascii="Times New Roman" w:hAnsi="Times New Roman" w:eastAsia="仿宋_GB2312" w:cs="仿宋_GB2312"/>
                <w:sz w:val="24"/>
                <w:szCs w:val="24"/>
                <w:vertAlign w:val="baseline"/>
                <w:lang w:val="en-US" w:eastAsia="zh-CN"/>
              </w:rPr>
              <w:t>无</w:t>
            </w:r>
          </w:p>
        </w:tc>
        <w:tc>
          <w:tcPr>
            <w:tcW w:w="3355"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default" w:ascii="Times New Roman" w:hAnsi="Times New Roman" w:eastAsia="仿宋_GB2312" w:cs="仿宋_GB2312"/>
                <w:sz w:val="24"/>
                <w:szCs w:val="24"/>
                <w:vertAlign w:val="baseline"/>
                <w:lang w:val="en-US" w:eastAsia="zh-CN"/>
              </w:rPr>
            </w:pPr>
            <w:r>
              <w:rPr>
                <w:rFonts w:hint="eastAsia" w:ascii="Times New Roman" w:hAnsi="Times New Roman" w:eastAsia="仿宋_GB2312" w:cs="仿宋_GB2312"/>
                <w:kern w:val="2"/>
                <w:sz w:val="24"/>
                <w:szCs w:val="24"/>
                <w:vertAlign w:val="baseline"/>
                <w:lang w:val="en-US" w:eastAsia="zh-CN" w:bidi="ar-SA"/>
              </w:rPr>
              <w:t>对非事业单位性质的见习单位，按符合条件的见习人员数给予指导管理费补贴，补贴标准为200元/人·月。带教老师与见习人员的比例原则上不超过1:5。补贴期限按见习期确定，每人最长不超过12个月。实际见习期按月核定， 不足一个自然月的部分，按实际见习天数给予补贴。</w:t>
            </w:r>
          </w:p>
        </w:tc>
        <w:tc>
          <w:tcPr>
            <w:tcW w:w="2073" w:type="dxa"/>
            <w:vAlign w:val="center"/>
          </w:tcPr>
          <w:p>
            <w:pPr>
              <w:pStyle w:val="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仿宋_GB2312"/>
                <w:sz w:val="24"/>
                <w:szCs w:val="24"/>
                <w:vertAlign w:val="baseline"/>
                <w:lang w:val="en-US" w:eastAsia="zh-CN"/>
              </w:rPr>
            </w:pPr>
            <w:r>
              <w:rPr>
                <w:rFonts w:hint="eastAsia" w:ascii="Times New Roman" w:hAnsi="Times New Roman" w:eastAsia="仿宋_GB2312" w:cs="仿宋_GB2312"/>
                <w:sz w:val="24"/>
                <w:szCs w:val="24"/>
                <w:vertAlign w:val="baseline"/>
                <w:lang w:val="en-US" w:eastAsia="zh-CN"/>
              </w:rPr>
              <w:t>新增</w:t>
            </w:r>
          </w:p>
        </w:tc>
      </w:tr>
    </w:tbl>
    <w:p>
      <w:pPr>
        <w:pStyle w:val="4"/>
        <w:rPr>
          <w:rFonts w:hint="default" w:ascii="Times New Roman" w:hAnsi="Times New Roman" w:eastAsia="仿宋_GB2312" w:cs="仿宋_GB2312"/>
          <w:sz w:val="21"/>
          <w:szCs w:val="21"/>
          <w:lang w:val="en-US" w:eastAsia="zh-CN"/>
        </w:rPr>
      </w:pPr>
    </w:p>
    <w:p>
      <w:pPr>
        <w:pStyle w:val="4"/>
        <w:rPr>
          <w:rFonts w:hint="eastAsia" w:ascii="Times New Roman" w:hAnsi="Times New Roman" w:eastAsia="仿宋_GB2312" w:cs="仿宋_GB2312"/>
          <w:sz w:val="21"/>
          <w:szCs w:val="21"/>
          <w:lang w:val="en-US" w:eastAsia="zh-CN"/>
        </w:rPr>
      </w:pPr>
    </w:p>
    <w:p>
      <w:pPr>
        <w:pStyle w:val="4"/>
        <w:rPr>
          <w:rFonts w:hint="eastAsia" w:ascii="Times New Roman" w:hAnsi="Times New Roman" w:eastAsia="仿宋_GB2312" w:cs="仿宋_GB2312"/>
          <w:sz w:val="21"/>
          <w:szCs w:val="21"/>
          <w:lang w:val="en-US" w:eastAsia="zh-CN"/>
        </w:rPr>
      </w:pPr>
    </w:p>
    <w:p>
      <w:pPr>
        <w:pStyle w:val="4"/>
        <w:rPr>
          <w:rFonts w:hint="default" w:ascii="Times New Roman" w:hAnsi="Times New Roman" w:eastAsia="仿宋_GB2312" w:cs="仿宋_GB2312"/>
          <w:sz w:val="21"/>
          <w:szCs w:val="21"/>
          <w:lang w:val="en-US" w:eastAsia="zh-CN"/>
        </w:rPr>
      </w:pPr>
    </w:p>
    <w:sectPr>
      <w:footerReference r:id="rId3" w:type="default"/>
      <w:pgSz w:w="11906" w:h="16838"/>
      <w:pgMar w:top="1871" w:right="1361" w:bottom="1757" w:left="1361" w:header="851" w:footer="992" w:gutter="0"/>
      <w:pgBorders>
        <w:top w:val="none" w:sz="0" w:space="0"/>
        <w:left w:val="none" w:sz="0" w:space="0"/>
        <w:bottom w:val="none" w:sz="0" w:space="0"/>
        <w:right w:val="none" w:sz="0" w:space="0"/>
      </w:pgBorders>
      <w:cols w:space="0" w:num="1"/>
      <w:rtlGutter w:val="0"/>
      <w:docGrid w:type="lines" w:linePitch="44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方正小标宋_GBK">
    <w:altName w:val="微软雅黑"/>
    <w:panose1 w:val="02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7"/>
                            <w:rPr>
                              <w:rFonts w:ascii="宋体" w:hAnsi="宋体" w:eastAsia="宋体" w:cs="宋体"/>
                              <w:sz w:val="28"/>
                              <w:szCs w:val="28"/>
                            </w:rPr>
                          </w:pPr>
                          <w:r>
                            <w:rPr>
                              <w:rFonts w:hint="eastAsia" w:ascii="宋体" w:hAnsi="宋体" w:eastAsia="宋体" w:cs="宋体"/>
                              <w:sz w:val="28"/>
                              <w:szCs w:val="28"/>
                            </w:rPr>
                            <w:t>—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25</w:t>
                          </w:r>
                          <w:r>
                            <w:rPr>
                              <w:rFonts w:hint="eastAsia" w:ascii="宋体" w:hAnsi="宋体" w:eastAsia="宋体" w:cs="宋体"/>
                              <w:sz w:val="28"/>
                              <w:szCs w:val="28"/>
                            </w:rPr>
                            <w:fldChar w:fldCharType="end"/>
                          </w:r>
                          <w:r>
                            <w:rPr>
                              <w:rFonts w:hint="eastAsia" w:ascii="宋体" w:hAnsi="宋体" w:eastAsia="宋体" w:cs="宋体"/>
                              <w:sz w:val="28"/>
                              <w:szCs w:val="28"/>
                            </w:rPr>
                            <w:t>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文本框 1"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RluSI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J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BGW5IjgCAABvBAAADgAAAAAAAAABACAAAAAfAQAAZHJzL2Uyb0RvYy54&#10;bWxQSwUGAAAAAAYABgBZAQAAyQUAAAAA&#10;">
              <v:fill on="f" focussize="0,0"/>
              <v:stroke on="f" weight="0.5pt"/>
              <v:imagedata o:title=""/>
              <o:lock v:ext="edit" aspectratio="f"/>
              <v:textbox inset="0mm,0mm,0mm,0mm" style="mso-fit-shape-to-text:t;">
                <w:txbxContent>
                  <w:p>
                    <w:pPr>
                      <w:pStyle w:val="7"/>
                      <w:rPr>
                        <w:rFonts w:ascii="宋体" w:hAnsi="宋体" w:eastAsia="宋体" w:cs="宋体"/>
                        <w:sz w:val="28"/>
                        <w:szCs w:val="28"/>
                      </w:rPr>
                    </w:pPr>
                    <w:r>
                      <w:rPr>
                        <w:rFonts w:hint="eastAsia" w:ascii="宋体" w:hAnsi="宋体" w:eastAsia="宋体" w:cs="宋体"/>
                        <w:sz w:val="28"/>
                        <w:szCs w:val="28"/>
                      </w:rPr>
                      <w:t>—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25</w:t>
                    </w:r>
                    <w:r>
                      <w:rPr>
                        <w:rFonts w:hint="eastAsia" w:ascii="宋体" w:hAnsi="宋体" w:eastAsia="宋体" w:cs="宋体"/>
                        <w:sz w:val="28"/>
                        <w:szCs w:val="28"/>
                      </w:rPr>
                      <w:fldChar w:fldCharType="end"/>
                    </w:r>
                    <w:r>
                      <w:rPr>
                        <w:rFonts w:hint="eastAsia" w:ascii="宋体" w:hAnsi="宋体" w:eastAsia="宋体" w:cs="宋体"/>
                        <w:sz w:val="28"/>
                        <w:szCs w:val="28"/>
                      </w:rPr>
                      <w:t>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E8F5EE0"/>
    <w:multiLevelType w:val="singleLevel"/>
    <w:tmpl w:val="CE8F5EE0"/>
    <w:lvl w:ilvl="0" w:tentative="0">
      <w:start w:val="1"/>
      <w:numFmt w:val="decimal"/>
      <w:pStyle w:val="20"/>
      <w:suff w:val="nothing"/>
      <w:lvlText w:val="（%1）"/>
      <w:lvlJc w:val="left"/>
      <w:pPr>
        <w:tabs>
          <w:tab w:val="left" w:pos="0"/>
        </w:tabs>
        <w:ind w:left="0" w:firstLine="0"/>
      </w:pPr>
      <w:rPr>
        <w:rFonts w:hint="default"/>
      </w:rPr>
    </w:lvl>
  </w:abstractNum>
  <w:abstractNum w:abstractNumId="1">
    <w:nsid w:val="CFFA6DAB"/>
    <w:multiLevelType w:val="singleLevel"/>
    <w:tmpl w:val="CFFA6DAB"/>
    <w:lvl w:ilvl="0" w:tentative="0">
      <w:start w:val="1"/>
      <w:numFmt w:val="chineseCounting"/>
      <w:suff w:val="nothing"/>
      <w:lvlText w:val="%1、"/>
      <w:lvlJc w:val="left"/>
      <w:rPr>
        <w:rFonts w:hint="eastAsia"/>
      </w:rPr>
    </w:lvl>
  </w:abstractNum>
  <w:abstractNum w:abstractNumId="2">
    <w:nsid w:val="D3EC2D1A"/>
    <w:multiLevelType w:val="singleLevel"/>
    <w:tmpl w:val="D3EC2D1A"/>
    <w:lvl w:ilvl="0" w:tentative="0">
      <w:start w:val="1"/>
      <w:numFmt w:val="chineseCounting"/>
      <w:pStyle w:val="17"/>
      <w:suff w:val="nothing"/>
      <w:lvlText w:val="%1、"/>
      <w:lvlJc w:val="left"/>
      <w:pPr>
        <w:ind w:left="0" w:firstLine="420"/>
      </w:pPr>
      <w:rPr>
        <w:rFonts w:hint="eastAsia"/>
      </w:rPr>
    </w:lvl>
  </w:abstractNum>
  <w:abstractNum w:abstractNumId="3">
    <w:nsid w:val="FDA5E7FE"/>
    <w:multiLevelType w:val="singleLevel"/>
    <w:tmpl w:val="FDA5E7FE"/>
    <w:lvl w:ilvl="0" w:tentative="0">
      <w:start w:val="1"/>
      <w:numFmt w:val="decimal"/>
      <w:pStyle w:val="19"/>
      <w:suff w:val="nothing"/>
      <w:lvlText w:val="%1．"/>
      <w:lvlJc w:val="left"/>
      <w:pPr>
        <w:tabs>
          <w:tab w:val="left" w:pos="0"/>
        </w:tabs>
        <w:ind w:left="0" w:firstLine="0"/>
      </w:pPr>
      <w:rPr>
        <w:rFonts w:hint="default"/>
      </w:rPr>
    </w:lvl>
  </w:abstractNum>
  <w:abstractNum w:abstractNumId="4">
    <w:nsid w:val="FFFB49CB"/>
    <w:multiLevelType w:val="singleLevel"/>
    <w:tmpl w:val="FFFB49CB"/>
    <w:lvl w:ilvl="0" w:tentative="0">
      <w:start w:val="1"/>
      <w:numFmt w:val="chineseCounting"/>
      <w:pStyle w:val="18"/>
      <w:suff w:val="nothing"/>
      <w:lvlText w:val="（%1）"/>
      <w:lvlJc w:val="left"/>
      <w:pPr>
        <w:ind w:left="0" w:firstLine="420"/>
      </w:pPr>
      <w:rPr>
        <w:rFonts w:hint="eastAsia"/>
      </w:rPr>
    </w:lvl>
  </w:abstractNum>
  <w:num w:numId="1">
    <w:abstractNumId w:val="2"/>
  </w:num>
  <w:num w:numId="2">
    <w:abstractNumId w:val="4"/>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HorizontalSpacing w:val="158"/>
  <w:drawingGridVerticalSpacing w:val="221"/>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36055"/>
    <w:rsid w:val="000D5299"/>
    <w:rsid w:val="00147BF7"/>
    <w:rsid w:val="001A0197"/>
    <w:rsid w:val="001F3DF2"/>
    <w:rsid w:val="0022031A"/>
    <w:rsid w:val="002B3B9A"/>
    <w:rsid w:val="00335D94"/>
    <w:rsid w:val="003977ED"/>
    <w:rsid w:val="003A27D5"/>
    <w:rsid w:val="004005C1"/>
    <w:rsid w:val="00524BCC"/>
    <w:rsid w:val="00680792"/>
    <w:rsid w:val="006B0D84"/>
    <w:rsid w:val="006E2D4A"/>
    <w:rsid w:val="007554D1"/>
    <w:rsid w:val="007729AE"/>
    <w:rsid w:val="007B02D1"/>
    <w:rsid w:val="00885B38"/>
    <w:rsid w:val="008C6908"/>
    <w:rsid w:val="0094302E"/>
    <w:rsid w:val="00956AE3"/>
    <w:rsid w:val="009D09BA"/>
    <w:rsid w:val="009D67C4"/>
    <w:rsid w:val="00B23ADF"/>
    <w:rsid w:val="00B46BED"/>
    <w:rsid w:val="00BB2043"/>
    <w:rsid w:val="00C8404B"/>
    <w:rsid w:val="00CC11AA"/>
    <w:rsid w:val="00CE1E6C"/>
    <w:rsid w:val="00D80BE1"/>
    <w:rsid w:val="00DB2843"/>
    <w:rsid w:val="00DB4FE6"/>
    <w:rsid w:val="00ED61E5"/>
    <w:rsid w:val="00F672C9"/>
    <w:rsid w:val="07672F33"/>
    <w:rsid w:val="07EFA060"/>
    <w:rsid w:val="177F1237"/>
    <w:rsid w:val="1FDFC900"/>
    <w:rsid w:val="1FEBC573"/>
    <w:rsid w:val="1FF7210E"/>
    <w:rsid w:val="29C70B5A"/>
    <w:rsid w:val="2BBDAFC3"/>
    <w:rsid w:val="2CA56E43"/>
    <w:rsid w:val="2D8FFFF5"/>
    <w:rsid w:val="2DB26B76"/>
    <w:rsid w:val="2E3D08E5"/>
    <w:rsid w:val="2E7D74DB"/>
    <w:rsid w:val="2F7D0F12"/>
    <w:rsid w:val="302D9D69"/>
    <w:rsid w:val="36FDBB2F"/>
    <w:rsid w:val="3769CAE3"/>
    <w:rsid w:val="38490DB4"/>
    <w:rsid w:val="390D6088"/>
    <w:rsid w:val="3ACE7123"/>
    <w:rsid w:val="3ADFD21C"/>
    <w:rsid w:val="3AFB4006"/>
    <w:rsid w:val="3BFE6DDF"/>
    <w:rsid w:val="3C7DA613"/>
    <w:rsid w:val="3DBD58C6"/>
    <w:rsid w:val="3DE205AC"/>
    <w:rsid w:val="3EE05262"/>
    <w:rsid w:val="3EF9954C"/>
    <w:rsid w:val="3F7D51D4"/>
    <w:rsid w:val="3F7EB992"/>
    <w:rsid w:val="3F9FD249"/>
    <w:rsid w:val="3FA799B4"/>
    <w:rsid w:val="3FBFFA37"/>
    <w:rsid w:val="3FCBA45E"/>
    <w:rsid w:val="3FFFC5D9"/>
    <w:rsid w:val="423B3300"/>
    <w:rsid w:val="42F163EE"/>
    <w:rsid w:val="48FF5A92"/>
    <w:rsid w:val="4BF73E80"/>
    <w:rsid w:val="4C9C1A5B"/>
    <w:rsid w:val="4FFE0E50"/>
    <w:rsid w:val="4FFFE908"/>
    <w:rsid w:val="52FEA069"/>
    <w:rsid w:val="55DF22E7"/>
    <w:rsid w:val="57F876B2"/>
    <w:rsid w:val="59BD1631"/>
    <w:rsid w:val="59E738C9"/>
    <w:rsid w:val="59FE621C"/>
    <w:rsid w:val="5B357646"/>
    <w:rsid w:val="5BBEC3E1"/>
    <w:rsid w:val="5BC527B1"/>
    <w:rsid w:val="5DD50AE6"/>
    <w:rsid w:val="5EEE27E6"/>
    <w:rsid w:val="5F78D8EA"/>
    <w:rsid w:val="5F7B8AC3"/>
    <w:rsid w:val="5F7D2B27"/>
    <w:rsid w:val="5FCD470E"/>
    <w:rsid w:val="5FEA2A8F"/>
    <w:rsid w:val="5FFB615C"/>
    <w:rsid w:val="62EFD353"/>
    <w:rsid w:val="64DF04FF"/>
    <w:rsid w:val="66FF4F68"/>
    <w:rsid w:val="69BE209A"/>
    <w:rsid w:val="69C4613F"/>
    <w:rsid w:val="69F757F3"/>
    <w:rsid w:val="6BDE62DA"/>
    <w:rsid w:val="6BFFAED0"/>
    <w:rsid w:val="6DBFB88A"/>
    <w:rsid w:val="6F7EC858"/>
    <w:rsid w:val="6FBB5D53"/>
    <w:rsid w:val="6FF4398A"/>
    <w:rsid w:val="717BEAB8"/>
    <w:rsid w:val="72BA4E05"/>
    <w:rsid w:val="73FFD651"/>
    <w:rsid w:val="743E98EB"/>
    <w:rsid w:val="753AE2BB"/>
    <w:rsid w:val="759B4814"/>
    <w:rsid w:val="767E8025"/>
    <w:rsid w:val="776DFFB1"/>
    <w:rsid w:val="77F7105F"/>
    <w:rsid w:val="77F73D3B"/>
    <w:rsid w:val="79777569"/>
    <w:rsid w:val="79DF6596"/>
    <w:rsid w:val="7A779C59"/>
    <w:rsid w:val="7AB62305"/>
    <w:rsid w:val="7ADED0E9"/>
    <w:rsid w:val="7BB5B005"/>
    <w:rsid w:val="7BBFC1C1"/>
    <w:rsid w:val="7BDB2462"/>
    <w:rsid w:val="7BDBA2C1"/>
    <w:rsid w:val="7BEBF38A"/>
    <w:rsid w:val="7BFDB1EE"/>
    <w:rsid w:val="7CDF7D19"/>
    <w:rsid w:val="7D7E8FC7"/>
    <w:rsid w:val="7DAAE2DE"/>
    <w:rsid w:val="7DBEC753"/>
    <w:rsid w:val="7DD368A7"/>
    <w:rsid w:val="7DF1537F"/>
    <w:rsid w:val="7E5DAA48"/>
    <w:rsid w:val="7EDC6055"/>
    <w:rsid w:val="7EDDF94C"/>
    <w:rsid w:val="7EDE8E84"/>
    <w:rsid w:val="7EFED19C"/>
    <w:rsid w:val="7F4F8234"/>
    <w:rsid w:val="7F5E0241"/>
    <w:rsid w:val="7F6F8AC8"/>
    <w:rsid w:val="7FAFB35D"/>
    <w:rsid w:val="7FBDC436"/>
    <w:rsid w:val="7FBF9B8F"/>
    <w:rsid w:val="7FBFA392"/>
    <w:rsid w:val="7FBFE2F9"/>
    <w:rsid w:val="7FD318EE"/>
    <w:rsid w:val="7FD9EEB7"/>
    <w:rsid w:val="7FDC34F1"/>
    <w:rsid w:val="7FF9AFD2"/>
    <w:rsid w:val="7FFC25DA"/>
    <w:rsid w:val="7FFF525E"/>
    <w:rsid w:val="7FFFFF45"/>
    <w:rsid w:val="8FFD5DF9"/>
    <w:rsid w:val="972F41B7"/>
    <w:rsid w:val="987FEA5D"/>
    <w:rsid w:val="9F7FCCA5"/>
    <w:rsid w:val="9FFF054B"/>
    <w:rsid w:val="9FFF7096"/>
    <w:rsid w:val="A4FF1A35"/>
    <w:rsid w:val="AB8F67B1"/>
    <w:rsid w:val="AE69FC00"/>
    <w:rsid w:val="AE9FF648"/>
    <w:rsid w:val="AFF70F96"/>
    <w:rsid w:val="B57F9EBA"/>
    <w:rsid w:val="B597E490"/>
    <w:rsid w:val="B65B2708"/>
    <w:rsid w:val="B674A6F6"/>
    <w:rsid w:val="B6E72F44"/>
    <w:rsid w:val="B7D03F44"/>
    <w:rsid w:val="B7F536D2"/>
    <w:rsid w:val="B7FF35F3"/>
    <w:rsid w:val="B7FF8838"/>
    <w:rsid w:val="BA7F33FA"/>
    <w:rsid w:val="BF1AA8A8"/>
    <w:rsid w:val="BF7FBA80"/>
    <w:rsid w:val="BFEC727F"/>
    <w:rsid w:val="C373AF0E"/>
    <w:rsid w:val="C5D762A1"/>
    <w:rsid w:val="C95D9737"/>
    <w:rsid w:val="CA7FC44A"/>
    <w:rsid w:val="CF2B34F5"/>
    <w:rsid w:val="CF7BDE84"/>
    <w:rsid w:val="CFE71660"/>
    <w:rsid w:val="CFE75926"/>
    <w:rsid w:val="D3615135"/>
    <w:rsid w:val="D4FF033F"/>
    <w:rsid w:val="D6F9A195"/>
    <w:rsid w:val="D7FE622D"/>
    <w:rsid w:val="DBCF761A"/>
    <w:rsid w:val="DBEED34A"/>
    <w:rsid w:val="DBFA6EDD"/>
    <w:rsid w:val="DCDF742C"/>
    <w:rsid w:val="DD7F8C63"/>
    <w:rsid w:val="DDF48294"/>
    <w:rsid w:val="DF3F1A59"/>
    <w:rsid w:val="DF6EED1C"/>
    <w:rsid w:val="DF7FBF15"/>
    <w:rsid w:val="DFF7C660"/>
    <w:rsid w:val="E3F98ADC"/>
    <w:rsid w:val="E5FFC74C"/>
    <w:rsid w:val="E70F245A"/>
    <w:rsid w:val="E7FF48F6"/>
    <w:rsid w:val="EBEFC99C"/>
    <w:rsid w:val="EBF71518"/>
    <w:rsid w:val="EDEF7E76"/>
    <w:rsid w:val="EDFE0536"/>
    <w:rsid w:val="EDFF64F3"/>
    <w:rsid w:val="EEBFAB06"/>
    <w:rsid w:val="EFDF9239"/>
    <w:rsid w:val="EFEAD46E"/>
    <w:rsid w:val="EFF9F9C3"/>
    <w:rsid w:val="EFFB81B4"/>
    <w:rsid w:val="F0E5E775"/>
    <w:rsid w:val="F47F67E4"/>
    <w:rsid w:val="F5F76DB2"/>
    <w:rsid w:val="F7B9568B"/>
    <w:rsid w:val="F7D6B104"/>
    <w:rsid w:val="F7ED40E9"/>
    <w:rsid w:val="F7FF2625"/>
    <w:rsid w:val="F7FFD070"/>
    <w:rsid w:val="F97FC599"/>
    <w:rsid w:val="F9F705EB"/>
    <w:rsid w:val="F9FFCA23"/>
    <w:rsid w:val="FB5B327B"/>
    <w:rsid w:val="FB780679"/>
    <w:rsid w:val="FBBBB1C0"/>
    <w:rsid w:val="FBDFD313"/>
    <w:rsid w:val="FBEE97AF"/>
    <w:rsid w:val="FBEFFCC0"/>
    <w:rsid w:val="FBFBBF31"/>
    <w:rsid w:val="FBFF62D7"/>
    <w:rsid w:val="FBFFF5C6"/>
    <w:rsid w:val="FC2CD434"/>
    <w:rsid w:val="FCF4A52F"/>
    <w:rsid w:val="FD6B4752"/>
    <w:rsid w:val="FDDA0DCB"/>
    <w:rsid w:val="FDFB3E90"/>
    <w:rsid w:val="FDFE1453"/>
    <w:rsid w:val="FE7F1D29"/>
    <w:rsid w:val="FEDF1606"/>
    <w:rsid w:val="FEF3EDB3"/>
    <w:rsid w:val="FEFE41E9"/>
    <w:rsid w:val="FF234EB0"/>
    <w:rsid w:val="FF3FA876"/>
    <w:rsid w:val="FF9BFBB6"/>
    <w:rsid w:val="FF9C8E14"/>
    <w:rsid w:val="FFBDA2E2"/>
    <w:rsid w:val="FFDD627F"/>
    <w:rsid w:val="FFDFCE8E"/>
    <w:rsid w:val="FFF0C3CE"/>
    <w:rsid w:val="FFFBFE80"/>
    <w:rsid w:val="FFFDCBCF"/>
    <w:rsid w:val="FFFF2F3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32"/>
      <w:szCs w:val="24"/>
      <w:lang w:val="en-US" w:eastAsia="zh-CN" w:bidi="ar-SA"/>
    </w:rPr>
  </w:style>
  <w:style w:type="paragraph" w:styleId="2">
    <w:name w:val="heading 1"/>
    <w:basedOn w:val="1"/>
    <w:next w:val="1"/>
    <w:qFormat/>
    <w:uiPriority w:val="0"/>
    <w:pPr>
      <w:spacing w:beforeAutospacing="1" w:afterAutospacing="1"/>
      <w:jc w:val="left"/>
      <w:outlineLvl w:val="0"/>
    </w:pPr>
    <w:rPr>
      <w:rFonts w:hint="eastAsia" w:ascii="宋体" w:hAnsi="宋体"/>
      <w:b/>
      <w:kern w:val="44"/>
      <w:sz w:val="48"/>
      <w:szCs w:val="48"/>
    </w:rPr>
  </w:style>
  <w:style w:type="paragraph" w:styleId="3">
    <w:name w:val="heading 3"/>
    <w:next w:val="1"/>
    <w:semiHidden/>
    <w:unhideWhenUsed/>
    <w:qFormat/>
    <w:uiPriority w:val="0"/>
    <w:pPr>
      <w:widowControl w:val="0"/>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15">
    <w:name w:val="Default Paragraph Font"/>
    <w:unhideWhenUsed/>
    <w:qFormat/>
    <w:uiPriority w:val="1"/>
  </w:style>
  <w:style w:type="table" w:default="1" w:styleId="13">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4">
    <w:name w:val="Normal Indent"/>
    <w:basedOn w:val="1"/>
    <w:qFormat/>
    <w:uiPriority w:val="0"/>
    <w:pPr>
      <w:keepNext w:val="0"/>
      <w:keepLines w:val="0"/>
      <w:widowControl w:val="0"/>
      <w:suppressLineNumbers w:val="0"/>
      <w:spacing w:before="0" w:beforeAutospacing="0" w:after="0" w:afterAutospacing="0"/>
      <w:ind w:left="0" w:right="0" w:firstLine="420" w:firstLineChars="200"/>
      <w:jc w:val="both"/>
    </w:pPr>
    <w:rPr>
      <w:rFonts w:hint="default" w:ascii="Calibri" w:hAnsi="Calibri" w:eastAsia="宋体" w:cs="Times New Roman"/>
      <w:kern w:val="2"/>
      <w:sz w:val="32"/>
      <w:szCs w:val="32"/>
      <w:lang w:val="en-US" w:eastAsia="zh-CN" w:bidi="ar"/>
    </w:rPr>
  </w:style>
  <w:style w:type="paragraph" w:styleId="5">
    <w:name w:val="index 5"/>
    <w:basedOn w:val="1"/>
    <w:next w:val="1"/>
    <w:qFormat/>
    <w:uiPriority w:val="0"/>
    <w:pPr>
      <w:ind w:left="1680"/>
    </w:pPr>
  </w:style>
  <w:style w:type="paragraph" w:styleId="6">
    <w:name w:val="Body Text"/>
    <w:basedOn w:val="1"/>
    <w:next w:val="7"/>
    <w:qFormat/>
    <w:uiPriority w:val="99"/>
    <w:pPr>
      <w:spacing w:after="120"/>
    </w:pPr>
    <w:rPr>
      <w:rFonts w:ascii="Times New Roman" w:hAnsi="Times New Roman" w:eastAsia="宋体" w:cs="Times New Roman"/>
    </w:rPr>
  </w:style>
  <w:style w:type="paragraph" w:styleId="7">
    <w:name w:val="footer"/>
    <w:basedOn w:val="1"/>
    <w:next w:val="5"/>
    <w:qFormat/>
    <w:uiPriority w:val="0"/>
    <w:pPr>
      <w:tabs>
        <w:tab w:val="center" w:pos="4153"/>
        <w:tab w:val="right" w:pos="8306"/>
      </w:tabs>
      <w:snapToGrid w:val="0"/>
      <w:jc w:val="left"/>
    </w:pPr>
    <w:rPr>
      <w:sz w:val="18"/>
    </w:rPr>
  </w:style>
  <w:style w:type="paragraph" w:styleId="8">
    <w:name w:val="Plain Text"/>
    <w:basedOn w:val="1"/>
    <w:qFormat/>
    <w:uiPriority w:val="0"/>
    <w:rPr>
      <w:rFonts w:ascii="宋体"/>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0">
    <w:name w:val="toc 1"/>
    <w:basedOn w:val="1"/>
    <w:next w:val="1"/>
    <w:qFormat/>
    <w:uiPriority w:val="0"/>
    <w:pPr>
      <w:spacing w:line="578" w:lineRule="exact"/>
    </w:pPr>
    <w:rPr>
      <w:rFonts w:ascii="Times New Roman" w:hAnsi="Times New Roman" w:eastAsia="仿宋_GB2312"/>
      <w:szCs w:val="32"/>
    </w:rPr>
  </w:style>
  <w:style w:type="paragraph" w:styleId="11">
    <w:name w:val="toc 2"/>
    <w:basedOn w:val="1"/>
    <w:next w:val="1"/>
    <w:qFormat/>
    <w:uiPriority w:val="0"/>
    <w:pPr>
      <w:spacing w:line="578" w:lineRule="exact"/>
      <w:ind w:left="420" w:leftChars="200"/>
    </w:pPr>
    <w:rPr>
      <w:rFonts w:ascii="Times New Roman" w:hAnsi="Times New Roman" w:eastAsia="仿宋_GB2312"/>
      <w:szCs w:val="32"/>
    </w:rPr>
  </w:style>
  <w:style w:type="paragraph" w:styleId="12">
    <w:name w:val="Body Text First Indent"/>
    <w:basedOn w:val="6"/>
    <w:qFormat/>
    <w:uiPriority w:val="99"/>
    <w:pPr>
      <w:spacing w:line="560" w:lineRule="exact"/>
      <w:ind w:firstLine="721" w:firstLineChars="200"/>
    </w:pPr>
    <w:rPr>
      <w:rFonts w:eastAsia="仿宋_GB2312"/>
      <w:sz w:val="32"/>
    </w:rPr>
  </w:style>
  <w:style w:type="table" w:styleId="14">
    <w:name w:val="Table Grid"/>
    <w:basedOn w:val="13"/>
    <w:qFormat/>
    <w:uiPriority w:val="0"/>
    <w:pPr>
      <w:keepNext w:val="0"/>
      <w:keepLines w:val="0"/>
      <w:widowControl w:val="0"/>
      <w:suppressLineNumbers w:val="0"/>
      <w:spacing w:before="0" w:beforeAutospacing="0" w:after="0" w:afterAutospacing="0"/>
      <w:ind w:left="0" w:right="0"/>
      <w:jc w:val="both"/>
    </w:pPr>
    <w:rPr>
      <w:rFonts w:hint="default" w:ascii="Times New Roman" w:hAnsi="Times New Roman" w:cs="Times New Roman"/>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paragraph" w:customStyle="1" w:styleId="16">
    <w:name w:val="公文正文"/>
    <w:basedOn w:val="1"/>
    <w:link w:val="22"/>
    <w:qFormat/>
    <w:uiPriority w:val="0"/>
    <w:pPr>
      <w:spacing w:line="578" w:lineRule="exact"/>
      <w:ind w:firstLine="420" w:firstLineChars="200"/>
    </w:pPr>
    <w:rPr>
      <w:rFonts w:ascii="Times New Roman" w:hAnsi="Times New Roman" w:eastAsia="仿宋_GB2312"/>
      <w:szCs w:val="32"/>
    </w:rPr>
  </w:style>
  <w:style w:type="paragraph" w:customStyle="1" w:styleId="17">
    <w:name w:val="一级标题"/>
    <w:basedOn w:val="16"/>
    <w:qFormat/>
    <w:uiPriority w:val="0"/>
    <w:pPr>
      <w:numPr>
        <w:ilvl w:val="0"/>
        <w:numId w:val="1"/>
      </w:numPr>
      <w:outlineLvl w:val="1"/>
    </w:pPr>
    <w:rPr>
      <w:rFonts w:eastAsia="黑体"/>
    </w:rPr>
  </w:style>
  <w:style w:type="paragraph" w:customStyle="1" w:styleId="18">
    <w:name w:val="二级标题"/>
    <w:basedOn w:val="16"/>
    <w:qFormat/>
    <w:uiPriority w:val="0"/>
    <w:pPr>
      <w:numPr>
        <w:ilvl w:val="0"/>
        <w:numId w:val="2"/>
      </w:numPr>
      <w:outlineLvl w:val="2"/>
    </w:pPr>
    <w:rPr>
      <w:rFonts w:eastAsia="楷体_GB2312"/>
    </w:rPr>
  </w:style>
  <w:style w:type="paragraph" w:customStyle="1" w:styleId="19">
    <w:name w:val="三级标题"/>
    <w:basedOn w:val="16"/>
    <w:qFormat/>
    <w:uiPriority w:val="0"/>
    <w:pPr>
      <w:numPr>
        <w:ilvl w:val="0"/>
        <w:numId w:val="3"/>
      </w:numPr>
      <w:outlineLvl w:val="3"/>
    </w:pPr>
  </w:style>
  <w:style w:type="paragraph" w:customStyle="1" w:styleId="20">
    <w:name w:val="四级标题"/>
    <w:basedOn w:val="16"/>
    <w:qFormat/>
    <w:uiPriority w:val="0"/>
    <w:pPr>
      <w:numPr>
        <w:ilvl w:val="0"/>
        <w:numId w:val="4"/>
      </w:numPr>
      <w:outlineLvl w:val="4"/>
    </w:pPr>
  </w:style>
  <w:style w:type="paragraph" w:customStyle="1" w:styleId="21">
    <w:name w:val="公文标题"/>
    <w:basedOn w:val="16"/>
    <w:qFormat/>
    <w:uiPriority w:val="0"/>
    <w:pPr>
      <w:ind w:firstLine="0" w:firstLineChars="0"/>
      <w:jc w:val="center"/>
      <w:outlineLvl w:val="0"/>
    </w:pPr>
    <w:rPr>
      <w:rFonts w:eastAsia="方正小标宋简体"/>
      <w:sz w:val="44"/>
    </w:rPr>
  </w:style>
  <w:style w:type="character" w:customStyle="1" w:styleId="22">
    <w:name w:val="公文正文 Char"/>
    <w:link w:val="16"/>
    <w:qFormat/>
    <w:uiPriority w:val="0"/>
    <w:rPr>
      <w:rFonts w:ascii="Times New Roman" w:hAnsi="Times New Roman" w:eastAsia="仿宋_GB2312"/>
      <w:szCs w:val="32"/>
    </w:rPr>
  </w:style>
  <w:style w:type="paragraph" w:customStyle="1" w:styleId="23">
    <w:name w:val="正文（首行缩进2字符）"/>
    <w:basedOn w:val="1"/>
    <w:qFormat/>
    <w:uiPriority w:val="0"/>
    <w:pPr>
      <w:spacing w:line="240" w:lineRule="auto"/>
      <w:ind w:firstLine="420"/>
      <w:jc w:val="both"/>
    </w:pPr>
    <w:rPr>
      <w:rFonts w:ascii="Calibri" w:hAnsi="Calibri" w:eastAsia="仿宋_GB2312"/>
      <w:sz w:val="30"/>
      <w:szCs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Pages>
  <Words>3080</Words>
  <Characters>17561</Characters>
  <Lines>1</Lines>
  <Paragraphs>1</Paragraphs>
  <TotalTime>22</TotalTime>
  <ScaleCrop>false</ScaleCrop>
  <LinksUpToDate>false</LinksUpToDate>
  <CharactersWithSpaces>20600</CharactersWithSpaces>
  <Application>WPS Office_11.8.2.10154_F1E327BC-269C-435d-A152-05C5408002CA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2023-11-08T13:37:00Z</dcterms:created>
  <dc:creator>user</dc:creator>
  <cp:lastModifiedBy>潘洲彬</cp:lastModifiedBy>
  <cp:lastPrinted>2025-04-23T12:05:00Z</cp:lastPrinted>
  <dcterms:modified xsi:type="dcterms:W3CDTF">2025-06-11T01:13:43Z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ICV">
    <vt:lpwstr>A9640B697B2F1BB8154C4A657A809015_43</vt:lpwstr>
  </property>
</Properties>
</file>