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9A5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制定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依据</w:t>
      </w:r>
    </w:p>
    <w:p w14:paraId="4B78271C">
      <w:pPr>
        <w:ind w:firstLine="600" w:firstLineChars="200"/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制定依据：《中华人民共和国渔业法》《中华人民共和国渔业船舶登记办法》《中华人民共和国渔业船舶检验条例》《浙江省渔业管理条例》《浙江省渔港渔业船舶管理条例》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《嵊泗县类游艇管理的指导意见》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(嵊渔安委办（2022）34号）《关于印发嵊泗县小型船舶管理暂行办法的通知》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WFkMTI5YjRlOTY4ZTg3ZDZiY2JkZDQ2YWRiMjcifQ=="/>
  </w:docVars>
  <w:rsids>
    <w:rsidRoot w:val="0C13016B"/>
    <w:rsid w:val="0C13016B"/>
    <w:rsid w:val="72542EA8"/>
    <w:rsid w:val="759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134</Characters>
  <Lines>0</Lines>
  <Paragraphs>0</Paragraphs>
  <TotalTime>6</TotalTime>
  <ScaleCrop>false</ScaleCrop>
  <LinksUpToDate>false</LinksUpToDate>
  <CharactersWithSpaces>134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2024-08-28T02:25:00Z</dcterms:created>
  <dc:creator>曾经决定不了未来</dc:creator>
  <cp:lastModifiedBy>淡灯</cp:lastModifiedBy>
  <dcterms:modified xsi:type="dcterms:W3CDTF">2024-08-28T03:15:07Z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275A6243FDC14EE4A3B9BD3B3A892B79_11</vt:lpwstr>
  </property>
</Properties>
</file>