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Times New Roman" w:hAnsi="Times New Roman" w:eastAsia="方正小标宋简体" w:cs="Times New Roman"/>
          <w:color w:val="auto"/>
          <w:sz w:val="44"/>
          <w:szCs w:val="44"/>
          <w:lang w:val="en-US" w:eastAsia="zh-CN"/>
        </w:rPr>
      </w:pPr>
      <w:r>
        <w:rPr>
          <w:rFonts w:hint="default" w:ascii="Times New Roman" w:hAnsi="Times New Roman" w:eastAsia="方正小标宋简体" w:cs="Times New Roman"/>
          <w:sz w:val="44"/>
          <w:szCs w:val="44"/>
          <w:u w:val="none"/>
        </w:rPr>
        <w:t>关于</w:t>
      </w:r>
      <w:r>
        <w:rPr>
          <w:rFonts w:hint="eastAsia" w:ascii="方正小标宋简体" w:hAnsi="方正小标宋简体" w:eastAsia="方正小标宋简体" w:cs="方正小标宋简体"/>
          <w:sz w:val="44"/>
          <w:szCs w:val="44"/>
          <w:lang w:val="en-US" w:eastAsia="zh-CN"/>
        </w:rPr>
        <w:t>《舟山市发展改革委审批(核准)重大固定资产投资项目社会风险评估实施办法》</w:t>
      </w:r>
      <w:r>
        <w:rPr>
          <w:rFonts w:hint="eastAsia" w:ascii="Times New Roman" w:hAnsi="Times New Roman" w:eastAsia="方正小标宋简体" w:cs="Times New Roman"/>
          <w:color w:val="auto"/>
          <w:sz w:val="44"/>
          <w:szCs w:val="44"/>
          <w:lang w:val="en-US" w:eastAsia="zh-CN"/>
        </w:rPr>
        <w:t>的起草说明</w:t>
      </w:r>
    </w:p>
    <w:p>
      <w:pPr>
        <w:pStyle w:val="6"/>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eastAsia" w:ascii="Times New Roman" w:hAnsi="Times New Roman" w:eastAsia="黑体"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eastAsia" w:ascii="Times New Roman" w:hAnsi="Times New Roman" w:eastAsia="黑体" w:cs="Times New Roman"/>
          <w:color w:val="auto"/>
          <w:sz w:val="32"/>
          <w:szCs w:val="32"/>
          <w:lang w:val="en-US" w:eastAsia="zh-CN"/>
        </w:rPr>
      </w:pPr>
      <w:r>
        <w:rPr>
          <w:rFonts w:hint="eastAsia" w:ascii="Times New Roman" w:hAnsi="Times New Roman" w:eastAsia="黑体" w:cs="Times New Roman"/>
          <w:color w:val="auto"/>
          <w:sz w:val="32"/>
          <w:szCs w:val="32"/>
          <w:lang w:val="en-US" w:eastAsia="zh-CN"/>
        </w:rPr>
        <w:t>一、起草背景</w:t>
      </w:r>
    </w:p>
    <w:p>
      <w:pPr>
        <w:keepNext w:val="0"/>
        <w:keepLines w:val="0"/>
        <w:widowControl/>
        <w:suppressLineNumbers w:val="0"/>
        <w:jc w:val="left"/>
        <w:rPr>
          <w:rFonts w:hint="eastAsia" w:ascii="Times New Roman" w:hAnsi="Times New Roman" w:eastAsia="仿宋_GB2312" w:cs="Times New Roman"/>
          <w:sz w:val="32"/>
          <w:szCs w:val="32"/>
          <w:lang w:val="en-US" w:eastAsia="zh-CN"/>
        </w:rPr>
      </w:pPr>
      <w:r>
        <w:rPr>
          <w:rFonts w:hint="eastAsia" w:ascii="微软雅黑" w:hAnsi="微软雅黑" w:eastAsia="微软雅黑" w:cs="微软雅黑"/>
          <w:i w:val="0"/>
          <w:caps w:val="0"/>
          <w:color w:val="333333"/>
          <w:spacing w:val="0"/>
          <w:kern w:val="0"/>
          <w:sz w:val="25"/>
          <w:szCs w:val="25"/>
          <w:shd w:val="clear" w:fill="FFFFFF"/>
          <w:lang w:val="en-US" w:eastAsia="zh-CN" w:bidi="ar"/>
        </w:rPr>
        <w:t xml:space="preserve">  </w:t>
      </w:r>
      <w:r>
        <w:rPr>
          <w:rFonts w:hint="eastAsia" w:ascii="仿宋_GB2312" w:hAnsi="仿宋_GB2312" w:eastAsia="仿宋_GB2312" w:cs="仿宋_GB2312"/>
          <w:i w:val="0"/>
          <w:caps w:val="0"/>
          <w:color w:val="333333"/>
          <w:spacing w:val="0"/>
          <w:kern w:val="0"/>
          <w:sz w:val="32"/>
          <w:szCs w:val="32"/>
          <w:shd w:val="clear" w:fill="FFFFFF"/>
          <w:lang w:val="en-US" w:eastAsia="zh-CN" w:bidi="ar"/>
        </w:rPr>
        <w:t xml:space="preserve">  </w:t>
      </w:r>
      <w:r>
        <w:rPr>
          <w:rFonts w:hint="eastAsia" w:ascii="Times New Roman" w:hAnsi="Times New Roman" w:eastAsia="仿宋_GB2312" w:cs="Times New Roman"/>
          <w:sz w:val="32"/>
          <w:szCs w:val="32"/>
          <w:lang w:val="en-US" w:eastAsia="zh-CN"/>
        </w:rPr>
        <w:t>基于近年经济社会发展和社会风险形势变化，2019年8月，省委办公厅印发了《浙江省重大决策社会风险评估实施办法》。重大项目的社会风险评估是审批（核准）重大项目的重要前置条件之一。2021年12月，省发改委对《省发改委审批、核准重大固定资产投资项目社会稳定风险评估暂行办法》（浙发改法规〔2013〕1173号）进行修订并印发了《省发展改革委审批（核准）重大固定资产投资项目社会风险评估实施办法》（浙发改投资〔2021〕459号）。2024年3月，省发改委印发了《关于落实&lt;浙江省安全生产治本攻坚三年行动实施方案（2024—2026年）&gt;有关工作的通知</w:t>
      </w:r>
      <w:bookmarkStart w:id="0" w:name="文号"/>
      <w:r>
        <w:rPr>
          <w:rFonts w:hint="eastAsia" w:ascii="Times New Roman" w:hAnsi="Times New Roman" w:eastAsia="仿宋_GB2312" w:cs="Times New Roman"/>
          <w:sz w:val="32"/>
          <w:szCs w:val="32"/>
          <w:lang w:val="en-US" w:eastAsia="zh-CN"/>
        </w:rPr>
        <w:t>》（浙发改投资〔2024〕69号）</w:t>
      </w:r>
      <w:bookmarkEnd w:id="0"/>
      <w:r>
        <w:rPr>
          <w:rFonts w:hint="eastAsia" w:ascii="Times New Roman" w:hAnsi="Times New Roman" w:eastAsia="仿宋_GB2312" w:cs="Times New Roman"/>
          <w:sz w:val="32"/>
          <w:szCs w:val="32"/>
          <w:lang w:val="en-US" w:eastAsia="zh-CN"/>
        </w:rPr>
        <w:t>，明确各地要建立健全本地区审批（核准）固定资产投资项目风险评估机制。为认真贯彻落实省发改委最新文件精神，进一步规范我市重大项目社会风险评估工作，保证重大项目顺利实施，决定对2014 年 1月 28日印发的《舟山市发展和改革委员会审批、核准重大固定资产投资项目社会稳定风险评估实施办法（暂行）》(舟发改投资〔2014〕2号)进行修订完善，编制《市发展改革委审批（核准）重大固定资产投资项目社会风险评估实施办法》（以下简称《办法》）。</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both"/>
        <w:textAlignment w:val="auto"/>
        <w:outlineLvl w:val="0"/>
        <w:rPr>
          <w:rFonts w:hint="eastAsia" w:ascii="Times New Roman" w:hAnsi="Times New Roman" w:eastAsia="黑体" w:cs="Times New Roman"/>
          <w:color w:val="auto"/>
          <w:sz w:val="32"/>
          <w:szCs w:val="32"/>
          <w:lang w:val="en-US" w:eastAsia="zh-CN"/>
        </w:rPr>
      </w:pPr>
      <w:r>
        <w:rPr>
          <w:rFonts w:hint="eastAsia" w:ascii="Times New Roman" w:hAnsi="Times New Roman" w:eastAsia="黑体" w:cs="Times New Roman"/>
          <w:color w:val="auto"/>
          <w:sz w:val="32"/>
          <w:szCs w:val="32"/>
          <w:lang w:val="en-US" w:eastAsia="zh-CN"/>
        </w:rPr>
        <w:t>起草过程</w:t>
      </w:r>
    </w:p>
    <w:p>
      <w:pPr>
        <w:keepNext w:val="0"/>
        <w:keepLines w:val="0"/>
        <w:widowControl/>
        <w:suppressLineNumbers w:val="0"/>
        <w:jc w:val="left"/>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i w:val="0"/>
          <w:caps w:val="0"/>
          <w:color w:val="333333"/>
          <w:spacing w:val="0"/>
          <w:kern w:val="0"/>
          <w:sz w:val="32"/>
          <w:szCs w:val="32"/>
          <w:shd w:val="clear" w:fill="FFFFFF"/>
          <w:lang w:val="en-US" w:eastAsia="zh-CN" w:bidi="ar"/>
        </w:rPr>
        <w:t xml:space="preserve">    </w:t>
      </w:r>
      <w:r>
        <w:rPr>
          <w:rFonts w:hint="eastAsia" w:ascii="Times New Roman" w:hAnsi="Times New Roman" w:eastAsia="仿宋_GB2312" w:cs="Times New Roman"/>
          <w:sz w:val="32"/>
          <w:szCs w:val="32"/>
          <w:lang w:val="en-US" w:eastAsia="zh-CN"/>
        </w:rPr>
        <w:t>今年3月，我委在收到省发改委关于落实《浙江省安全生产治本攻坚三年行动实施方案（2024—2026年）》有关工作的通知（浙发改投资〔2024〕69号）后，启动《办法》起草工作。我委认真研究国家、省相关文件精神，根据《省发展改革委审批（核准）重大固定资产投资项目社会风险评估实施办法》（浙发改投资〔2021〕459号）新的工作要求，结合舟山实际，对2014 年 1月 28日印发的《舟山市发展和改革委员会审批、核准重大固定资产投资项目社会稳定风险评估实施办法（暂行）》(舟发改投资〔2014〕2号)进行修改完善。近期，我们汇总各部门区块反馈意见，修改后形成目前征求意见稿。</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both"/>
        <w:textAlignment w:val="auto"/>
        <w:outlineLvl w:val="0"/>
        <w:rPr>
          <w:rFonts w:hint="eastAsia" w:ascii="Times New Roman" w:hAnsi="Times New Roman" w:eastAsia="黑体" w:cs="Times New Roman"/>
          <w:color w:val="auto"/>
          <w:sz w:val="32"/>
          <w:szCs w:val="32"/>
          <w:lang w:val="en-US" w:eastAsia="zh-CN"/>
        </w:rPr>
      </w:pPr>
      <w:r>
        <w:rPr>
          <w:rFonts w:hint="eastAsia" w:ascii="Times New Roman" w:hAnsi="Times New Roman" w:eastAsia="黑体" w:cs="Times New Roman"/>
          <w:color w:val="auto"/>
          <w:sz w:val="32"/>
          <w:szCs w:val="32"/>
          <w:lang w:val="en-US" w:eastAsia="zh-CN"/>
        </w:rPr>
        <w:t>总体框架和把握原则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参照省办法文件，我市《办法》包括二十二条内容。其中，第四条</w:t>
      </w:r>
      <w:r>
        <w:rPr>
          <w:rFonts w:hint="eastAsia" w:ascii="仿宋_GB2312" w:hAnsi="仿宋_GB2312" w:eastAsia="仿宋_GB2312" w:cs="仿宋_GB2312"/>
          <w:sz w:val="32"/>
          <w:szCs w:val="32"/>
        </w:rPr>
        <w:t>易发生社会风险的项目</w:t>
      </w:r>
      <w:r>
        <w:rPr>
          <w:rFonts w:hint="eastAsia" w:ascii="仿宋_GB2312" w:hAnsi="仿宋_GB2312" w:eastAsia="仿宋_GB2312" w:cs="仿宋_GB2312"/>
          <w:sz w:val="32"/>
          <w:szCs w:val="32"/>
          <w:lang w:eastAsia="zh-CN"/>
        </w:rPr>
        <w:t>内容结合舟山实际，参考核准目录，对农业水利、能源、交通运输、城建四大类的具体项目范围重新进行了调整。</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b/>
          <w:bCs/>
          <w:sz w:val="32"/>
          <w:szCs w:val="32"/>
          <w:lang w:val="en-US" w:eastAsia="zh-CN"/>
        </w:rPr>
        <w:t xml:space="preserve">    《办法》起草主要把握</w:t>
      </w:r>
      <w:r>
        <w:rPr>
          <w:rFonts w:hint="eastAsia" w:ascii="楷体_GB2312" w:hAnsi="楷体_GB2312" w:eastAsia="楷体_GB2312" w:cs="楷体_GB2312"/>
          <w:b/>
          <w:bCs/>
          <w:sz w:val="32"/>
          <w:szCs w:val="32"/>
          <w:lang w:val="en-US" w:eastAsia="zh-CN"/>
        </w:rPr>
        <w:t>全面承接，结合实际的原则</w:t>
      </w:r>
      <w:bookmarkStart w:id="1" w:name="_GoBack"/>
      <w:bookmarkEnd w:id="1"/>
      <w:r>
        <w:rPr>
          <w:rFonts w:hint="eastAsia" w:ascii="楷体_GB2312" w:hAnsi="楷体_GB2312" w:eastAsia="楷体_GB2312" w:cs="楷体_GB2312"/>
          <w:b/>
          <w:bCs/>
          <w:sz w:val="32"/>
          <w:szCs w:val="32"/>
          <w:lang w:val="en-US" w:eastAsia="zh-CN"/>
        </w:rPr>
        <w:t>。</w:t>
      </w:r>
      <w:r>
        <w:rPr>
          <w:rFonts w:hint="default" w:ascii="Times New Roman" w:hAnsi="Times New Roman" w:eastAsia="仿宋_GB2312" w:cs="Times New Roman"/>
          <w:sz w:val="32"/>
          <w:szCs w:val="32"/>
          <w:lang w:val="en-US" w:eastAsia="zh-CN"/>
        </w:rPr>
        <w:t>在保持</w:t>
      </w:r>
      <w:r>
        <w:rPr>
          <w:rFonts w:hint="eastAsia" w:ascii="Times New Roman" w:hAnsi="Times New Roman" w:eastAsia="仿宋_GB2312" w:cs="Times New Roman"/>
          <w:sz w:val="32"/>
          <w:szCs w:val="32"/>
          <w:lang w:val="en-US" w:eastAsia="zh-CN"/>
        </w:rPr>
        <w:t>《省发展改革委审批（核准）重大固定资产投资项目社会风险评估实施办法》</w:t>
      </w:r>
      <w:r>
        <w:rPr>
          <w:rFonts w:hint="default" w:ascii="Times New Roman" w:hAnsi="Times New Roman" w:eastAsia="仿宋_GB2312" w:cs="Times New Roman"/>
          <w:sz w:val="32"/>
          <w:szCs w:val="32"/>
          <w:lang w:val="en-US" w:eastAsia="zh-CN"/>
        </w:rPr>
        <w:t>框架基本稳定的基础上，</w:t>
      </w:r>
      <w:r>
        <w:rPr>
          <w:rFonts w:ascii="Times New Roman" w:hAnsi="Times New Roman" w:eastAsia="仿宋_GB2312" w:cs="Times New Roman"/>
          <w:sz w:val="32"/>
          <w:szCs w:val="32"/>
          <w:lang w:val="en-US" w:eastAsia="zh-CN"/>
        </w:rPr>
        <w:t>按照</w:t>
      </w:r>
      <w:r>
        <w:rPr>
          <w:rFonts w:hint="eastAsia" w:ascii="Times New Roman" w:hAnsi="Times New Roman" w:eastAsia="仿宋_GB2312" w:cs="Times New Roman"/>
          <w:sz w:val="32"/>
          <w:szCs w:val="32"/>
          <w:lang w:val="en-US" w:eastAsia="zh-CN"/>
        </w:rPr>
        <w:t>《政府核准的投资项目目录( 浙江省 2017 年本)》，结合舟山实际，对</w:t>
      </w:r>
      <w:r>
        <w:rPr>
          <w:rFonts w:hint="eastAsia" w:ascii="仿宋_GB2312" w:hAnsi="仿宋_GB2312" w:eastAsia="仿宋_GB2312" w:cs="仿宋_GB2312"/>
          <w:sz w:val="32"/>
          <w:szCs w:val="32"/>
        </w:rPr>
        <w:t>易发生社会风险的</w:t>
      </w:r>
      <w:r>
        <w:rPr>
          <w:rFonts w:hint="eastAsia" w:ascii="Times New Roman" w:hAnsi="Times New Roman" w:eastAsia="仿宋_GB2312" w:cs="Times New Roman"/>
          <w:sz w:val="32"/>
          <w:szCs w:val="32"/>
          <w:lang w:val="en-US" w:eastAsia="zh-CN"/>
        </w:rPr>
        <w:t>四大类项目范围进行重新梳理调整，形成既适应舟山实际又符合审批权限要求的项目范围。</w:t>
      </w:r>
      <w:r>
        <w:rPr>
          <w:rFonts w:hint="eastAsia" w:ascii="Times New Roman" w:hAnsi="Times New Roman" w:eastAsia="仿宋_GB2312" w:cs="Times New Roman"/>
          <w:b w:val="0"/>
          <w:bCs w:val="0"/>
          <w:sz w:val="32"/>
          <w:szCs w:val="32"/>
          <w:lang w:val="en-US" w:eastAsia="zh-CN"/>
        </w:rPr>
        <w:t>《办法》</w:t>
      </w:r>
      <w:r>
        <w:rPr>
          <w:rFonts w:hint="eastAsia" w:ascii="Times New Roman" w:hAnsi="Times New Roman" w:eastAsia="仿宋_GB2312" w:cs="Times New Roman"/>
          <w:sz w:val="32"/>
          <w:szCs w:val="32"/>
          <w:lang w:val="en-US" w:eastAsia="zh-CN"/>
        </w:rPr>
        <w:t>重新明确了风险等级划分和风险等级。主要是依据《省发展改革委审批（核准）重大固定资产投资项目社会风险评估实施办法》，根据重大固定资产投资项目实施后可能对社会安全稳定造成的影响程度，将修订前明确的高风险、中风险、低风险三个等级划分为高风险、中高风险、中风险、中低风险、低风险五个等级。确保修订后的《办法》与国家、省要求相适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楷体_GB2312">
    <w:altName w:val="楷体"/>
    <w:panose1 w:val="02010609030101010101"/>
    <w:charset w:val="86"/>
    <w:family w:val="auto"/>
    <w:pitch w:val="default"/>
    <w:sig w:usb0="00000000" w:usb1="00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altName w:val="黑体"/>
    <w:panose1 w:val="00000000000000000000"/>
    <w:charset w:val="00"/>
    <w:family w:val="auto"/>
    <w:pitch w:val="default"/>
    <w:sig w:usb0="00000000" w:usb1="00000000" w:usb2="00000000" w:usb3="00000000" w:csb0="0000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4C5ED4E"/>
    <w:multiLevelType w:val="singleLevel"/>
    <w:tmpl w:val="64C5ED4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IyODIxNzdjZWJiMTBkOTQzZjQzZTFiNzkyMmYyMWEifQ=="/>
  </w:docVars>
  <w:rsids>
    <w:rsidRoot w:val="5F8763D1"/>
    <w:rsid w:val="0FFB6B35"/>
    <w:rsid w:val="1DE5D365"/>
    <w:rsid w:val="1EFFFDFA"/>
    <w:rsid w:val="29FDE1AE"/>
    <w:rsid w:val="378F9138"/>
    <w:rsid w:val="3FE3E764"/>
    <w:rsid w:val="467560BB"/>
    <w:rsid w:val="48A60C3E"/>
    <w:rsid w:val="557E9494"/>
    <w:rsid w:val="57978B3B"/>
    <w:rsid w:val="57BE9049"/>
    <w:rsid w:val="5F8763D1"/>
    <w:rsid w:val="5FFA4703"/>
    <w:rsid w:val="65FF01C7"/>
    <w:rsid w:val="65FFD28E"/>
    <w:rsid w:val="6777A5F9"/>
    <w:rsid w:val="67F506AC"/>
    <w:rsid w:val="67FD8177"/>
    <w:rsid w:val="6B651148"/>
    <w:rsid w:val="6BBF3198"/>
    <w:rsid w:val="6EEF8E5A"/>
    <w:rsid w:val="6FC7D339"/>
    <w:rsid w:val="723AFD00"/>
    <w:rsid w:val="73BC5145"/>
    <w:rsid w:val="77BFF380"/>
    <w:rsid w:val="7BEF3964"/>
    <w:rsid w:val="7BEFD756"/>
    <w:rsid w:val="7BF25BF3"/>
    <w:rsid w:val="7EF75CD4"/>
    <w:rsid w:val="7F422CE1"/>
    <w:rsid w:val="7FAE8790"/>
    <w:rsid w:val="7FDE09A3"/>
    <w:rsid w:val="7FDE65A9"/>
    <w:rsid w:val="7FF9DEA9"/>
    <w:rsid w:val="9AE537F5"/>
    <w:rsid w:val="9F8ECFCC"/>
    <w:rsid w:val="9FBAC975"/>
    <w:rsid w:val="B6AA96F9"/>
    <w:rsid w:val="BDEEEB98"/>
    <w:rsid w:val="BFFB5DC5"/>
    <w:rsid w:val="BFFF4F2E"/>
    <w:rsid w:val="CEF37EFE"/>
    <w:rsid w:val="CFFDDB84"/>
    <w:rsid w:val="D5CB4388"/>
    <w:rsid w:val="D7FBAA2C"/>
    <w:rsid w:val="DB3C4EAF"/>
    <w:rsid w:val="DCFA1511"/>
    <w:rsid w:val="DE776998"/>
    <w:rsid w:val="DEF38F58"/>
    <w:rsid w:val="DEF8AB44"/>
    <w:rsid w:val="DFAFCBB5"/>
    <w:rsid w:val="DFFFA2C7"/>
    <w:rsid w:val="E5E51523"/>
    <w:rsid w:val="E6E77E52"/>
    <w:rsid w:val="F2FB0E0D"/>
    <w:rsid w:val="F7FEEB03"/>
    <w:rsid w:val="FACF98C3"/>
    <w:rsid w:val="FBBFF141"/>
    <w:rsid w:val="FBFAF599"/>
    <w:rsid w:val="FBFDEF5C"/>
    <w:rsid w:val="FCA7EBEA"/>
    <w:rsid w:val="FD7D7F8F"/>
    <w:rsid w:val="FDCF6BC0"/>
    <w:rsid w:val="FE0E2661"/>
    <w:rsid w:val="FEEB083A"/>
    <w:rsid w:val="FF4A2942"/>
    <w:rsid w:val="FF7BCB42"/>
    <w:rsid w:val="FF7D5799"/>
    <w:rsid w:val="FFDE9939"/>
    <w:rsid w:val="FFDEE948"/>
    <w:rsid w:val="FFE7DE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2"/>
    <w:basedOn w:val="1"/>
    <w:next w:val="1"/>
    <w:unhideWhenUsed/>
    <w:qFormat/>
    <w:uiPriority w:val="0"/>
    <w:pPr>
      <w:keepNext/>
      <w:keepLines/>
      <w:spacing w:beforeLines="0" w:beforeAutospacing="0" w:afterLines="0" w:afterAutospacing="0" w:line="560" w:lineRule="exact"/>
      <w:outlineLvl w:val="1"/>
    </w:pPr>
    <w:rPr>
      <w:rFonts w:ascii="Arial" w:hAnsi="Arial" w:eastAsia="楷体_GB2312" w:cs="Times New Roman"/>
      <w:b/>
      <w:sz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qFormat/>
    <w:uiPriority w:val="0"/>
    <w:pPr>
      <w:spacing w:after="120" w:afterLines="0" w:afterAutospacing="0"/>
      <w:ind w:left="420" w:leftChars="200"/>
    </w:pPr>
  </w:style>
  <w:style w:type="paragraph" w:styleId="4">
    <w:name w:val="envelope return"/>
    <w:basedOn w:val="1"/>
    <w:qFormat/>
    <w:uiPriority w:val="0"/>
    <w:rPr>
      <w:rFonts w:ascii="Arial" w:hAnsi="Arial"/>
    </w:rPr>
  </w:style>
  <w:style w:type="paragraph" w:styleId="6">
    <w:name w:val="Body Text"/>
    <w:basedOn w:val="1"/>
    <w:next w:val="7"/>
    <w:qFormat/>
    <w:uiPriority w:val="99"/>
    <w:pPr>
      <w:widowControl w:val="0"/>
      <w:jc w:val="both"/>
    </w:pPr>
    <w:rPr>
      <w:rFonts w:ascii="Calibri" w:hAnsi="Calibri" w:eastAsia="宋体" w:cs="Times New Roman"/>
      <w:b/>
      <w:kern w:val="2"/>
      <w:sz w:val="21"/>
      <w:szCs w:val="24"/>
      <w:lang w:val="en-US" w:eastAsia="zh-CN" w:bidi="ar-SA"/>
    </w:rPr>
  </w:style>
  <w:style w:type="paragraph" w:styleId="7">
    <w:name w:val="Body Text First Indent"/>
    <w:basedOn w:val="6"/>
    <w:next w:val="8"/>
    <w:qFormat/>
    <w:uiPriority w:val="0"/>
    <w:pPr>
      <w:widowControl w:val="0"/>
      <w:spacing w:after="120"/>
      <w:ind w:firstLine="420" w:firstLineChars="100"/>
      <w:jc w:val="both"/>
    </w:pPr>
    <w:rPr>
      <w:rFonts w:ascii="Calibri" w:hAnsi="Calibri" w:eastAsia="宋体" w:cs="Times New Roman"/>
      <w:kern w:val="2"/>
      <w:sz w:val="21"/>
      <w:szCs w:val="24"/>
      <w:lang w:val="en-US" w:eastAsia="zh-CN" w:bidi="ar-SA"/>
    </w:rPr>
  </w:style>
  <w:style w:type="paragraph" w:styleId="8">
    <w:name w:val="Plain Text"/>
    <w:basedOn w:val="1"/>
    <w:qFormat/>
    <w:uiPriority w:val="0"/>
    <w:rPr>
      <w:rFonts w:ascii="宋体" w:hAnsi="Courier New" w:cs="Courier New"/>
      <w:szCs w:val="21"/>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Office_11.8.2.9958_F1E327BC-269C-435d-A152-05C5408002CA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2024-03-07T06:55:00Z</dcterms:created>
  <dc:creator>Viola_happy</dc:creator>
  <cp:lastModifiedBy>user</cp:lastModifiedBy>
  <dcterms:modified xsi:type="dcterms:W3CDTF">2024-05-07T15:11:54Z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2052-11.8.2.9958</vt:lpwstr>
  </property>
  <property fmtid="{D5CDD505-2E9C-101B-9397-08002B2CF9AE}" pid="3" name="ICV">
    <vt:lpwstr>7FD0FDCA0A334D18A9575A4A7F55EB17_11</vt:lpwstr>
  </property>
</Properties>
</file>