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234B4">
      <w:pPr>
        <w:jc w:val="center"/>
        <w:outlineLvl w:val="0"/>
        <w:rPr>
          <w:rFonts w:ascii="Times New Roman" w:hAnsi="Times New Roman" w:eastAsia="方正小标宋简体" w:cs="Times New Roman"/>
          <w:sz w:val="40"/>
          <w:szCs w:val="48"/>
        </w:rPr>
      </w:pPr>
      <w:bookmarkStart w:id="0" w:name="_Toc27958"/>
      <w:bookmarkStart w:id="1" w:name="_Toc13990"/>
    </w:p>
    <w:p w14:paraId="1D466233">
      <w:pPr>
        <w:pStyle w:val="8"/>
        <w:rPr>
          <w:rFonts w:ascii="Times New Roman" w:hAnsi="Times New Roman" w:eastAsia="方正小标宋简体" w:cs="Times New Roman"/>
          <w:sz w:val="40"/>
          <w:szCs w:val="48"/>
        </w:rPr>
      </w:pPr>
    </w:p>
    <w:p w14:paraId="1A5A7B9A">
      <w:pPr>
        <w:pStyle w:val="9"/>
        <w:rPr>
          <w:rFonts w:ascii="Times New Roman" w:hAnsi="Times New Roman" w:cs="Times New Roman"/>
        </w:rPr>
      </w:pPr>
    </w:p>
    <w:p w14:paraId="2349DEF1">
      <w:pPr>
        <w:jc w:val="center"/>
        <w:outlineLvl w:val="0"/>
        <w:rPr>
          <w:rFonts w:ascii="Times New Roman" w:hAnsi="Times New Roman" w:eastAsia="方正小标宋简体" w:cs="Times New Roman"/>
          <w:sz w:val="40"/>
          <w:szCs w:val="48"/>
        </w:rPr>
      </w:pPr>
    </w:p>
    <w:p w14:paraId="20F0A157">
      <w:pPr>
        <w:jc w:val="center"/>
        <w:rPr>
          <w:rFonts w:ascii="Times New Roman" w:hAnsi="Times New Roman" w:eastAsia="方正小标宋简体" w:cs="Times New Roman"/>
          <w:sz w:val="44"/>
          <w:szCs w:val="44"/>
          <w:lang w:bidi="ar"/>
        </w:rPr>
      </w:pPr>
      <w:r>
        <w:rPr>
          <w:rFonts w:ascii="Times New Roman" w:hAnsi="Times New Roman" w:eastAsia="方正小标宋简体" w:cs="Times New Roman"/>
          <w:sz w:val="44"/>
          <w:szCs w:val="44"/>
          <w:lang w:bidi="ar"/>
        </w:rPr>
        <w:t>瑞安市国民经济和社会发展第十四个五年规划和二</w:t>
      </w:r>
      <w:r>
        <w:rPr>
          <w:rFonts w:ascii="Times New Roman" w:hAnsi="Times New Roman" w:eastAsia="宋体" w:cs="Times New Roman"/>
          <w:sz w:val="44"/>
          <w:szCs w:val="44"/>
          <w:lang w:bidi="ar"/>
        </w:rPr>
        <w:t>〇</w:t>
      </w:r>
      <w:r>
        <w:rPr>
          <w:rFonts w:ascii="Times New Roman" w:hAnsi="Times New Roman" w:eastAsia="方正小标宋简体" w:cs="Times New Roman"/>
          <w:sz w:val="44"/>
          <w:szCs w:val="44"/>
          <w:lang w:bidi="ar"/>
        </w:rPr>
        <w:t>三五年远景目标纲要</w:t>
      </w:r>
    </w:p>
    <w:p w14:paraId="3FA17A2F">
      <w:pPr>
        <w:jc w:val="center"/>
        <w:rPr>
          <w:rFonts w:ascii="Times New Roman" w:hAnsi="Times New Roman" w:eastAsia="方正小标宋简体" w:cs="Times New Roman"/>
          <w:sz w:val="48"/>
          <w:szCs w:val="48"/>
        </w:rPr>
      </w:pPr>
      <w:r>
        <w:rPr>
          <w:rFonts w:ascii="Times New Roman" w:hAnsi="Times New Roman" w:eastAsia="方正小标宋简体" w:cs="Times New Roman"/>
          <w:sz w:val="44"/>
          <w:szCs w:val="44"/>
          <w:lang w:bidi="ar"/>
        </w:rPr>
        <w:t>中期评估报告</w:t>
      </w:r>
      <w:bookmarkEnd w:id="0"/>
      <w:bookmarkEnd w:id="1"/>
    </w:p>
    <w:p w14:paraId="28EF446D">
      <w:pPr>
        <w:jc w:val="center"/>
        <w:rPr>
          <w:rFonts w:ascii="Times New Roman" w:hAnsi="Times New Roman" w:eastAsia="楷体_GB2312" w:cs="Times New Roman"/>
          <w:sz w:val="40"/>
          <w:szCs w:val="48"/>
        </w:rPr>
      </w:pPr>
      <w:r>
        <w:rPr>
          <w:rFonts w:ascii="Times New Roman" w:hAnsi="Times New Roman" w:eastAsia="楷体_GB2312" w:cs="Times New Roman"/>
          <w:sz w:val="40"/>
          <w:szCs w:val="48"/>
        </w:rPr>
        <w:t>（</w:t>
      </w:r>
      <w:r>
        <w:rPr>
          <w:rFonts w:hint="eastAsia" w:ascii="Times New Roman" w:hAnsi="Times New Roman" w:eastAsia="楷体_GB2312" w:cs="Times New Roman"/>
          <w:sz w:val="40"/>
          <w:szCs w:val="48"/>
          <w:lang w:eastAsia="zh-CN"/>
        </w:rPr>
        <w:t>征求意见稿</w:t>
      </w:r>
      <w:r>
        <w:rPr>
          <w:rFonts w:ascii="Times New Roman" w:hAnsi="Times New Roman" w:eastAsia="楷体_GB2312" w:cs="Times New Roman"/>
          <w:sz w:val="40"/>
          <w:szCs w:val="48"/>
        </w:rPr>
        <w:t>）</w:t>
      </w:r>
    </w:p>
    <w:p w14:paraId="4FA97A0B">
      <w:pPr>
        <w:pStyle w:val="8"/>
        <w:rPr>
          <w:rFonts w:ascii="Times New Roman" w:hAnsi="Times New Roman" w:cs="Times New Roman"/>
          <w:szCs w:val="40"/>
        </w:rPr>
      </w:pPr>
    </w:p>
    <w:p w14:paraId="121A3200">
      <w:pPr>
        <w:pStyle w:val="9"/>
        <w:ind w:firstLine="0"/>
        <w:rPr>
          <w:rFonts w:ascii="Times New Roman" w:hAnsi="Times New Roman" w:cs="Times New Roman"/>
          <w:szCs w:val="40"/>
        </w:rPr>
      </w:pPr>
    </w:p>
    <w:p w14:paraId="6046A2D6">
      <w:pPr>
        <w:rPr>
          <w:rFonts w:ascii="Times New Roman" w:hAnsi="Times New Roman" w:cs="Times New Roman"/>
          <w:szCs w:val="40"/>
        </w:rPr>
      </w:pPr>
    </w:p>
    <w:p w14:paraId="6CF95C86">
      <w:pPr>
        <w:pStyle w:val="8"/>
        <w:rPr>
          <w:rFonts w:ascii="Times New Roman" w:hAnsi="Times New Roman" w:cs="Times New Roman"/>
          <w:szCs w:val="40"/>
        </w:rPr>
      </w:pPr>
    </w:p>
    <w:p w14:paraId="4E81D919">
      <w:pPr>
        <w:pStyle w:val="9"/>
        <w:ind w:firstLine="0"/>
        <w:rPr>
          <w:rFonts w:ascii="Times New Roman" w:hAnsi="Times New Roman" w:cs="Times New Roman"/>
          <w:szCs w:val="40"/>
        </w:rPr>
      </w:pPr>
    </w:p>
    <w:p w14:paraId="3CAD6ACB">
      <w:pPr>
        <w:rPr>
          <w:rFonts w:ascii="Times New Roman" w:hAnsi="Times New Roman" w:cs="Times New Roman"/>
          <w:szCs w:val="40"/>
        </w:rPr>
      </w:pPr>
    </w:p>
    <w:p w14:paraId="02D0D3BA">
      <w:pPr>
        <w:pStyle w:val="8"/>
        <w:rPr>
          <w:rFonts w:ascii="Times New Roman" w:hAnsi="Times New Roman" w:cs="Times New Roman"/>
          <w:szCs w:val="40"/>
        </w:rPr>
      </w:pPr>
    </w:p>
    <w:p w14:paraId="2A4B5936">
      <w:pPr>
        <w:pStyle w:val="8"/>
        <w:rPr>
          <w:rFonts w:ascii="Times New Roman" w:hAnsi="Times New Roman" w:cs="Times New Roman"/>
          <w:szCs w:val="40"/>
        </w:rPr>
      </w:pPr>
    </w:p>
    <w:p w14:paraId="78B98EFF">
      <w:pPr>
        <w:pStyle w:val="9"/>
        <w:ind w:firstLine="0"/>
        <w:rPr>
          <w:rFonts w:ascii="Times New Roman" w:hAnsi="Times New Roman" w:cs="Times New Roman"/>
          <w:szCs w:val="40"/>
        </w:rPr>
      </w:pPr>
    </w:p>
    <w:p w14:paraId="13D8E1C6">
      <w:pPr>
        <w:pStyle w:val="9"/>
        <w:ind w:firstLine="0"/>
        <w:jc w:val="center"/>
        <w:rPr>
          <w:rFonts w:ascii="Times New Roman" w:hAnsi="Times New Roman" w:eastAsia="黑体" w:cs="Times New Roman"/>
          <w:szCs w:val="40"/>
        </w:rPr>
      </w:pPr>
    </w:p>
    <w:p w14:paraId="05FCF93B">
      <w:pPr>
        <w:pStyle w:val="9"/>
        <w:ind w:firstLine="0"/>
        <w:jc w:val="center"/>
        <w:rPr>
          <w:rFonts w:ascii="Times New Roman" w:hAnsi="Times New Roman" w:eastAsia="黑体" w:cs="Times New Roman"/>
          <w:szCs w:val="40"/>
        </w:rPr>
      </w:pPr>
      <w:r>
        <w:rPr>
          <w:rFonts w:ascii="Times New Roman" w:hAnsi="Times New Roman" w:eastAsia="黑体" w:cs="Times New Roman"/>
          <w:szCs w:val="40"/>
        </w:rPr>
        <w:t>瑞安市</w:t>
      </w:r>
      <w:r>
        <w:rPr>
          <w:rFonts w:hint="eastAsia" w:ascii="Times New Roman" w:hAnsi="Times New Roman" w:eastAsia="黑体" w:cs="Times New Roman"/>
          <w:szCs w:val="40"/>
        </w:rPr>
        <w:t>发展和改革</w:t>
      </w:r>
      <w:r>
        <w:rPr>
          <w:rFonts w:ascii="Times New Roman" w:hAnsi="Times New Roman" w:eastAsia="黑体" w:cs="Times New Roman"/>
          <w:szCs w:val="40"/>
        </w:rPr>
        <w:t>局</w:t>
      </w:r>
    </w:p>
    <w:p w14:paraId="452AA246">
      <w:pPr>
        <w:pStyle w:val="9"/>
        <w:ind w:firstLine="0"/>
        <w:jc w:val="center"/>
        <w:rPr>
          <w:rFonts w:ascii="Times New Roman" w:hAnsi="Times New Roman" w:cs="Times New Roman"/>
        </w:rPr>
      </w:pPr>
      <w:r>
        <w:rPr>
          <w:rFonts w:ascii="Times New Roman" w:hAnsi="Times New Roman" w:eastAsia="黑体" w:cs="Times New Roman"/>
          <w:szCs w:val="40"/>
        </w:rPr>
        <w:t>2023年</w:t>
      </w:r>
      <w:r>
        <w:rPr>
          <w:rFonts w:hint="eastAsia" w:ascii="Times New Roman" w:hAnsi="Times New Roman" w:eastAsia="黑体" w:cs="Times New Roman"/>
          <w:szCs w:val="40"/>
        </w:rPr>
        <w:t>10</w:t>
      </w:r>
      <w:r>
        <w:rPr>
          <w:rFonts w:ascii="Times New Roman" w:hAnsi="Times New Roman" w:eastAsia="黑体" w:cs="Times New Roman"/>
          <w:szCs w:val="40"/>
        </w:rPr>
        <w:t>月</w:t>
      </w:r>
    </w:p>
    <w:p w14:paraId="3F4D4566">
      <w:pPr>
        <w:ind w:firstLine="640" w:firstLineChars="200"/>
        <w:rPr>
          <w:rFonts w:ascii="Times New Roman" w:hAnsi="Times New Roman" w:eastAsia="黑体" w:cs="Times New Roman"/>
          <w:szCs w:val="4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docGrid w:type="lines" w:linePitch="312" w:charSpace="0"/>
        </w:sectPr>
      </w:pPr>
    </w:p>
    <w:sdt>
      <w:sdtPr>
        <w:rPr>
          <w:rFonts w:ascii="Times New Roman" w:hAnsi="Times New Roman" w:eastAsia="黑体" w:cs="Times New Roman"/>
          <w:sz w:val="40"/>
          <w:szCs w:val="40"/>
        </w:rPr>
        <w:id w:val="147467016"/>
        <w15:color w:val="DBDBDB"/>
      </w:sdtPr>
      <w:sdtEndPr>
        <w:rPr>
          <w:rFonts w:ascii="Times New Roman" w:hAnsi="Times New Roman" w:eastAsia="仿宋_GB2312" w:cs="Times New Roman"/>
          <w:b/>
          <w:sz w:val="32"/>
          <w:szCs w:val="24"/>
        </w:rPr>
      </w:sdtEndPr>
      <w:sdtContent>
        <w:p w14:paraId="21B463EC">
          <w:pPr>
            <w:pStyle w:val="13"/>
            <w:tabs>
              <w:tab w:val="right" w:leader="dot" w:pos="8296"/>
            </w:tabs>
            <w:spacing w:before="156" w:beforeLines="50" w:after="156" w:afterLines="50" w:line="560" w:lineRule="exact"/>
            <w:jc w:val="center"/>
            <w:rPr>
              <w:rFonts w:ascii="Times New Roman" w:hAnsi="Times New Roman" w:cs="Times New Roman"/>
              <w:sz w:val="30"/>
              <w:szCs w:val="30"/>
            </w:rPr>
          </w:pPr>
          <w:r>
            <w:rPr>
              <w:rFonts w:ascii="Times New Roman" w:hAnsi="Times New Roman" w:eastAsia="黑体" w:cs="Times New Roman"/>
              <w:sz w:val="40"/>
              <w:szCs w:val="40"/>
            </w:rPr>
            <w:t>目 录</w:t>
          </w:r>
          <w:r>
            <w:rPr>
              <w:rFonts w:ascii="Times New Roman" w:hAnsi="Times New Roman" w:cs="Times New Roman"/>
              <w:sz w:val="30"/>
              <w:szCs w:val="30"/>
            </w:rPr>
            <w:fldChar w:fldCharType="begin"/>
          </w:r>
          <w:r>
            <w:rPr>
              <w:rFonts w:ascii="Times New Roman" w:hAnsi="Times New Roman" w:cs="Times New Roman"/>
              <w:sz w:val="30"/>
              <w:szCs w:val="30"/>
            </w:rPr>
            <w:instrText xml:space="preserve">TOC \o "1-2" \h \u </w:instrText>
          </w:r>
          <w:r>
            <w:rPr>
              <w:rFonts w:ascii="Times New Roman" w:hAnsi="Times New Roman" w:cs="Times New Roman"/>
              <w:sz w:val="30"/>
              <w:szCs w:val="30"/>
            </w:rPr>
            <w:fldChar w:fldCharType="separate"/>
          </w:r>
        </w:p>
        <w:p w14:paraId="0415F278">
          <w:pPr>
            <w:pStyle w:val="13"/>
            <w:tabs>
              <w:tab w:val="right" w:leader="dot" w:pos="8306"/>
            </w:tabs>
          </w:pPr>
          <w:r>
            <w:fldChar w:fldCharType="begin"/>
          </w:r>
          <w:r>
            <w:instrText xml:space="preserve"> HYPERLINK \l "_Toc6128" </w:instrText>
          </w:r>
          <w:r>
            <w:fldChar w:fldCharType="separate"/>
          </w:r>
          <w:r>
            <w:rPr>
              <w:rFonts w:ascii="Times New Roman" w:hAnsi="Times New Roman" w:eastAsia="黑体" w:cs="Times New Roman"/>
              <w:szCs w:val="40"/>
            </w:rPr>
            <w:t>一、“十四五”规划纲要</w:t>
          </w:r>
          <w:r>
            <w:rPr>
              <w:rFonts w:hint="eastAsia" w:ascii="Times New Roman" w:hAnsi="Times New Roman" w:eastAsia="黑体" w:cs="Times New Roman"/>
              <w:szCs w:val="40"/>
            </w:rPr>
            <w:t>主要指标完成</w:t>
          </w:r>
          <w:r>
            <w:rPr>
              <w:rFonts w:ascii="Times New Roman" w:hAnsi="Times New Roman" w:eastAsia="黑体" w:cs="Times New Roman"/>
              <w:szCs w:val="40"/>
            </w:rPr>
            <w:t>情况</w:t>
          </w:r>
          <w:r>
            <w:tab/>
          </w:r>
          <w:r>
            <w:fldChar w:fldCharType="begin"/>
          </w:r>
          <w:r>
            <w:instrText xml:space="preserve"> PAGEREF _Toc6128 \h </w:instrText>
          </w:r>
          <w:r>
            <w:fldChar w:fldCharType="separate"/>
          </w:r>
          <w:r>
            <w:t>- 1 -</w:t>
          </w:r>
          <w:r>
            <w:fldChar w:fldCharType="end"/>
          </w:r>
          <w:r>
            <w:fldChar w:fldCharType="end"/>
          </w:r>
        </w:p>
        <w:p w14:paraId="00982714">
          <w:pPr>
            <w:pStyle w:val="16"/>
            <w:tabs>
              <w:tab w:val="right" w:leader="dot" w:pos="8306"/>
            </w:tabs>
            <w:ind w:left="640"/>
          </w:pPr>
          <w:r>
            <w:fldChar w:fldCharType="begin"/>
          </w:r>
          <w:r>
            <w:instrText xml:space="preserve"> HYPERLINK \l "_Toc2299" </w:instrText>
          </w:r>
          <w:r>
            <w:fldChar w:fldCharType="separate"/>
          </w:r>
          <w:r>
            <w:rPr>
              <w:rFonts w:ascii="Times New Roman" w:hAnsi="Times New Roman" w:cs="Times New Roman"/>
              <w:bCs/>
              <w:shd w:val="clear" w:color="auto" w:fill="FFFFFF" w:themeFill="background1"/>
            </w:rPr>
            <w:t>（一）指标</w:t>
          </w:r>
          <w:r>
            <w:rPr>
              <w:rFonts w:hint="eastAsia" w:ascii="Times New Roman" w:hAnsi="Times New Roman" w:cs="Times New Roman"/>
              <w:bCs/>
              <w:shd w:val="clear" w:color="auto" w:fill="FFFFFF" w:themeFill="background1"/>
            </w:rPr>
            <w:t>总体</w:t>
          </w:r>
          <w:r>
            <w:rPr>
              <w:rFonts w:ascii="Times New Roman" w:hAnsi="Times New Roman" w:cs="Times New Roman"/>
              <w:bCs/>
              <w:shd w:val="clear" w:color="auto" w:fill="FFFFFF" w:themeFill="background1"/>
            </w:rPr>
            <w:t>完成情况</w:t>
          </w:r>
          <w:r>
            <w:tab/>
          </w:r>
          <w:r>
            <w:fldChar w:fldCharType="begin"/>
          </w:r>
          <w:r>
            <w:instrText xml:space="preserve"> PAGEREF _Toc2299 \h </w:instrText>
          </w:r>
          <w:r>
            <w:fldChar w:fldCharType="separate"/>
          </w:r>
          <w:r>
            <w:t>- 1 -</w:t>
          </w:r>
          <w:r>
            <w:fldChar w:fldCharType="end"/>
          </w:r>
          <w:r>
            <w:fldChar w:fldCharType="end"/>
          </w:r>
        </w:p>
        <w:p w14:paraId="39B011FC">
          <w:pPr>
            <w:pStyle w:val="16"/>
            <w:tabs>
              <w:tab w:val="right" w:leader="dot" w:pos="8306"/>
            </w:tabs>
            <w:ind w:left="640"/>
          </w:pPr>
          <w:r>
            <w:fldChar w:fldCharType="begin"/>
          </w:r>
          <w:r>
            <w:instrText xml:space="preserve"> HYPERLINK \l "_Toc15392" </w:instrText>
          </w:r>
          <w:r>
            <w:fldChar w:fldCharType="separate"/>
          </w:r>
          <w:r>
            <w:rPr>
              <w:rFonts w:hint="eastAsia" w:ascii="Times New Roman" w:hAnsi="Times New Roman" w:cs="Times New Roman"/>
              <w:bCs/>
              <w:kern w:val="0"/>
              <w:szCs w:val="32"/>
              <w:shd w:val="clear" w:color="auto" w:fill="FFFFFF" w:themeFill="background1"/>
            </w:rPr>
            <w:t>（二）分项指标完成情况</w:t>
          </w:r>
          <w:r>
            <w:tab/>
          </w:r>
          <w:r>
            <w:fldChar w:fldCharType="begin"/>
          </w:r>
          <w:r>
            <w:instrText xml:space="preserve"> PAGEREF _Toc15392 \h </w:instrText>
          </w:r>
          <w:r>
            <w:fldChar w:fldCharType="separate"/>
          </w:r>
          <w:r>
            <w:t>- 2 -</w:t>
          </w:r>
          <w:r>
            <w:fldChar w:fldCharType="end"/>
          </w:r>
          <w:r>
            <w:fldChar w:fldCharType="end"/>
          </w:r>
        </w:p>
        <w:p w14:paraId="0B98E4CF">
          <w:pPr>
            <w:pStyle w:val="13"/>
            <w:tabs>
              <w:tab w:val="right" w:leader="dot" w:pos="8306"/>
            </w:tabs>
          </w:pPr>
          <w:r>
            <w:fldChar w:fldCharType="begin"/>
          </w:r>
          <w:r>
            <w:instrText xml:space="preserve"> HYPERLINK \l "_Toc4177" </w:instrText>
          </w:r>
          <w:r>
            <w:fldChar w:fldCharType="separate"/>
          </w:r>
          <w:r>
            <w:rPr>
              <w:rFonts w:hint="eastAsia" w:ascii="Times New Roman" w:hAnsi="Times New Roman" w:eastAsia="黑体" w:cs="Times New Roman"/>
              <w:szCs w:val="40"/>
            </w:rPr>
            <w:t>二、“十四五”规划纲要主要任务完成情况</w:t>
          </w:r>
          <w:r>
            <w:tab/>
          </w:r>
          <w:r>
            <w:fldChar w:fldCharType="begin"/>
          </w:r>
          <w:r>
            <w:instrText xml:space="preserve"> PAGEREF _Toc4177 \h </w:instrText>
          </w:r>
          <w:r>
            <w:fldChar w:fldCharType="separate"/>
          </w:r>
          <w:r>
            <w:t>- 8 -</w:t>
          </w:r>
          <w:r>
            <w:fldChar w:fldCharType="end"/>
          </w:r>
          <w:r>
            <w:fldChar w:fldCharType="end"/>
          </w:r>
        </w:p>
        <w:p w14:paraId="782640FD">
          <w:pPr>
            <w:pStyle w:val="16"/>
            <w:tabs>
              <w:tab w:val="right" w:leader="dot" w:pos="8306"/>
            </w:tabs>
            <w:ind w:left="640"/>
          </w:pPr>
          <w:r>
            <w:fldChar w:fldCharType="begin"/>
          </w:r>
          <w:r>
            <w:instrText xml:space="preserve"> HYPERLINK \l "_Toc2448" </w:instrText>
          </w:r>
          <w:r>
            <w:fldChar w:fldCharType="separate"/>
          </w:r>
          <w:r>
            <w:rPr>
              <w:rFonts w:hint="eastAsia" w:ascii="Times New Roman" w:hAnsi="Times New Roman" w:cs="Times New Roman"/>
              <w:bCs/>
              <w:szCs w:val="40"/>
            </w:rPr>
            <w:t>（一）</w:t>
          </w:r>
          <w:r>
            <w:rPr>
              <w:rFonts w:ascii="Times New Roman" w:hAnsi="Times New Roman" w:cs="Times New Roman"/>
              <w:bCs/>
              <w:szCs w:val="40"/>
            </w:rPr>
            <w:t>温瑞一体化深度融合发展</w:t>
          </w:r>
          <w:r>
            <w:tab/>
          </w:r>
          <w:r>
            <w:fldChar w:fldCharType="begin"/>
          </w:r>
          <w:r>
            <w:instrText xml:space="preserve"> PAGEREF _Toc2448 \h </w:instrText>
          </w:r>
          <w:r>
            <w:fldChar w:fldCharType="separate"/>
          </w:r>
          <w:r>
            <w:t>- 8 -</w:t>
          </w:r>
          <w:r>
            <w:fldChar w:fldCharType="end"/>
          </w:r>
          <w:r>
            <w:fldChar w:fldCharType="end"/>
          </w:r>
        </w:p>
        <w:p w14:paraId="29216F51">
          <w:pPr>
            <w:pStyle w:val="16"/>
            <w:tabs>
              <w:tab w:val="right" w:leader="dot" w:pos="8306"/>
            </w:tabs>
            <w:ind w:left="640"/>
          </w:pPr>
          <w:r>
            <w:fldChar w:fldCharType="begin"/>
          </w:r>
          <w:r>
            <w:instrText xml:space="preserve"> HYPERLINK \l "_Toc16466" </w:instrText>
          </w:r>
          <w:r>
            <w:fldChar w:fldCharType="separate"/>
          </w:r>
          <w:r>
            <w:rPr>
              <w:rFonts w:hint="eastAsia" w:ascii="Times New Roman" w:hAnsi="Times New Roman" w:cs="Times New Roman"/>
              <w:bCs/>
              <w:szCs w:val="32"/>
            </w:rPr>
            <w:t>（二）</w:t>
          </w:r>
          <w:r>
            <w:rPr>
              <w:rFonts w:ascii="Times New Roman" w:hAnsi="Times New Roman" w:cs="Times New Roman"/>
              <w:bCs/>
              <w:szCs w:val="32"/>
            </w:rPr>
            <w:t>浙南创新高地提速打造</w:t>
          </w:r>
          <w:r>
            <w:tab/>
          </w:r>
          <w:r>
            <w:fldChar w:fldCharType="begin"/>
          </w:r>
          <w:r>
            <w:instrText xml:space="preserve"> PAGEREF _Toc16466 \h </w:instrText>
          </w:r>
          <w:r>
            <w:fldChar w:fldCharType="separate"/>
          </w:r>
          <w:r>
            <w:t>- 12 -</w:t>
          </w:r>
          <w:r>
            <w:fldChar w:fldCharType="end"/>
          </w:r>
          <w:r>
            <w:fldChar w:fldCharType="end"/>
          </w:r>
        </w:p>
        <w:p w14:paraId="5FA9807A">
          <w:pPr>
            <w:pStyle w:val="16"/>
            <w:tabs>
              <w:tab w:val="right" w:leader="dot" w:pos="8306"/>
            </w:tabs>
            <w:ind w:left="640"/>
          </w:pPr>
          <w:r>
            <w:fldChar w:fldCharType="begin"/>
          </w:r>
          <w:r>
            <w:instrText xml:space="preserve"> HYPERLINK \l "_Toc26814" </w:instrText>
          </w:r>
          <w:r>
            <w:fldChar w:fldCharType="separate"/>
          </w:r>
          <w:r>
            <w:rPr>
              <w:rFonts w:hint="eastAsia" w:ascii="Times New Roman" w:hAnsi="Times New Roman" w:cs="Times New Roman"/>
              <w:bCs/>
            </w:rPr>
            <w:t>（三）</w:t>
          </w:r>
          <w:r>
            <w:rPr>
              <w:rFonts w:ascii="Times New Roman" w:hAnsi="Times New Roman" w:cs="Times New Roman"/>
              <w:bCs/>
            </w:rPr>
            <w:t>现代化产业体系动能强劲</w:t>
          </w:r>
          <w:r>
            <w:tab/>
          </w:r>
          <w:r>
            <w:fldChar w:fldCharType="begin"/>
          </w:r>
          <w:r>
            <w:instrText xml:space="preserve"> PAGEREF _Toc26814 \h </w:instrText>
          </w:r>
          <w:r>
            <w:fldChar w:fldCharType="separate"/>
          </w:r>
          <w:r>
            <w:t>- 15 -</w:t>
          </w:r>
          <w:r>
            <w:fldChar w:fldCharType="end"/>
          </w:r>
          <w:r>
            <w:fldChar w:fldCharType="end"/>
          </w:r>
        </w:p>
        <w:p w14:paraId="35E01291">
          <w:pPr>
            <w:pStyle w:val="16"/>
            <w:tabs>
              <w:tab w:val="right" w:leader="dot" w:pos="8306"/>
            </w:tabs>
            <w:ind w:left="640"/>
          </w:pPr>
          <w:r>
            <w:fldChar w:fldCharType="begin"/>
          </w:r>
          <w:r>
            <w:instrText xml:space="preserve"> HYPERLINK \l "_Toc11475" </w:instrText>
          </w:r>
          <w:r>
            <w:fldChar w:fldCharType="separate"/>
          </w:r>
          <w:r>
            <w:rPr>
              <w:rFonts w:hint="eastAsia" w:ascii="Times New Roman" w:hAnsi="Times New Roman" w:cs="Times New Roman"/>
              <w:bCs/>
              <w:szCs w:val="32"/>
            </w:rPr>
            <w:t>（四）</w:t>
          </w:r>
          <w:r>
            <w:rPr>
              <w:rFonts w:ascii="Times New Roman" w:hAnsi="Times New Roman" w:cs="Times New Roman"/>
              <w:bCs/>
              <w:kern w:val="0"/>
              <w:szCs w:val="32"/>
            </w:rPr>
            <w:t>乡村振兴建设全域推进</w:t>
          </w:r>
          <w:r>
            <w:tab/>
          </w:r>
          <w:r>
            <w:fldChar w:fldCharType="begin"/>
          </w:r>
          <w:r>
            <w:instrText xml:space="preserve"> PAGEREF _Toc11475 \h </w:instrText>
          </w:r>
          <w:r>
            <w:fldChar w:fldCharType="separate"/>
          </w:r>
          <w:r>
            <w:t>- 17 -</w:t>
          </w:r>
          <w:r>
            <w:fldChar w:fldCharType="end"/>
          </w:r>
          <w:r>
            <w:fldChar w:fldCharType="end"/>
          </w:r>
        </w:p>
        <w:p w14:paraId="466AE652">
          <w:pPr>
            <w:pStyle w:val="16"/>
            <w:tabs>
              <w:tab w:val="right" w:leader="dot" w:pos="8306"/>
            </w:tabs>
            <w:ind w:left="640"/>
          </w:pPr>
          <w:r>
            <w:fldChar w:fldCharType="begin"/>
          </w:r>
          <w:r>
            <w:instrText xml:space="preserve"> HYPERLINK \l "_Toc32312" </w:instrText>
          </w:r>
          <w:r>
            <w:fldChar w:fldCharType="separate"/>
          </w:r>
          <w:r>
            <w:rPr>
              <w:rFonts w:hint="eastAsia" w:ascii="Times New Roman" w:hAnsi="Times New Roman" w:cs="Times New Roman"/>
              <w:bCs/>
              <w:szCs w:val="32"/>
            </w:rPr>
            <w:t>（五）</w:t>
          </w:r>
          <w:r>
            <w:rPr>
              <w:rFonts w:ascii="Times New Roman" w:hAnsi="Times New Roman" w:cs="Times New Roman"/>
              <w:bCs/>
            </w:rPr>
            <w:t>民营经济稳步迈向高质量</w:t>
          </w:r>
          <w:r>
            <w:tab/>
          </w:r>
          <w:r>
            <w:fldChar w:fldCharType="begin"/>
          </w:r>
          <w:r>
            <w:instrText xml:space="preserve"> PAGEREF _Toc32312 \h </w:instrText>
          </w:r>
          <w:r>
            <w:fldChar w:fldCharType="separate"/>
          </w:r>
          <w:r>
            <w:t>- 19 -</w:t>
          </w:r>
          <w:r>
            <w:fldChar w:fldCharType="end"/>
          </w:r>
          <w:r>
            <w:fldChar w:fldCharType="end"/>
          </w:r>
        </w:p>
        <w:p w14:paraId="0F5CC563">
          <w:pPr>
            <w:pStyle w:val="16"/>
            <w:tabs>
              <w:tab w:val="right" w:leader="dot" w:pos="8306"/>
            </w:tabs>
            <w:ind w:left="640"/>
          </w:pPr>
          <w:r>
            <w:fldChar w:fldCharType="begin"/>
          </w:r>
          <w:r>
            <w:instrText xml:space="preserve"> HYPERLINK \l "_Toc28688" </w:instrText>
          </w:r>
          <w:r>
            <w:fldChar w:fldCharType="separate"/>
          </w:r>
          <w:r>
            <w:rPr>
              <w:rFonts w:hint="eastAsia" w:ascii="Times New Roman" w:hAnsi="Times New Roman" w:cs="Times New Roman"/>
              <w:bCs/>
              <w:szCs w:val="32"/>
            </w:rPr>
            <w:t>（六）</w:t>
          </w:r>
          <w:r>
            <w:rPr>
              <w:rFonts w:ascii="Times New Roman" w:hAnsi="Times New Roman" w:cs="Times New Roman"/>
              <w:bCs/>
            </w:rPr>
            <w:t>双循环开放格局逐步构建</w:t>
          </w:r>
          <w:r>
            <w:tab/>
          </w:r>
          <w:r>
            <w:fldChar w:fldCharType="begin"/>
          </w:r>
          <w:r>
            <w:instrText xml:space="preserve"> PAGEREF _Toc28688 \h </w:instrText>
          </w:r>
          <w:r>
            <w:fldChar w:fldCharType="separate"/>
          </w:r>
          <w:r>
            <w:t>- 21 -</w:t>
          </w:r>
          <w:r>
            <w:fldChar w:fldCharType="end"/>
          </w:r>
          <w:r>
            <w:fldChar w:fldCharType="end"/>
          </w:r>
        </w:p>
        <w:p w14:paraId="38B2E39F">
          <w:pPr>
            <w:pStyle w:val="16"/>
            <w:tabs>
              <w:tab w:val="right" w:leader="dot" w:pos="8306"/>
            </w:tabs>
            <w:ind w:left="640"/>
          </w:pPr>
          <w:r>
            <w:fldChar w:fldCharType="begin"/>
          </w:r>
          <w:r>
            <w:instrText xml:space="preserve"> HYPERLINK \l "_Toc27554" </w:instrText>
          </w:r>
          <w:r>
            <w:fldChar w:fldCharType="separate"/>
          </w:r>
          <w:r>
            <w:rPr>
              <w:rFonts w:hint="eastAsia" w:ascii="Times New Roman" w:hAnsi="Times New Roman" w:cs="Times New Roman"/>
              <w:bCs/>
            </w:rPr>
            <w:t>（七）</w:t>
          </w:r>
          <w:r>
            <w:rPr>
              <w:rFonts w:ascii="Times New Roman" w:hAnsi="Times New Roman" w:cs="Times New Roman"/>
              <w:bCs/>
            </w:rPr>
            <w:t>瓯越文化魅力充分彰显</w:t>
          </w:r>
          <w:r>
            <w:tab/>
          </w:r>
          <w:r>
            <w:fldChar w:fldCharType="begin"/>
          </w:r>
          <w:r>
            <w:instrText xml:space="preserve"> PAGEREF _Toc27554 \h </w:instrText>
          </w:r>
          <w:r>
            <w:fldChar w:fldCharType="separate"/>
          </w:r>
          <w:r>
            <w:t>- 25 -</w:t>
          </w:r>
          <w:r>
            <w:fldChar w:fldCharType="end"/>
          </w:r>
          <w:r>
            <w:fldChar w:fldCharType="end"/>
          </w:r>
        </w:p>
        <w:p w14:paraId="3399A225">
          <w:pPr>
            <w:pStyle w:val="16"/>
            <w:tabs>
              <w:tab w:val="right" w:leader="dot" w:pos="8306"/>
            </w:tabs>
            <w:ind w:left="640"/>
          </w:pPr>
          <w:r>
            <w:fldChar w:fldCharType="begin"/>
          </w:r>
          <w:r>
            <w:instrText xml:space="preserve"> HYPERLINK \l "_Toc15372" </w:instrText>
          </w:r>
          <w:r>
            <w:fldChar w:fldCharType="separate"/>
          </w:r>
          <w:r>
            <w:rPr>
              <w:rFonts w:hint="eastAsia" w:ascii="Times New Roman" w:hAnsi="Times New Roman" w:cs="Times New Roman"/>
              <w:bCs/>
              <w:szCs w:val="32"/>
            </w:rPr>
            <w:t>（八）</w:t>
          </w:r>
          <w:r>
            <w:rPr>
              <w:rFonts w:ascii="Times New Roman" w:hAnsi="Times New Roman" w:cs="Times New Roman"/>
              <w:bCs/>
              <w:szCs w:val="32"/>
            </w:rPr>
            <w:t>生态文明建设步入快车道</w:t>
          </w:r>
          <w:r>
            <w:tab/>
          </w:r>
          <w:r>
            <w:fldChar w:fldCharType="begin"/>
          </w:r>
          <w:r>
            <w:instrText xml:space="preserve"> PAGEREF _Toc15372 \h </w:instrText>
          </w:r>
          <w:r>
            <w:fldChar w:fldCharType="separate"/>
          </w:r>
          <w:r>
            <w:t>- 28 -</w:t>
          </w:r>
          <w:r>
            <w:fldChar w:fldCharType="end"/>
          </w:r>
          <w:r>
            <w:fldChar w:fldCharType="end"/>
          </w:r>
        </w:p>
        <w:p w14:paraId="10FCE395">
          <w:pPr>
            <w:pStyle w:val="16"/>
            <w:tabs>
              <w:tab w:val="right" w:leader="dot" w:pos="8306"/>
            </w:tabs>
            <w:ind w:left="640"/>
          </w:pPr>
          <w:r>
            <w:fldChar w:fldCharType="begin"/>
          </w:r>
          <w:r>
            <w:instrText xml:space="preserve"> HYPERLINK \l "_Toc7710" </w:instrText>
          </w:r>
          <w:r>
            <w:fldChar w:fldCharType="separate"/>
          </w:r>
          <w:r>
            <w:rPr>
              <w:rFonts w:hint="eastAsia" w:ascii="Times New Roman" w:hAnsi="Times New Roman" w:cs="Times New Roman"/>
              <w:bCs/>
              <w:szCs w:val="32"/>
            </w:rPr>
            <w:t>（九）</w:t>
          </w:r>
          <w:r>
            <w:rPr>
              <w:rFonts w:ascii="Times New Roman" w:hAnsi="Times New Roman" w:cs="Times New Roman"/>
              <w:bCs/>
              <w:szCs w:val="32"/>
            </w:rPr>
            <w:t>幸福城市底色持续擦亮</w:t>
          </w:r>
          <w:r>
            <w:tab/>
          </w:r>
          <w:r>
            <w:fldChar w:fldCharType="begin"/>
          </w:r>
          <w:r>
            <w:instrText xml:space="preserve"> PAGEREF _Toc7710 \h </w:instrText>
          </w:r>
          <w:r>
            <w:fldChar w:fldCharType="separate"/>
          </w:r>
          <w:r>
            <w:t>- 31 -</w:t>
          </w:r>
          <w:r>
            <w:fldChar w:fldCharType="end"/>
          </w:r>
          <w:r>
            <w:fldChar w:fldCharType="end"/>
          </w:r>
        </w:p>
        <w:p w14:paraId="36451F70">
          <w:pPr>
            <w:pStyle w:val="16"/>
            <w:tabs>
              <w:tab w:val="right" w:leader="dot" w:pos="8306"/>
            </w:tabs>
            <w:ind w:left="640"/>
          </w:pPr>
          <w:r>
            <w:fldChar w:fldCharType="begin"/>
          </w:r>
          <w:r>
            <w:instrText xml:space="preserve"> HYPERLINK \l "_Toc26597" </w:instrText>
          </w:r>
          <w:r>
            <w:fldChar w:fldCharType="separate"/>
          </w:r>
          <w:r>
            <w:rPr>
              <w:rFonts w:hint="eastAsia" w:ascii="Times New Roman" w:hAnsi="Times New Roman" w:cs="Times New Roman"/>
              <w:bCs/>
              <w:szCs w:val="32"/>
            </w:rPr>
            <w:t>（十）</w:t>
          </w:r>
          <w:r>
            <w:rPr>
              <w:rFonts w:ascii="Times New Roman" w:hAnsi="Times New Roman" w:cs="Times New Roman"/>
              <w:bCs/>
              <w:szCs w:val="32"/>
            </w:rPr>
            <w:t>县域治理韧性不断提升</w:t>
          </w:r>
          <w:r>
            <w:tab/>
          </w:r>
          <w:r>
            <w:fldChar w:fldCharType="begin"/>
          </w:r>
          <w:r>
            <w:instrText xml:space="preserve"> PAGEREF _Toc26597 \h </w:instrText>
          </w:r>
          <w:r>
            <w:fldChar w:fldCharType="separate"/>
          </w:r>
          <w:r>
            <w:t>- 34 -</w:t>
          </w:r>
          <w:r>
            <w:fldChar w:fldCharType="end"/>
          </w:r>
          <w:r>
            <w:fldChar w:fldCharType="end"/>
          </w:r>
        </w:p>
        <w:p w14:paraId="723A5D4C">
          <w:pPr>
            <w:pStyle w:val="13"/>
            <w:tabs>
              <w:tab w:val="right" w:leader="dot" w:pos="8306"/>
            </w:tabs>
          </w:pPr>
          <w:r>
            <w:fldChar w:fldCharType="begin"/>
          </w:r>
          <w:r>
            <w:instrText xml:space="preserve"> HYPERLINK \l "_Toc15567" </w:instrText>
          </w:r>
          <w:r>
            <w:fldChar w:fldCharType="separate"/>
          </w:r>
          <w:r>
            <w:rPr>
              <w:rFonts w:hint="eastAsia" w:ascii="Times New Roman" w:hAnsi="Times New Roman" w:eastAsia="黑体" w:cs="Times New Roman"/>
              <w:szCs w:val="40"/>
              <w:shd w:val="clear" w:color="auto" w:fill="FFFFFF" w:themeFill="background1"/>
            </w:rPr>
            <w:t>三</w:t>
          </w:r>
          <w:r>
            <w:rPr>
              <w:rFonts w:ascii="Times New Roman" w:hAnsi="Times New Roman" w:eastAsia="黑体" w:cs="Times New Roman"/>
              <w:szCs w:val="40"/>
              <w:shd w:val="clear" w:color="auto" w:fill="FFFFFF" w:themeFill="background1"/>
            </w:rPr>
            <w:t>、“十四五”规划纲要实施的主要问题</w:t>
          </w:r>
          <w:r>
            <w:tab/>
          </w:r>
          <w:r>
            <w:fldChar w:fldCharType="begin"/>
          </w:r>
          <w:r>
            <w:instrText xml:space="preserve"> PAGEREF _Toc15567 \h </w:instrText>
          </w:r>
          <w:r>
            <w:fldChar w:fldCharType="separate"/>
          </w:r>
          <w:r>
            <w:t>- 36 -</w:t>
          </w:r>
          <w:r>
            <w:fldChar w:fldCharType="end"/>
          </w:r>
          <w:r>
            <w:fldChar w:fldCharType="end"/>
          </w:r>
        </w:p>
        <w:p w14:paraId="1AB21B58">
          <w:pPr>
            <w:pStyle w:val="16"/>
            <w:tabs>
              <w:tab w:val="right" w:leader="dot" w:pos="8306"/>
            </w:tabs>
            <w:ind w:left="640"/>
          </w:pPr>
          <w:r>
            <w:fldChar w:fldCharType="begin"/>
          </w:r>
          <w:r>
            <w:instrText xml:space="preserve"> HYPERLINK \l "_Toc24768" </w:instrText>
          </w:r>
          <w:r>
            <w:fldChar w:fldCharType="separate"/>
          </w:r>
          <w:r>
            <w:rPr>
              <w:rFonts w:ascii="Times New Roman" w:hAnsi="Times New Roman" w:cs="Times New Roman"/>
              <w:bCs/>
              <w:shd w:val="clear" w:color="auto" w:fill="FFFFFF" w:themeFill="background1"/>
            </w:rPr>
            <w:t>（一）经济增长</w:t>
          </w:r>
          <w:r>
            <w:rPr>
              <w:rFonts w:hint="eastAsia" w:ascii="Times New Roman" w:hAnsi="Times New Roman" w:cs="Times New Roman"/>
              <w:bCs/>
              <w:shd w:val="clear" w:color="auto" w:fill="FFFFFF" w:themeFill="background1"/>
            </w:rPr>
            <w:t>动能有待进一步增强</w:t>
          </w:r>
          <w:r>
            <w:tab/>
          </w:r>
          <w:r>
            <w:fldChar w:fldCharType="begin"/>
          </w:r>
          <w:r>
            <w:instrText xml:space="preserve"> PAGEREF _Toc24768 \h </w:instrText>
          </w:r>
          <w:r>
            <w:fldChar w:fldCharType="separate"/>
          </w:r>
          <w:r>
            <w:t>- 36 -</w:t>
          </w:r>
          <w:r>
            <w:fldChar w:fldCharType="end"/>
          </w:r>
          <w:r>
            <w:fldChar w:fldCharType="end"/>
          </w:r>
        </w:p>
        <w:p w14:paraId="166B8FD9">
          <w:pPr>
            <w:pStyle w:val="16"/>
            <w:tabs>
              <w:tab w:val="right" w:leader="dot" w:pos="8306"/>
            </w:tabs>
            <w:ind w:left="640"/>
          </w:pPr>
          <w:r>
            <w:fldChar w:fldCharType="begin"/>
          </w:r>
          <w:r>
            <w:instrText xml:space="preserve"> HYPERLINK \l "_Toc8330" </w:instrText>
          </w:r>
          <w:r>
            <w:fldChar w:fldCharType="separate"/>
          </w:r>
          <w:r>
            <w:rPr>
              <w:rFonts w:ascii="Times New Roman" w:hAnsi="Times New Roman" w:cs="Times New Roman"/>
              <w:bCs/>
            </w:rPr>
            <w:t>（二）科技创新</w:t>
          </w:r>
          <w:r>
            <w:rPr>
              <w:rFonts w:hint="eastAsia" w:ascii="Times New Roman" w:hAnsi="Times New Roman" w:cs="Times New Roman"/>
              <w:bCs/>
            </w:rPr>
            <w:t>能力有待进一步加强</w:t>
          </w:r>
          <w:r>
            <w:tab/>
          </w:r>
          <w:r>
            <w:fldChar w:fldCharType="begin"/>
          </w:r>
          <w:r>
            <w:instrText xml:space="preserve"> PAGEREF _Toc8330 \h </w:instrText>
          </w:r>
          <w:r>
            <w:fldChar w:fldCharType="separate"/>
          </w:r>
          <w:r>
            <w:t>- 39 -</w:t>
          </w:r>
          <w:r>
            <w:fldChar w:fldCharType="end"/>
          </w:r>
          <w:r>
            <w:fldChar w:fldCharType="end"/>
          </w:r>
        </w:p>
        <w:p w14:paraId="5D872FA9">
          <w:pPr>
            <w:pStyle w:val="16"/>
            <w:tabs>
              <w:tab w:val="right" w:leader="dot" w:pos="8306"/>
            </w:tabs>
            <w:ind w:left="640"/>
          </w:pPr>
          <w:r>
            <w:fldChar w:fldCharType="begin"/>
          </w:r>
          <w:r>
            <w:instrText xml:space="preserve"> HYPERLINK \l "_Toc25415" </w:instrText>
          </w:r>
          <w:r>
            <w:fldChar w:fldCharType="separate"/>
          </w:r>
          <w:r>
            <w:rPr>
              <w:rFonts w:ascii="Times New Roman" w:hAnsi="Times New Roman" w:cs="Times New Roman"/>
              <w:bCs/>
            </w:rPr>
            <w:t>（三）城市品牌效应</w:t>
          </w:r>
          <w:r>
            <w:rPr>
              <w:rFonts w:hint="eastAsia" w:ascii="Times New Roman" w:hAnsi="Times New Roman" w:cs="Times New Roman"/>
              <w:bCs/>
            </w:rPr>
            <w:t>有待进一步释放</w:t>
          </w:r>
          <w:r>
            <w:tab/>
          </w:r>
          <w:r>
            <w:fldChar w:fldCharType="begin"/>
          </w:r>
          <w:r>
            <w:instrText xml:space="preserve"> PAGEREF _Toc25415 \h </w:instrText>
          </w:r>
          <w:r>
            <w:fldChar w:fldCharType="separate"/>
          </w:r>
          <w:r>
            <w:t>- 40 -</w:t>
          </w:r>
          <w:r>
            <w:fldChar w:fldCharType="end"/>
          </w:r>
          <w:r>
            <w:fldChar w:fldCharType="end"/>
          </w:r>
        </w:p>
        <w:p w14:paraId="74318B2F">
          <w:pPr>
            <w:pStyle w:val="16"/>
            <w:tabs>
              <w:tab w:val="right" w:leader="dot" w:pos="8306"/>
            </w:tabs>
            <w:ind w:left="640"/>
          </w:pPr>
          <w:r>
            <w:fldChar w:fldCharType="begin"/>
          </w:r>
          <w:r>
            <w:instrText xml:space="preserve"> HYPERLINK \l "_Toc17904" </w:instrText>
          </w:r>
          <w:r>
            <w:fldChar w:fldCharType="separate"/>
          </w:r>
          <w:r>
            <w:rPr>
              <w:rFonts w:ascii="Times New Roman" w:hAnsi="Times New Roman" w:cs="Times New Roman"/>
              <w:bCs/>
              <w:shd w:val="clear" w:color="auto" w:fill="FFFFFF" w:themeFill="background1"/>
            </w:rPr>
            <w:t>（四）人民幸福水平</w:t>
          </w:r>
          <w:r>
            <w:rPr>
              <w:rFonts w:hint="eastAsia" w:ascii="Times New Roman" w:hAnsi="Times New Roman" w:cs="Times New Roman"/>
              <w:bCs/>
              <w:shd w:val="clear" w:color="auto" w:fill="FFFFFF" w:themeFill="background1"/>
            </w:rPr>
            <w:t>有待进一步提高</w:t>
          </w:r>
          <w:r>
            <w:tab/>
          </w:r>
          <w:r>
            <w:fldChar w:fldCharType="begin"/>
          </w:r>
          <w:r>
            <w:instrText xml:space="preserve"> PAGEREF _Toc17904 \h </w:instrText>
          </w:r>
          <w:r>
            <w:fldChar w:fldCharType="separate"/>
          </w:r>
          <w:r>
            <w:t>- 41 -</w:t>
          </w:r>
          <w:r>
            <w:fldChar w:fldCharType="end"/>
          </w:r>
          <w:r>
            <w:fldChar w:fldCharType="end"/>
          </w:r>
        </w:p>
        <w:p w14:paraId="43B954C8">
          <w:pPr>
            <w:pStyle w:val="16"/>
            <w:tabs>
              <w:tab w:val="right" w:leader="dot" w:pos="8306"/>
            </w:tabs>
            <w:ind w:left="640"/>
          </w:pPr>
          <w:r>
            <w:fldChar w:fldCharType="begin"/>
          </w:r>
          <w:r>
            <w:instrText xml:space="preserve"> HYPERLINK \l "_Toc18884" </w:instrText>
          </w:r>
          <w:r>
            <w:fldChar w:fldCharType="separate"/>
          </w:r>
          <w:r>
            <w:rPr>
              <w:rFonts w:ascii="Times New Roman" w:hAnsi="Times New Roman" w:cs="Times New Roman"/>
              <w:bCs/>
              <w:shd w:val="clear" w:color="auto" w:fill="FFFFFF" w:themeFill="background1"/>
            </w:rPr>
            <w:t>（五）改革开放力度有待</w:t>
          </w:r>
          <w:r>
            <w:rPr>
              <w:rFonts w:hint="eastAsia" w:ascii="Times New Roman" w:hAnsi="Times New Roman" w:cs="Times New Roman"/>
              <w:bCs/>
              <w:shd w:val="clear" w:color="auto" w:fill="FFFFFF" w:themeFill="background1"/>
            </w:rPr>
            <w:t>进一步加大</w:t>
          </w:r>
          <w:r>
            <w:tab/>
          </w:r>
          <w:r>
            <w:fldChar w:fldCharType="begin"/>
          </w:r>
          <w:r>
            <w:instrText xml:space="preserve"> PAGEREF _Toc18884 \h </w:instrText>
          </w:r>
          <w:r>
            <w:fldChar w:fldCharType="separate"/>
          </w:r>
          <w:r>
            <w:t>- 42 -</w:t>
          </w:r>
          <w:r>
            <w:fldChar w:fldCharType="end"/>
          </w:r>
          <w:r>
            <w:fldChar w:fldCharType="end"/>
          </w:r>
        </w:p>
        <w:p w14:paraId="42375F9F">
          <w:pPr>
            <w:pStyle w:val="13"/>
            <w:tabs>
              <w:tab w:val="right" w:leader="dot" w:pos="8306"/>
            </w:tabs>
          </w:pPr>
          <w:r>
            <w:fldChar w:fldCharType="begin"/>
          </w:r>
          <w:r>
            <w:instrText xml:space="preserve"> HYPERLINK \l "_Toc30091" </w:instrText>
          </w:r>
          <w:r>
            <w:fldChar w:fldCharType="separate"/>
          </w:r>
          <w:r>
            <w:rPr>
              <w:rFonts w:hint="eastAsia" w:ascii="Times New Roman" w:hAnsi="Times New Roman" w:eastAsia="黑体" w:cs="Times New Roman"/>
              <w:szCs w:val="40"/>
              <w:shd w:val="clear" w:color="auto" w:fill="FFFFFF" w:themeFill="background1"/>
            </w:rPr>
            <w:t>四</w:t>
          </w:r>
          <w:r>
            <w:rPr>
              <w:rFonts w:ascii="Times New Roman" w:hAnsi="Times New Roman" w:eastAsia="黑体" w:cs="Times New Roman"/>
              <w:szCs w:val="40"/>
              <w:shd w:val="clear" w:color="auto" w:fill="FFFFFF" w:themeFill="background1"/>
            </w:rPr>
            <w:t>、“十四五”后半期发展形势与规划纲要指标期末预测</w:t>
          </w:r>
          <w:r>
            <w:tab/>
          </w:r>
          <w:r>
            <w:fldChar w:fldCharType="begin"/>
          </w:r>
          <w:r>
            <w:instrText xml:space="preserve"> PAGEREF _Toc30091 \h </w:instrText>
          </w:r>
          <w:r>
            <w:fldChar w:fldCharType="separate"/>
          </w:r>
          <w:r>
            <w:t>- 43 -</w:t>
          </w:r>
          <w:r>
            <w:fldChar w:fldCharType="end"/>
          </w:r>
          <w:r>
            <w:fldChar w:fldCharType="end"/>
          </w:r>
        </w:p>
        <w:p w14:paraId="3DDE2FD9">
          <w:pPr>
            <w:pStyle w:val="16"/>
            <w:tabs>
              <w:tab w:val="right" w:leader="dot" w:pos="8306"/>
            </w:tabs>
            <w:ind w:left="640"/>
          </w:pPr>
          <w:r>
            <w:fldChar w:fldCharType="begin"/>
          </w:r>
          <w:r>
            <w:instrText xml:space="preserve"> HYPERLINK \l "_Toc23645" </w:instrText>
          </w:r>
          <w:r>
            <w:fldChar w:fldCharType="separate"/>
          </w:r>
          <w:r>
            <w:rPr>
              <w:rFonts w:ascii="Times New Roman" w:hAnsi="Times New Roman" w:cs="Times New Roman"/>
              <w:bCs/>
              <w:shd w:val="clear" w:color="auto" w:fill="FFFFFF" w:themeFill="background1"/>
            </w:rPr>
            <w:t>（一）形势</w:t>
          </w:r>
          <w:r>
            <w:rPr>
              <w:rFonts w:hint="eastAsia" w:ascii="Times New Roman" w:hAnsi="Times New Roman" w:cs="Times New Roman"/>
              <w:bCs/>
              <w:shd w:val="clear" w:color="auto" w:fill="FFFFFF" w:themeFill="background1"/>
            </w:rPr>
            <w:t>研判</w:t>
          </w:r>
          <w:r>
            <w:tab/>
          </w:r>
          <w:r>
            <w:fldChar w:fldCharType="begin"/>
          </w:r>
          <w:r>
            <w:instrText xml:space="preserve"> PAGEREF _Toc23645 \h </w:instrText>
          </w:r>
          <w:r>
            <w:fldChar w:fldCharType="separate"/>
          </w:r>
          <w:r>
            <w:t>- 43 -</w:t>
          </w:r>
          <w:r>
            <w:fldChar w:fldCharType="end"/>
          </w:r>
          <w:r>
            <w:fldChar w:fldCharType="end"/>
          </w:r>
        </w:p>
        <w:p w14:paraId="355C5BE1">
          <w:pPr>
            <w:pStyle w:val="16"/>
            <w:tabs>
              <w:tab w:val="right" w:leader="dot" w:pos="8306"/>
            </w:tabs>
            <w:ind w:left="640"/>
          </w:pPr>
          <w:r>
            <w:fldChar w:fldCharType="begin"/>
          </w:r>
          <w:r>
            <w:instrText xml:space="preserve"> HYPERLINK \l "_Toc31141" </w:instrText>
          </w:r>
          <w:r>
            <w:fldChar w:fldCharType="separate"/>
          </w:r>
          <w:r>
            <w:rPr>
              <w:rFonts w:ascii="Times New Roman" w:hAnsi="Times New Roman" w:cs="Times New Roman"/>
              <w:bCs/>
              <w:shd w:val="clear" w:color="auto" w:fill="FFFFFF" w:themeFill="background1"/>
            </w:rPr>
            <w:t>（二）</w:t>
          </w:r>
          <w:r>
            <w:rPr>
              <w:rFonts w:hint="eastAsia" w:ascii="Times New Roman" w:hAnsi="Times New Roman" w:cs="Times New Roman"/>
              <w:bCs/>
              <w:shd w:val="clear" w:color="auto" w:fill="FFFFFF" w:themeFill="background1"/>
            </w:rPr>
            <w:t>指标展望</w:t>
          </w:r>
          <w:r>
            <w:tab/>
          </w:r>
          <w:r>
            <w:fldChar w:fldCharType="begin"/>
          </w:r>
          <w:r>
            <w:instrText xml:space="preserve"> PAGEREF _Toc31141 \h </w:instrText>
          </w:r>
          <w:r>
            <w:fldChar w:fldCharType="separate"/>
          </w:r>
          <w:r>
            <w:t>- 45 -</w:t>
          </w:r>
          <w:r>
            <w:fldChar w:fldCharType="end"/>
          </w:r>
          <w:r>
            <w:fldChar w:fldCharType="end"/>
          </w:r>
        </w:p>
        <w:p w14:paraId="33E0161F">
          <w:pPr>
            <w:pStyle w:val="13"/>
            <w:tabs>
              <w:tab w:val="right" w:leader="dot" w:pos="8306"/>
            </w:tabs>
          </w:pPr>
          <w:r>
            <w:fldChar w:fldCharType="begin"/>
          </w:r>
          <w:r>
            <w:instrText xml:space="preserve"> HYPERLINK \l "_Toc15366" </w:instrText>
          </w:r>
          <w:r>
            <w:fldChar w:fldCharType="separate"/>
          </w:r>
          <w:r>
            <w:rPr>
              <w:rFonts w:hint="eastAsia" w:ascii="Times New Roman" w:hAnsi="Times New Roman" w:eastAsia="黑体" w:cs="Times New Roman"/>
              <w:szCs w:val="40"/>
              <w:shd w:val="clear" w:color="auto" w:fill="FFFFFF" w:themeFill="background1"/>
            </w:rPr>
            <w:t>五</w:t>
          </w:r>
          <w:r>
            <w:rPr>
              <w:rFonts w:ascii="Times New Roman" w:hAnsi="Times New Roman" w:eastAsia="黑体" w:cs="Times New Roman"/>
              <w:szCs w:val="40"/>
              <w:shd w:val="clear" w:color="auto" w:fill="FFFFFF" w:themeFill="background1"/>
            </w:rPr>
            <w:t>、进一步实施“十四五”规划纲要的对策措施</w:t>
          </w:r>
          <w:r>
            <w:tab/>
          </w:r>
          <w:r>
            <w:fldChar w:fldCharType="begin"/>
          </w:r>
          <w:r>
            <w:instrText xml:space="preserve"> PAGEREF _Toc15366 \h </w:instrText>
          </w:r>
          <w:r>
            <w:fldChar w:fldCharType="separate"/>
          </w:r>
          <w:r>
            <w:t>- 50 -</w:t>
          </w:r>
          <w:r>
            <w:fldChar w:fldCharType="end"/>
          </w:r>
          <w:r>
            <w:fldChar w:fldCharType="end"/>
          </w:r>
        </w:p>
        <w:p w14:paraId="5CC07DF6">
          <w:pPr>
            <w:pStyle w:val="16"/>
            <w:tabs>
              <w:tab w:val="right" w:leader="dot" w:pos="8306"/>
            </w:tabs>
            <w:ind w:left="640"/>
          </w:pPr>
          <w:r>
            <w:fldChar w:fldCharType="begin"/>
          </w:r>
          <w:r>
            <w:instrText xml:space="preserve"> HYPERLINK \l "_Toc14314" </w:instrText>
          </w:r>
          <w:r>
            <w:fldChar w:fldCharType="separate"/>
          </w:r>
          <w:r>
            <w:rPr>
              <w:rFonts w:ascii="Times New Roman" w:hAnsi="Times New Roman" w:cs="Times New Roman"/>
              <w:bCs/>
              <w:shd w:val="clear" w:color="auto" w:fill="FFFFFF" w:themeFill="background1"/>
            </w:rPr>
            <w:t>（一）强链条兴业态，提升现代产业综合实力</w:t>
          </w:r>
          <w:r>
            <w:tab/>
          </w:r>
          <w:r>
            <w:fldChar w:fldCharType="begin"/>
          </w:r>
          <w:r>
            <w:instrText xml:space="preserve"> PAGEREF _Toc14314 \h </w:instrText>
          </w:r>
          <w:r>
            <w:fldChar w:fldCharType="separate"/>
          </w:r>
          <w:r>
            <w:t>- 51 -</w:t>
          </w:r>
          <w:r>
            <w:fldChar w:fldCharType="end"/>
          </w:r>
          <w:r>
            <w:fldChar w:fldCharType="end"/>
          </w:r>
        </w:p>
        <w:p w14:paraId="602D8C9E">
          <w:pPr>
            <w:pStyle w:val="16"/>
            <w:tabs>
              <w:tab w:val="right" w:leader="dot" w:pos="8306"/>
            </w:tabs>
            <w:ind w:left="640"/>
          </w:pPr>
          <w:r>
            <w:fldChar w:fldCharType="begin"/>
          </w:r>
          <w:r>
            <w:instrText xml:space="preserve"> HYPERLINK \l "_Toc1564" </w:instrText>
          </w:r>
          <w:r>
            <w:fldChar w:fldCharType="separate"/>
          </w:r>
          <w:r>
            <w:rPr>
              <w:rFonts w:ascii="Times New Roman" w:hAnsi="Times New Roman" w:cs="Times New Roman"/>
              <w:bCs/>
              <w:shd w:val="clear" w:color="auto" w:fill="FFFFFF" w:themeFill="background1"/>
            </w:rPr>
            <w:t>（二）谋创新聚人才，打造高水平创新型城市</w:t>
          </w:r>
          <w:r>
            <w:tab/>
          </w:r>
          <w:r>
            <w:fldChar w:fldCharType="begin"/>
          </w:r>
          <w:r>
            <w:instrText xml:space="preserve"> PAGEREF _Toc1564 \h </w:instrText>
          </w:r>
          <w:r>
            <w:fldChar w:fldCharType="separate"/>
          </w:r>
          <w:r>
            <w:t>- 53 -</w:t>
          </w:r>
          <w:r>
            <w:fldChar w:fldCharType="end"/>
          </w:r>
          <w:r>
            <w:fldChar w:fldCharType="end"/>
          </w:r>
        </w:p>
        <w:p w14:paraId="7D64176E">
          <w:pPr>
            <w:pStyle w:val="16"/>
            <w:tabs>
              <w:tab w:val="right" w:leader="dot" w:pos="8306"/>
            </w:tabs>
            <w:ind w:left="640"/>
          </w:pPr>
          <w:r>
            <w:fldChar w:fldCharType="begin"/>
          </w:r>
          <w:r>
            <w:instrText xml:space="preserve"> HYPERLINK \l "_Toc29979" </w:instrText>
          </w:r>
          <w:r>
            <w:fldChar w:fldCharType="separate"/>
          </w:r>
          <w:r>
            <w:rPr>
              <w:rFonts w:ascii="Times New Roman" w:hAnsi="Times New Roman" w:cs="Times New Roman"/>
              <w:bCs/>
              <w:shd w:val="clear" w:color="auto" w:fill="FFFFFF" w:themeFill="background1"/>
            </w:rPr>
            <w:t>（三）提能级塑品质，推动城市发展蝶变跃升</w:t>
          </w:r>
          <w:r>
            <w:tab/>
          </w:r>
          <w:r>
            <w:fldChar w:fldCharType="begin"/>
          </w:r>
          <w:r>
            <w:instrText xml:space="preserve"> PAGEREF _Toc29979 \h </w:instrText>
          </w:r>
          <w:r>
            <w:fldChar w:fldCharType="separate"/>
          </w:r>
          <w:r>
            <w:t>- 55 -</w:t>
          </w:r>
          <w:r>
            <w:fldChar w:fldCharType="end"/>
          </w:r>
          <w:r>
            <w:fldChar w:fldCharType="end"/>
          </w:r>
        </w:p>
        <w:p w14:paraId="5DCE77C6">
          <w:pPr>
            <w:pStyle w:val="16"/>
            <w:tabs>
              <w:tab w:val="right" w:leader="dot" w:pos="8306"/>
            </w:tabs>
            <w:ind w:left="640"/>
          </w:pPr>
          <w:r>
            <w:fldChar w:fldCharType="begin"/>
          </w:r>
          <w:r>
            <w:instrText xml:space="preserve"> HYPERLINK \l "_Toc32205" </w:instrText>
          </w:r>
          <w:r>
            <w:fldChar w:fldCharType="separate"/>
          </w:r>
          <w:r>
            <w:rPr>
              <w:rFonts w:ascii="Times New Roman" w:hAnsi="Times New Roman" w:cs="Times New Roman"/>
              <w:bCs/>
              <w:shd w:val="clear" w:color="auto" w:fill="FFFFFF" w:themeFill="background1"/>
            </w:rPr>
            <w:t>（四）造优势抓发展，聚力助推三个“一号工程”</w:t>
          </w:r>
          <w:r>
            <w:tab/>
          </w:r>
          <w:r>
            <w:fldChar w:fldCharType="begin"/>
          </w:r>
          <w:r>
            <w:instrText xml:space="preserve"> PAGEREF _Toc32205 \h </w:instrText>
          </w:r>
          <w:r>
            <w:fldChar w:fldCharType="separate"/>
          </w:r>
          <w:r>
            <w:t>- 57 -</w:t>
          </w:r>
          <w:r>
            <w:fldChar w:fldCharType="end"/>
          </w:r>
          <w:r>
            <w:fldChar w:fldCharType="end"/>
          </w:r>
        </w:p>
        <w:p w14:paraId="090AC4AB">
          <w:pPr>
            <w:pStyle w:val="16"/>
            <w:tabs>
              <w:tab w:val="right" w:leader="dot" w:pos="8306"/>
            </w:tabs>
            <w:ind w:left="640"/>
          </w:pPr>
          <w:r>
            <w:fldChar w:fldCharType="begin"/>
          </w:r>
          <w:r>
            <w:instrText xml:space="preserve"> HYPERLINK \l "_Toc31580" </w:instrText>
          </w:r>
          <w:r>
            <w:fldChar w:fldCharType="separate"/>
          </w:r>
          <w:r>
            <w:rPr>
              <w:rFonts w:ascii="Times New Roman" w:hAnsi="Times New Roman" w:cs="Times New Roman"/>
              <w:bCs/>
              <w:shd w:val="clear" w:color="auto" w:fill="FFFFFF" w:themeFill="background1"/>
            </w:rPr>
            <w:t>（五）惠民生促共富，交出“幸福瑞安”高分答卷</w:t>
          </w:r>
          <w:r>
            <w:tab/>
          </w:r>
          <w:r>
            <w:fldChar w:fldCharType="begin"/>
          </w:r>
          <w:r>
            <w:instrText xml:space="preserve"> PAGEREF _Toc31580 \h </w:instrText>
          </w:r>
          <w:r>
            <w:fldChar w:fldCharType="separate"/>
          </w:r>
          <w:r>
            <w:t>- 59 -</w:t>
          </w:r>
          <w:r>
            <w:fldChar w:fldCharType="end"/>
          </w:r>
          <w:r>
            <w:fldChar w:fldCharType="end"/>
          </w:r>
        </w:p>
        <w:p w14:paraId="2157CA82">
          <w:pPr>
            <w:pStyle w:val="13"/>
            <w:tabs>
              <w:tab w:val="right" w:leader="dot" w:pos="8306"/>
            </w:tabs>
          </w:pPr>
          <w:r>
            <w:fldChar w:fldCharType="begin"/>
          </w:r>
          <w:r>
            <w:instrText xml:space="preserve"> HYPERLINK \l "_Toc12720" </w:instrText>
          </w:r>
          <w:r>
            <w:fldChar w:fldCharType="separate"/>
          </w:r>
          <w:r>
            <w:rPr>
              <w:rFonts w:ascii="Times New Roman" w:hAnsi="Times New Roman" w:eastAsia="黑体" w:cs="Times New Roman"/>
              <w:szCs w:val="40"/>
              <w:shd w:val="clear" w:color="auto" w:fill="FFFFFF" w:themeFill="background1"/>
            </w:rPr>
            <w:t>附件1：主要指标进展情况表</w:t>
          </w:r>
          <w:r>
            <w:tab/>
          </w:r>
          <w:r>
            <w:fldChar w:fldCharType="begin"/>
          </w:r>
          <w:r>
            <w:instrText xml:space="preserve"> PAGEREF _Toc12720 \h </w:instrText>
          </w:r>
          <w:r>
            <w:fldChar w:fldCharType="separate"/>
          </w:r>
          <w:r>
            <w:t>- 62 -</w:t>
          </w:r>
          <w:r>
            <w:fldChar w:fldCharType="end"/>
          </w:r>
          <w:r>
            <w:fldChar w:fldCharType="end"/>
          </w:r>
        </w:p>
        <w:p w14:paraId="707DDFF3">
          <w:pPr>
            <w:pStyle w:val="13"/>
            <w:tabs>
              <w:tab w:val="right" w:leader="dot" w:pos="8306"/>
            </w:tabs>
          </w:pPr>
          <w:r>
            <w:fldChar w:fldCharType="begin"/>
          </w:r>
          <w:r>
            <w:instrText xml:space="preserve"> HYPERLINK \l "_Toc24543" </w:instrText>
          </w:r>
          <w:r>
            <w:fldChar w:fldCharType="separate"/>
          </w:r>
          <w:r>
            <w:rPr>
              <w:rFonts w:ascii="Times New Roman" w:hAnsi="Times New Roman" w:eastAsia="黑体" w:cs="Times New Roman"/>
              <w:szCs w:val="32"/>
            </w:rPr>
            <w:t>附件2：重大平台清单完成情况</w:t>
          </w:r>
          <w:r>
            <w:tab/>
          </w:r>
          <w:r>
            <w:fldChar w:fldCharType="begin"/>
          </w:r>
          <w:r>
            <w:instrText xml:space="preserve"> PAGEREF _Toc24543 \h </w:instrText>
          </w:r>
          <w:r>
            <w:fldChar w:fldCharType="separate"/>
          </w:r>
          <w:r>
            <w:t>- 65 -</w:t>
          </w:r>
          <w:r>
            <w:fldChar w:fldCharType="end"/>
          </w:r>
          <w:r>
            <w:fldChar w:fldCharType="end"/>
          </w:r>
        </w:p>
        <w:p w14:paraId="7CE02BE5">
          <w:pPr>
            <w:pStyle w:val="13"/>
            <w:tabs>
              <w:tab w:val="right" w:leader="dot" w:pos="8306"/>
            </w:tabs>
          </w:pPr>
          <w:r>
            <w:fldChar w:fldCharType="begin"/>
          </w:r>
          <w:r>
            <w:instrText xml:space="preserve"> HYPERLINK \l "_Toc1857" </w:instrText>
          </w:r>
          <w:r>
            <w:fldChar w:fldCharType="separate"/>
          </w:r>
          <w:r>
            <w:rPr>
              <w:rFonts w:ascii="Times New Roman" w:hAnsi="Times New Roman" w:eastAsia="黑体" w:cs="Times New Roman"/>
              <w:szCs w:val="32"/>
            </w:rPr>
            <w:t>附件3：重大产业清单完成情况</w:t>
          </w:r>
          <w:r>
            <w:tab/>
          </w:r>
          <w:r>
            <w:fldChar w:fldCharType="begin"/>
          </w:r>
          <w:r>
            <w:instrText xml:space="preserve"> PAGEREF _Toc1857 \h </w:instrText>
          </w:r>
          <w:r>
            <w:fldChar w:fldCharType="separate"/>
          </w:r>
          <w:r>
            <w:t>- 71 -</w:t>
          </w:r>
          <w:r>
            <w:fldChar w:fldCharType="end"/>
          </w:r>
          <w:r>
            <w:fldChar w:fldCharType="end"/>
          </w:r>
        </w:p>
        <w:p w14:paraId="03CCCDBE">
          <w:pPr>
            <w:pStyle w:val="13"/>
            <w:tabs>
              <w:tab w:val="right" w:leader="dot" w:pos="8306"/>
            </w:tabs>
          </w:pPr>
          <w:r>
            <w:fldChar w:fldCharType="begin"/>
          </w:r>
          <w:r>
            <w:instrText xml:space="preserve"> HYPERLINK \l "_Toc19195" </w:instrText>
          </w:r>
          <w:r>
            <w:fldChar w:fldCharType="separate"/>
          </w:r>
          <w:r>
            <w:rPr>
              <w:rFonts w:ascii="Times New Roman" w:hAnsi="Times New Roman" w:eastAsia="黑体" w:cs="Times New Roman"/>
              <w:szCs w:val="32"/>
            </w:rPr>
            <w:t>附件4：重大改革清单完成情况</w:t>
          </w:r>
          <w:r>
            <w:tab/>
          </w:r>
          <w:r>
            <w:fldChar w:fldCharType="begin"/>
          </w:r>
          <w:r>
            <w:instrText xml:space="preserve"> PAGEREF _Toc19195 \h </w:instrText>
          </w:r>
          <w:r>
            <w:fldChar w:fldCharType="separate"/>
          </w:r>
          <w:r>
            <w:t>- 75 -</w:t>
          </w:r>
          <w:r>
            <w:fldChar w:fldCharType="end"/>
          </w:r>
          <w:r>
            <w:fldChar w:fldCharType="end"/>
          </w:r>
        </w:p>
        <w:p w14:paraId="743F25C1">
          <w:pPr>
            <w:pStyle w:val="13"/>
            <w:tabs>
              <w:tab w:val="right" w:leader="dot" w:pos="8306"/>
            </w:tabs>
          </w:pPr>
          <w:r>
            <w:fldChar w:fldCharType="begin"/>
          </w:r>
          <w:r>
            <w:instrText xml:space="preserve"> HYPERLINK \l "_Toc8989" </w:instrText>
          </w:r>
          <w:r>
            <w:fldChar w:fldCharType="separate"/>
          </w:r>
          <w:r>
            <w:rPr>
              <w:rFonts w:ascii="Times New Roman" w:hAnsi="Times New Roman" w:eastAsia="黑体" w:cs="Times New Roman"/>
              <w:szCs w:val="32"/>
            </w:rPr>
            <w:t>附件5：重大政策清单完成情况</w:t>
          </w:r>
          <w:r>
            <w:tab/>
          </w:r>
          <w:r>
            <w:fldChar w:fldCharType="begin"/>
          </w:r>
          <w:r>
            <w:instrText xml:space="preserve"> PAGEREF _Toc8989 \h </w:instrText>
          </w:r>
          <w:r>
            <w:fldChar w:fldCharType="separate"/>
          </w:r>
          <w:r>
            <w:t>- 79 -</w:t>
          </w:r>
          <w:r>
            <w:fldChar w:fldCharType="end"/>
          </w:r>
          <w:r>
            <w:fldChar w:fldCharType="end"/>
          </w:r>
        </w:p>
        <w:p w14:paraId="43CEAC5A">
          <w:pPr>
            <w:pStyle w:val="13"/>
            <w:tabs>
              <w:tab w:val="right" w:leader="dot" w:pos="8306"/>
            </w:tabs>
          </w:pPr>
          <w:r>
            <w:fldChar w:fldCharType="begin"/>
          </w:r>
          <w:r>
            <w:instrText xml:space="preserve"> HYPERLINK \l "_Toc32244" </w:instrText>
          </w:r>
          <w:r>
            <w:fldChar w:fldCharType="separate"/>
          </w:r>
          <w:r>
            <w:rPr>
              <w:rFonts w:ascii="Times New Roman" w:hAnsi="Times New Roman" w:eastAsia="黑体" w:cs="Times New Roman"/>
              <w:szCs w:val="32"/>
            </w:rPr>
            <w:t>附件6：重大要素清单完成情况</w:t>
          </w:r>
          <w:r>
            <w:tab/>
          </w:r>
          <w:r>
            <w:fldChar w:fldCharType="begin"/>
          </w:r>
          <w:r>
            <w:instrText xml:space="preserve"> PAGEREF _Toc32244 \h </w:instrText>
          </w:r>
          <w:r>
            <w:fldChar w:fldCharType="separate"/>
          </w:r>
          <w:r>
            <w:t>- 84 -</w:t>
          </w:r>
          <w:r>
            <w:fldChar w:fldCharType="end"/>
          </w:r>
          <w:r>
            <w:fldChar w:fldCharType="end"/>
          </w:r>
        </w:p>
        <w:p w14:paraId="41ED210C">
          <w:pPr>
            <w:pStyle w:val="13"/>
            <w:tabs>
              <w:tab w:val="right" w:leader="dot" w:pos="8306"/>
            </w:tabs>
          </w:pPr>
          <w:r>
            <w:fldChar w:fldCharType="begin"/>
          </w:r>
          <w:r>
            <w:instrText xml:space="preserve"> HYPERLINK \l "_Toc7213" </w:instrText>
          </w:r>
          <w:r>
            <w:fldChar w:fldCharType="separate"/>
          </w:r>
          <w:r>
            <w:rPr>
              <w:rFonts w:ascii="Times New Roman" w:hAnsi="Times New Roman" w:eastAsia="黑体" w:cs="Times New Roman"/>
              <w:szCs w:val="32"/>
            </w:rPr>
            <w:t>附件</w:t>
          </w:r>
          <w:r>
            <w:rPr>
              <w:rFonts w:hint="eastAsia" w:ascii="Times New Roman" w:hAnsi="Times New Roman" w:eastAsia="黑体" w:cs="Times New Roman"/>
              <w:szCs w:val="32"/>
            </w:rPr>
            <w:t>7</w:t>
          </w:r>
          <w:r>
            <w:rPr>
              <w:rFonts w:ascii="Times New Roman" w:hAnsi="Times New Roman" w:eastAsia="黑体" w:cs="Times New Roman"/>
              <w:szCs w:val="32"/>
            </w:rPr>
            <w:t>：重大</w:t>
          </w:r>
          <w:r>
            <w:rPr>
              <w:rFonts w:hint="eastAsia" w:ascii="Times New Roman" w:hAnsi="Times New Roman" w:eastAsia="黑体" w:cs="Times New Roman"/>
              <w:szCs w:val="32"/>
            </w:rPr>
            <w:t>项目清单完成情况</w:t>
          </w:r>
          <w:r>
            <w:tab/>
          </w:r>
          <w:r>
            <w:fldChar w:fldCharType="begin"/>
          </w:r>
          <w:r>
            <w:instrText xml:space="preserve"> PAGEREF _Toc7213 \h </w:instrText>
          </w:r>
          <w:r>
            <w:fldChar w:fldCharType="separate"/>
          </w:r>
          <w:r>
            <w:t>- 89 -</w:t>
          </w:r>
          <w:r>
            <w:fldChar w:fldCharType="end"/>
          </w:r>
          <w:r>
            <w:fldChar w:fldCharType="end"/>
          </w:r>
        </w:p>
        <w:p w14:paraId="48E2F06A">
          <w:pPr>
            <w:pStyle w:val="13"/>
            <w:tabs>
              <w:tab w:val="right" w:leader="dot" w:pos="8306"/>
            </w:tabs>
          </w:pPr>
          <w:r>
            <w:fldChar w:fldCharType="begin"/>
          </w:r>
          <w:r>
            <w:instrText xml:space="preserve"> HYPERLINK \l "_Toc27639" </w:instrText>
          </w:r>
          <w:r>
            <w:fldChar w:fldCharType="separate"/>
          </w:r>
          <w:r>
            <w:rPr>
              <w:rFonts w:ascii="Times New Roman" w:hAnsi="Times New Roman" w:eastAsia="黑体" w:cs="Times New Roman"/>
              <w:szCs w:val="32"/>
            </w:rPr>
            <w:t>附件</w:t>
          </w:r>
          <w:r>
            <w:rPr>
              <w:rFonts w:hint="eastAsia" w:ascii="Times New Roman" w:hAnsi="Times New Roman" w:eastAsia="黑体" w:cs="Times New Roman"/>
              <w:szCs w:val="32"/>
            </w:rPr>
            <w:t>8</w:t>
          </w:r>
          <w:r>
            <w:rPr>
              <w:rFonts w:ascii="Times New Roman" w:hAnsi="Times New Roman" w:eastAsia="黑体" w:cs="Times New Roman"/>
              <w:szCs w:val="32"/>
            </w:rPr>
            <w:t>：</w:t>
          </w:r>
          <w:r>
            <w:rPr>
              <w:rFonts w:hint="eastAsia" w:ascii="Times New Roman" w:hAnsi="Times New Roman" w:eastAsia="黑体" w:cs="Times New Roman"/>
              <w:szCs w:val="32"/>
            </w:rPr>
            <w:t>增列</w:t>
          </w:r>
          <w:r>
            <w:rPr>
              <w:rFonts w:ascii="Times New Roman" w:hAnsi="Times New Roman" w:eastAsia="黑体" w:cs="Times New Roman"/>
              <w:szCs w:val="32"/>
            </w:rPr>
            <w:t>重大</w:t>
          </w:r>
          <w:r>
            <w:rPr>
              <w:rFonts w:hint="eastAsia" w:ascii="Times New Roman" w:hAnsi="Times New Roman" w:eastAsia="黑体" w:cs="Times New Roman"/>
              <w:szCs w:val="32"/>
            </w:rPr>
            <w:t>项目清单</w:t>
          </w:r>
          <w:r>
            <w:tab/>
          </w:r>
          <w:r>
            <w:fldChar w:fldCharType="begin"/>
          </w:r>
          <w:r>
            <w:instrText xml:space="preserve"> PAGEREF _Toc27639 \h </w:instrText>
          </w:r>
          <w:r>
            <w:fldChar w:fldCharType="separate"/>
          </w:r>
          <w:r>
            <w:t>- 139 -</w:t>
          </w:r>
          <w:r>
            <w:fldChar w:fldCharType="end"/>
          </w:r>
          <w:r>
            <w:fldChar w:fldCharType="end"/>
          </w:r>
        </w:p>
        <w:p w14:paraId="5E8A9AA6">
          <w:pPr>
            <w:tabs>
              <w:tab w:val="right" w:leader="dot" w:pos="8296"/>
            </w:tabs>
            <w:spacing w:before="156" w:beforeLines="50" w:after="156" w:afterLines="50" w:line="240" w:lineRule="auto"/>
            <w:jc w:val="center"/>
            <w:rPr>
              <w:rFonts w:ascii="Times New Roman" w:hAnsi="Times New Roman" w:cs="Times New Roman"/>
            </w:rPr>
          </w:pPr>
          <w:r>
            <w:rPr>
              <w:rFonts w:ascii="Times New Roman" w:hAnsi="Times New Roman" w:cs="Times New Roman"/>
              <w:sz w:val="30"/>
              <w:szCs w:val="30"/>
            </w:rPr>
            <w:fldChar w:fldCharType="end"/>
          </w:r>
        </w:p>
      </w:sdtContent>
    </w:sdt>
    <w:p w14:paraId="655F66A9">
      <w:pPr>
        <w:pStyle w:val="9"/>
        <w:rPr>
          <w:rFonts w:ascii="Times New Roman" w:hAnsi="Times New Roman" w:cs="Times New Roman"/>
        </w:rPr>
      </w:pPr>
    </w:p>
    <w:p w14:paraId="492398CE">
      <w:pPr>
        <w:rPr>
          <w:rFonts w:ascii="Times New Roman" w:hAnsi="Times New Roman" w:cs="Times New Roman"/>
        </w:rPr>
        <w:sectPr>
          <w:footerReference r:id="rId11" w:type="default"/>
          <w:pgSz w:w="11906" w:h="16838"/>
          <w:pgMar w:top="1440" w:right="1800" w:bottom="1440" w:left="1800" w:header="851" w:footer="992" w:gutter="0"/>
          <w:pgNumType w:fmt="numberInDash" w:start="1"/>
          <w:cols w:space="425" w:num="1"/>
          <w:docGrid w:type="lines" w:linePitch="312" w:charSpace="0"/>
        </w:sectPr>
      </w:pPr>
    </w:p>
    <w:p w14:paraId="17A0CD65">
      <w:pPr>
        <w:ind w:firstLine="640"/>
        <w:rPr>
          <w:rFonts w:ascii="Times New Roman" w:hAnsi="Times New Roman" w:cs="Times New Roman"/>
        </w:rPr>
      </w:pPr>
      <w:r>
        <w:rPr>
          <w:rFonts w:ascii="Times New Roman" w:hAnsi="Times New Roman" w:cs="Times New Roman"/>
        </w:rPr>
        <w:t>《瑞安市国民经济和社会发展第十四个五年规划和二</w:t>
      </w:r>
      <w:r>
        <w:rPr>
          <w:rFonts w:ascii="Times New Roman" w:hAnsi="Times New Roman" w:eastAsia="宋体" w:cs="Times New Roman"/>
        </w:rPr>
        <w:t>〇</w:t>
      </w:r>
      <w:r>
        <w:rPr>
          <w:rFonts w:ascii="Times New Roman" w:hAnsi="Times New Roman" w:cs="Times New Roman"/>
        </w:rPr>
        <w:t>三五年远景目标纲要》（以下简称《纲要》），经市第十六届人民代表大会第五次会议审议批准，是全市人民共同的行动纲领。根据《中华人民共和国各级人民代表大会常务委员会监督法》的规定，现将《纲要》中期实施情况评估报告如下：</w:t>
      </w:r>
    </w:p>
    <w:p w14:paraId="1E6F1DF0">
      <w:pPr>
        <w:ind w:firstLine="640" w:firstLineChars="200"/>
        <w:outlineLvl w:val="0"/>
        <w:rPr>
          <w:rFonts w:ascii="Times New Roman" w:hAnsi="Times New Roman" w:eastAsia="黑体" w:cs="Times New Roman"/>
          <w:szCs w:val="40"/>
        </w:rPr>
      </w:pPr>
      <w:bookmarkStart w:id="2" w:name="_Toc6128"/>
      <w:bookmarkStart w:id="3" w:name="_Toc26462"/>
      <w:r>
        <w:rPr>
          <w:rFonts w:ascii="Times New Roman" w:hAnsi="Times New Roman" w:eastAsia="黑体" w:cs="Times New Roman"/>
          <w:szCs w:val="40"/>
        </w:rPr>
        <w:t>一、“十四五”规划纲要</w:t>
      </w:r>
      <w:r>
        <w:rPr>
          <w:rFonts w:hint="eastAsia" w:ascii="Times New Roman" w:hAnsi="Times New Roman" w:eastAsia="黑体" w:cs="Times New Roman"/>
          <w:szCs w:val="40"/>
        </w:rPr>
        <w:t>主要指标完成</w:t>
      </w:r>
      <w:r>
        <w:rPr>
          <w:rFonts w:ascii="Times New Roman" w:hAnsi="Times New Roman" w:eastAsia="黑体" w:cs="Times New Roman"/>
          <w:szCs w:val="40"/>
        </w:rPr>
        <w:t>情况</w:t>
      </w:r>
      <w:bookmarkEnd w:id="2"/>
      <w:bookmarkEnd w:id="3"/>
    </w:p>
    <w:p w14:paraId="00C123B1">
      <w:pPr>
        <w:pStyle w:val="9"/>
        <w:spacing w:line="600" w:lineRule="exact"/>
        <w:ind w:firstLine="643" w:firstLineChars="200"/>
        <w:outlineLvl w:val="1"/>
        <w:rPr>
          <w:rFonts w:ascii="Times New Roman" w:hAnsi="Times New Roman" w:cs="Times New Roman"/>
          <w:b/>
          <w:bCs/>
          <w:shd w:val="clear" w:color="auto" w:fill="FFFFFF" w:themeFill="background1"/>
        </w:rPr>
      </w:pPr>
      <w:bookmarkStart w:id="4" w:name="_Toc17071"/>
      <w:bookmarkStart w:id="5" w:name="_Toc2299"/>
      <w:r>
        <w:rPr>
          <w:rFonts w:ascii="Times New Roman" w:hAnsi="Times New Roman" w:cs="Times New Roman"/>
          <w:b/>
          <w:bCs/>
          <w:shd w:val="clear" w:color="auto" w:fill="FFFFFF" w:themeFill="background1"/>
        </w:rPr>
        <w:t>（一）指标</w:t>
      </w:r>
      <w:r>
        <w:rPr>
          <w:rFonts w:hint="eastAsia" w:ascii="Times New Roman" w:hAnsi="Times New Roman" w:cs="Times New Roman"/>
          <w:b/>
          <w:bCs/>
          <w:shd w:val="clear" w:color="auto" w:fill="FFFFFF" w:themeFill="background1"/>
        </w:rPr>
        <w:t>总体</w:t>
      </w:r>
      <w:r>
        <w:rPr>
          <w:rFonts w:ascii="Times New Roman" w:hAnsi="Times New Roman" w:cs="Times New Roman"/>
          <w:b/>
          <w:bCs/>
          <w:shd w:val="clear" w:color="auto" w:fill="FFFFFF" w:themeFill="background1"/>
        </w:rPr>
        <w:t>完成情况</w:t>
      </w:r>
      <w:bookmarkEnd w:id="4"/>
      <w:bookmarkEnd w:id="5"/>
    </w:p>
    <w:p w14:paraId="0089378B">
      <w:pPr>
        <w:ind w:firstLine="632"/>
        <w:rPr>
          <w:rFonts w:ascii="仿宋_GB2312"/>
          <w:spacing w:val="-2"/>
          <w:szCs w:val="32"/>
        </w:rPr>
      </w:pPr>
      <w:bookmarkStart w:id="6" w:name="_Toc142292631"/>
      <w:r>
        <w:rPr>
          <w:rFonts w:hint="eastAsia" w:ascii="仿宋_GB2312"/>
          <w:spacing w:val="-2"/>
          <w:szCs w:val="32"/>
        </w:rPr>
        <w:t>“十四五”前半期，国民经济和社会发展主要指标完成情况总体较好，</w:t>
      </w:r>
      <w:r>
        <w:rPr>
          <w:rFonts w:ascii="仿宋_GB2312"/>
          <w:spacing w:val="-2"/>
          <w:szCs w:val="32"/>
        </w:rPr>
        <w:t>38</w:t>
      </w:r>
      <w:r>
        <w:rPr>
          <w:rFonts w:hint="eastAsia" w:ascii="仿宋_GB2312"/>
          <w:spacing w:val="-2"/>
          <w:szCs w:val="32"/>
        </w:rPr>
        <w:t>项指标（包括分指标）按照“时间过半、进度”过半的要求，除4项指标因数据未发布、统计口径调整、上级未下达考核数等原因无法评估外，23项指标达到进度要求，占可比指标数的67.6</w:t>
      </w:r>
      <w:r>
        <w:rPr>
          <w:rFonts w:ascii="仿宋_GB2312"/>
          <w:spacing w:val="-2"/>
          <w:szCs w:val="32"/>
        </w:rPr>
        <w:t>%</w:t>
      </w:r>
      <w:r>
        <w:rPr>
          <w:rFonts w:hint="eastAsia" w:ascii="仿宋_GB2312"/>
          <w:spacing w:val="-2"/>
          <w:szCs w:val="32"/>
        </w:rPr>
        <w:t>，包括14项指标快于进度要求、</w:t>
      </w:r>
      <w:r>
        <w:rPr>
          <w:rFonts w:ascii="仿宋_GB2312"/>
          <w:spacing w:val="-2"/>
          <w:szCs w:val="32"/>
        </w:rPr>
        <w:t>9</w:t>
      </w:r>
      <w:r>
        <w:rPr>
          <w:rFonts w:hint="eastAsia" w:ascii="仿宋_GB2312"/>
          <w:spacing w:val="-2"/>
          <w:szCs w:val="32"/>
        </w:rPr>
        <w:t>项指标符合进度要求；11项指标未达进度要求，即进度偏慢，占可比指标数的32.4</w:t>
      </w:r>
      <w:r>
        <w:rPr>
          <w:rFonts w:ascii="仿宋_GB2312"/>
          <w:spacing w:val="-2"/>
          <w:szCs w:val="32"/>
        </w:rPr>
        <w:t>%</w:t>
      </w:r>
      <w:r>
        <w:rPr>
          <w:rFonts w:hint="eastAsia" w:ascii="仿宋_GB2312"/>
          <w:spacing w:val="-2"/>
          <w:szCs w:val="32"/>
        </w:rPr>
        <w:t>。</w:t>
      </w:r>
    </w:p>
    <w:p w14:paraId="6C2F807F">
      <w:pPr>
        <w:jc w:val="center"/>
        <w:rPr>
          <w:rFonts w:ascii="仿宋_GB2312"/>
          <w:spacing w:val="-2"/>
        </w:rPr>
      </w:pPr>
      <w:r>
        <w:rPr>
          <w:rFonts w:eastAsia="黑体"/>
          <w:bCs/>
          <w:sz w:val="28"/>
        </w:rPr>
        <w:t>表</w:t>
      </w:r>
      <w:r>
        <w:rPr>
          <w:rFonts w:hint="eastAsia" w:eastAsia="黑体"/>
          <w:bCs/>
          <w:sz w:val="28"/>
        </w:rPr>
        <w:t xml:space="preserve"> </w:t>
      </w:r>
      <w:r>
        <w:rPr>
          <w:rFonts w:eastAsia="黑体"/>
          <w:bCs/>
          <w:sz w:val="28"/>
        </w:rPr>
        <w:t>“十四五”规划中期评估指标进展情况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1"/>
        <w:gridCol w:w="1417"/>
        <w:gridCol w:w="4899"/>
      </w:tblGrid>
      <w:tr w14:paraId="380E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80" w:type="dxa"/>
            <w:gridSpan w:val="2"/>
            <w:vAlign w:val="center"/>
          </w:tcPr>
          <w:p w14:paraId="3E9307F4">
            <w:pPr>
              <w:spacing w:line="440" w:lineRule="exact"/>
              <w:jc w:val="center"/>
              <w:rPr>
                <w:rFonts w:ascii="仿宋_GB2312"/>
                <w:b/>
                <w:bCs/>
                <w:spacing w:val="-2"/>
                <w:sz w:val="28"/>
                <w:szCs w:val="28"/>
              </w:rPr>
            </w:pPr>
            <w:r>
              <w:rPr>
                <w:rFonts w:hint="eastAsia" w:ascii="仿宋_GB2312"/>
                <w:b/>
                <w:bCs/>
                <w:spacing w:val="-2"/>
                <w:sz w:val="28"/>
                <w:szCs w:val="28"/>
              </w:rPr>
              <w:t>进度评价</w:t>
            </w:r>
          </w:p>
        </w:tc>
        <w:tc>
          <w:tcPr>
            <w:tcW w:w="1417" w:type="dxa"/>
            <w:vAlign w:val="center"/>
          </w:tcPr>
          <w:p w14:paraId="26571168">
            <w:pPr>
              <w:spacing w:line="440" w:lineRule="exact"/>
              <w:jc w:val="center"/>
              <w:rPr>
                <w:rFonts w:ascii="仿宋_GB2312"/>
                <w:b/>
                <w:bCs/>
                <w:spacing w:val="-2"/>
                <w:sz w:val="28"/>
                <w:szCs w:val="28"/>
              </w:rPr>
            </w:pPr>
            <w:r>
              <w:rPr>
                <w:rFonts w:hint="eastAsia" w:ascii="仿宋_GB2312"/>
                <w:b/>
                <w:bCs/>
                <w:spacing w:val="-2"/>
                <w:sz w:val="28"/>
                <w:szCs w:val="28"/>
              </w:rPr>
              <w:t>指标个数</w:t>
            </w:r>
          </w:p>
        </w:tc>
        <w:tc>
          <w:tcPr>
            <w:tcW w:w="4899" w:type="dxa"/>
            <w:vAlign w:val="center"/>
          </w:tcPr>
          <w:p w14:paraId="2EB0C7FF">
            <w:pPr>
              <w:spacing w:line="440" w:lineRule="exact"/>
              <w:jc w:val="center"/>
              <w:rPr>
                <w:rFonts w:ascii="仿宋_GB2312"/>
                <w:b/>
                <w:bCs/>
                <w:spacing w:val="-2"/>
                <w:sz w:val="28"/>
                <w:szCs w:val="28"/>
              </w:rPr>
            </w:pPr>
            <w:r>
              <w:rPr>
                <w:rFonts w:hint="eastAsia" w:ascii="仿宋_GB2312"/>
                <w:b/>
                <w:bCs/>
                <w:spacing w:val="-2"/>
                <w:sz w:val="28"/>
                <w:szCs w:val="28"/>
              </w:rPr>
              <w:t>指标名称</w:t>
            </w:r>
          </w:p>
        </w:tc>
      </w:tr>
      <w:tr w14:paraId="0383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129" w:type="dxa"/>
            <w:vMerge w:val="restart"/>
            <w:vAlign w:val="center"/>
          </w:tcPr>
          <w:p w14:paraId="178E28F3">
            <w:pPr>
              <w:spacing w:line="380" w:lineRule="exact"/>
              <w:jc w:val="center"/>
              <w:rPr>
                <w:rFonts w:ascii="仿宋_GB2312"/>
                <w:spacing w:val="-2"/>
                <w:sz w:val="28"/>
                <w:szCs w:val="28"/>
              </w:rPr>
            </w:pPr>
            <w:r>
              <w:rPr>
                <w:rFonts w:hint="eastAsia" w:ascii="仿宋_GB2312"/>
                <w:spacing w:val="-2"/>
                <w:sz w:val="28"/>
                <w:szCs w:val="28"/>
              </w:rPr>
              <w:t>达到</w:t>
            </w:r>
          </w:p>
          <w:p w14:paraId="42F31A5F">
            <w:pPr>
              <w:spacing w:line="380" w:lineRule="exact"/>
              <w:jc w:val="center"/>
              <w:rPr>
                <w:rFonts w:ascii="仿宋_GB2312"/>
                <w:spacing w:val="-2"/>
                <w:sz w:val="28"/>
                <w:szCs w:val="28"/>
              </w:rPr>
            </w:pPr>
            <w:r>
              <w:rPr>
                <w:rFonts w:hint="eastAsia" w:ascii="仿宋_GB2312"/>
                <w:spacing w:val="-2"/>
                <w:sz w:val="28"/>
                <w:szCs w:val="28"/>
              </w:rPr>
              <w:t>进度</w:t>
            </w:r>
          </w:p>
        </w:tc>
        <w:tc>
          <w:tcPr>
            <w:tcW w:w="851" w:type="dxa"/>
            <w:vAlign w:val="center"/>
          </w:tcPr>
          <w:p w14:paraId="0B57CA7E">
            <w:pPr>
              <w:spacing w:line="380" w:lineRule="exact"/>
              <w:jc w:val="center"/>
              <w:rPr>
                <w:rFonts w:ascii="仿宋_GB2312"/>
                <w:spacing w:val="-2"/>
                <w:sz w:val="28"/>
                <w:szCs w:val="28"/>
              </w:rPr>
            </w:pPr>
            <w:r>
              <w:rPr>
                <w:rFonts w:hint="eastAsia" w:ascii="仿宋_GB2312"/>
                <w:spacing w:val="-2"/>
                <w:sz w:val="28"/>
                <w:szCs w:val="28"/>
              </w:rPr>
              <w:t>快于进度</w:t>
            </w:r>
          </w:p>
        </w:tc>
        <w:tc>
          <w:tcPr>
            <w:tcW w:w="1417" w:type="dxa"/>
            <w:vAlign w:val="center"/>
          </w:tcPr>
          <w:p w14:paraId="007D417F">
            <w:pPr>
              <w:spacing w:line="380" w:lineRule="exact"/>
              <w:jc w:val="center"/>
              <w:rPr>
                <w:rFonts w:ascii="仿宋_GB2312"/>
                <w:spacing w:val="-2"/>
                <w:sz w:val="28"/>
                <w:szCs w:val="28"/>
              </w:rPr>
            </w:pPr>
            <w:r>
              <w:rPr>
                <w:rFonts w:hint="eastAsia" w:ascii="仿宋_GB2312"/>
                <w:spacing w:val="-2"/>
                <w:sz w:val="28"/>
                <w:szCs w:val="28"/>
              </w:rPr>
              <w:t>14</w:t>
            </w:r>
          </w:p>
        </w:tc>
        <w:tc>
          <w:tcPr>
            <w:tcW w:w="4899" w:type="dxa"/>
            <w:vAlign w:val="center"/>
          </w:tcPr>
          <w:p w14:paraId="4FB3AF7E">
            <w:pPr>
              <w:spacing w:line="380" w:lineRule="exact"/>
              <w:rPr>
                <w:rFonts w:ascii="仿宋_GB2312"/>
                <w:spacing w:val="-2"/>
                <w:sz w:val="28"/>
                <w:szCs w:val="28"/>
              </w:rPr>
            </w:pPr>
            <w:r>
              <w:rPr>
                <w:rFonts w:hint="eastAsia" w:ascii="仿宋_GB2312"/>
                <w:spacing w:val="-2"/>
                <w:sz w:val="28"/>
                <w:szCs w:val="28"/>
              </w:rPr>
              <w:t>战略性新兴产业增加值占规上工业增加值比重、常住人口城市化率、全员劳动生产率、新引育人才数、每万人发明专利拥有量、货物贸易进出口额、实际利用外资、城镇新增就业人数、每千人拥有3岁以下婴幼儿托位数、劳动年龄人口平均受教育年限、每万老年人拥有持证养老护理员数、青少年总体近视率降低、人均体育场地面积、亿元GDP生产安全事故死亡率</w:t>
            </w:r>
          </w:p>
        </w:tc>
      </w:tr>
      <w:tr w14:paraId="69B8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14:paraId="597980AF">
            <w:pPr>
              <w:spacing w:line="380" w:lineRule="exact"/>
              <w:rPr>
                <w:rFonts w:ascii="仿宋_GB2312"/>
                <w:spacing w:val="-2"/>
                <w:sz w:val="28"/>
                <w:szCs w:val="28"/>
              </w:rPr>
            </w:pPr>
          </w:p>
        </w:tc>
        <w:tc>
          <w:tcPr>
            <w:tcW w:w="851" w:type="dxa"/>
            <w:vAlign w:val="center"/>
          </w:tcPr>
          <w:p w14:paraId="0B582860">
            <w:pPr>
              <w:spacing w:line="380" w:lineRule="exact"/>
              <w:jc w:val="center"/>
              <w:rPr>
                <w:rFonts w:ascii="仿宋_GB2312"/>
                <w:spacing w:val="-2"/>
                <w:sz w:val="28"/>
                <w:szCs w:val="28"/>
              </w:rPr>
            </w:pPr>
            <w:r>
              <w:rPr>
                <w:rFonts w:hint="eastAsia" w:ascii="仿宋_GB2312"/>
                <w:spacing w:val="-2"/>
                <w:sz w:val="28"/>
                <w:szCs w:val="28"/>
              </w:rPr>
              <w:t>符合进度</w:t>
            </w:r>
          </w:p>
        </w:tc>
        <w:tc>
          <w:tcPr>
            <w:tcW w:w="1417" w:type="dxa"/>
            <w:vAlign w:val="center"/>
          </w:tcPr>
          <w:p w14:paraId="59F9467E">
            <w:pPr>
              <w:spacing w:line="380" w:lineRule="exact"/>
              <w:jc w:val="center"/>
              <w:rPr>
                <w:rFonts w:ascii="仿宋_GB2312"/>
                <w:spacing w:val="-2"/>
                <w:sz w:val="28"/>
                <w:szCs w:val="28"/>
              </w:rPr>
            </w:pPr>
            <w:r>
              <w:rPr>
                <w:rFonts w:ascii="仿宋_GB2312"/>
                <w:spacing w:val="-2"/>
                <w:sz w:val="28"/>
                <w:szCs w:val="28"/>
              </w:rPr>
              <w:t>9</w:t>
            </w:r>
          </w:p>
        </w:tc>
        <w:tc>
          <w:tcPr>
            <w:tcW w:w="4899" w:type="dxa"/>
            <w:vAlign w:val="center"/>
          </w:tcPr>
          <w:p w14:paraId="3CB41974">
            <w:pPr>
              <w:spacing w:line="380" w:lineRule="exact"/>
              <w:rPr>
                <w:rFonts w:ascii="仿宋_GB2312"/>
                <w:spacing w:val="-2"/>
                <w:sz w:val="28"/>
                <w:szCs w:val="28"/>
              </w:rPr>
            </w:pPr>
            <w:r>
              <w:rPr>
                <w:rFonts w:hint="eastAsia" w:ascii="仿宋_GB2312"/>
                <w:spacing w:val="-2"/>
                <w:sz w:val="28"/>
                <w:szCs w:val="28"/>
              </w:rPr>
              <w:t>依申请政府服务办件“一网通办”率、常住居民人均可支配收入（城镇）、常住居民人均可支配收入（农村）、居民综合阅读率、万元GDP用水量降低、全市空气质量优良天数比率、PM2.5平均浓度、达到或优于三类水体占地表水比例（省控以上断面）、粮食总产量</w:t>
            </w:r>
          </w:p>
        </w:tc>
      </w:tr>
      <w:tr w14:paraId="7313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7A5F32DD">
            <w:pPr>
              <w:spacing w:line="380" w:lineRule="exact"/>
              <w:jc w:val="center"/>
              <w:rPr>
                <w:rFonts w:ascii="仿宋_GB2312"/>
                <w:spacing w:val="-2"/>
                <w:sz w:val="28"/>
                <w:szCs w:val="28"/>
              </w:rPr>
            </w:pPr>
            <w:r>
              <w:rPr>
                <w:rFonts w:hint="eastAsia" w:ascii="仿宋_GB2312"/>
                <w:spacing w:val="-2"/>
                <w:sz w:val="28"/>
                <w:szCs w:val="28"/>
              </w:rPr>
              <w:t>未达</w:t>
            </w:r>
          </w:p>
          <w:p w14:paraId="06726280">
            <w:pPr>
              <w:spacing w:line="380" w:lineRule="exact"/>
              <w:jc w:val="center"/>
              <w:rPr>
                <w:rFonts w:ascii="仿宋_GB2312"/>
                <w:spacing w:val="-2"/>
                <w:sz w:val="28"/>
                <w:szCs w:val="28"/>
              </w:rPr>
            </w:pPr>
            <w:r>
              <w:rPr>
                <w:rFonts w:hint="eastAsia" w:ascii="仿宋_GB2312"/>
                <w:spacing w:val="-2"/>
                <w:sz w:val="28"/>
                <w:szCs w:val="28"/>
              </w:rPr>
              <w:t>进度</w:t>
            </w:r>
          </w:p>
        </w:tc>
        <w:tc>
          <w:tcPr>
            <w:tcW w:w="851" w:type="dxa"/>
            <w:vAlign w:val="center"/>
          </w:tcPr>
          <w:p w14:paraId="07F24164">
            <w:pPr>
              <w:spacing w:line="380" w:lineRule="exact"/>
              <w:jc w:val="center"/>
              <w:rPr>
                <w:rFonts w:ascii="仿宋_GB2312"/>
                <w:spacing w:val="-2"/>
                <w:sz w:val="28"/>
                <w:szCs w:val="28"/>
              </w:rPr>
            </w:pPr>
            <w:r>
              <w:rPr>
                <w:rFonts w:hint="eastAsia" w:ascii="仿宋_GB2312"/>
                <w:spacing w:val="-2"/>
                <w:sz w:val="28"/>
                <w:szCs w:val="28"/>
              </w:rPr>
              <w:t>进度偏慢</w:t>
            </w:r>
          </w:p>
        </w:tc>
        <w:tc>
          <w:tcPr>
            <w:tcW w:w="1417" w:type="dxa"/>
            <w:vAlign w:val="center"/>
          </w:tcPr>
          <w:p w14:paraId="7B1F9C65">
            <w:pPr>
              <w:spacing w:line="380" w:lineRule="exact"/>
              <w:jc w:val="center"/>
              <w:rPr>
                <w:rFonts w:ascii="仿宋_GB2312"/>
                <w:spacing w:val="-2"/>
                <w:sz w:val="28"/>
                <w:szCs w:val="28"/>
              </w:rPr>
            </w:pPr>
            <w:r>
              <w:rPr>
                <w:rFonts w:hint="eastAsia" w:ascii="仿宋_GB2312"/>
                <w:spacing w:val="-2"/>
                <w:sz w:val="28"/>
                <w:szCs w:val="28"/>
              </w:rPr>
              <w:t>11</w:t>
            </w:r>
          </w:p>
        </w:tc>
        <w:tc>
          <w:tcPr>
            <w:tcW w:w="4899" w:type="dxa"/>
            <w:vAlign w:val="center"/>
          </w:tcPr>
          <w:p w14:paraId="227B9CE8">
            <w:pPr>
              <w:spacing w:line="380" w:lineRule="exact"/>
              <w:rPr>
                <w:rFonts w:ascii="仿宋_GB2312"/>
                <w:spacing w:val="-2"/>
                <w:sz w:val="28"/>
                <w:szCs w:val="28"/>
              </w:rPr>
            </w:pPr>
            <w:r>
              <w:rPr>
                <w:rFonts w:hint="eastAsia" w:ascii="仿宋_GB2312"/>
                <w:spacing w:val="-2"/>
                <w:sz w:val="28"/>
                <w:szCs w:val="28"/>
              </w:rPr>
              <w:t>全市生产总值、人均生产总值、一般公共预算收入、社会消费品零售总额、工业增加值占GDP比重、R&amp;D经费支出占GDP比重、数字经济核心产业增加值占GDP比重、每千人口执业（助理）医师数（常住人口）、每千人医疗机构床位数、基本养老保险参保率、单位GDP能耗降幅</w:t>
            </w:r>
          </w:p>
        </w:tc>
      </w:tr>
      <w:tr w14:paraId="2F6D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2"/>
            <w:vAlign w:val="center"/>
          </w:tcPr>
          <w:p w14:paraId="5C8981C0">
            <w:pPr>
              <w:spacing w:line="380" w:lineRule="exact"/>
              <w:jc w:val="center"/>
              <w:rPr>
                <w:rFonts w:ascii="仿宋_GB2312"/>
                <w:spacing w:val="-2"/>
                <w:sz w:val="28"/>
                <w:szCs w:val="28"/>
              </w:rPr>
            </w:pPr>
            <w:r>
              <w:rPr>
                <w:rFonts w:hint="eastAsia" w:ascii="仿宋_GB2312"/>
                <w:spacing w:val="-2"/>
                <w:sz w:val="28"/>
                <w:szCs w:val="28"/>
              </w:rPr>
              <w:t>无法评估</w:t>
            </w:r>
          </w:p>
        </w:tc>
        <w:tc>
          <w:tcPr>
            <w:tcW w:w="1417" w:type="dxa"/>
            <w:vAlign w:val="center"/>
          </w:tcPr>
          <w:p w14:paraId="38689A7D">
            <w:pPr>
              <w:spacing w:line="380" w:lineRule="exact"/>
              <w:jc w:val="center"/>
              <w:rPr>
                <w:rFonts w:ascii="仿宋_GB2312"/>
                <w:spacing w:val="-2"/>
                <w:sz w:val="28"/>
                <w:szCs w:val="28"/>
              </w:rPr>
            </w:pPr>
            <w:r>
              <w:rPr>
                <w:rFonts w:hint="eastAsia" w:ascii="仿宋_GB2312"/>
                <w:spacing w:val="-2"/>
                <w:sz w:val="28"/>
                <w:szCs w:val="28"/>
              </w:rPr>
              <w:t>4</w:t>
            </w:r>
          </w:p>
        </w:tc>
        <w:tc>
          <w:tcPr>
            <w:tcW w:w="4899" w:type="dxa"/>
            <w:vAlign w:val="center"/>
          </w:tcPr>
          <w:p w14:paraId="3AF98AA7">
            <w:pPr>
              <w:spacing w:line="380" w:lineRule="exact"/>
              <w:rPr>
                <w:rFonts w:ascii="仿宋_GB2312"/>
                <w:spacing w:val="-2"/>
                <w:sz w:val="28"/>
                <w:szCs w:val="28"/>
              </w:rPr>
            </w:pPr>
            <w:r>
              <w:rPr>
                <w:rFonts w:hint="eastAsia" w:ascii="仿宋_GB2312"/>
                <w:spacing w:val="-2"/>
                <w:sz w:val="28"/>
                <w:szCs w:val="28"/>
              </w:rPr>
              <w:t>文化与相关产业增加值、人均预期寿命、单位GDP二氧化碳排放降幅、森林覆盖率</w:t>
            </w:r>
          </w:p>
        </w:tc>
      </w:tr>
    </w:tbl>
    <w:p w14:paraId="3B327E09">
      <w:pPr>
        <w:ind w:firstLine="641"/>
        <w:outlineLvl w:val="1"/>
        <w:rPr>
          <w:rFonts w:ascii="Times New Roman" w:hAnsi="Times New Roman" w:cs="Times New Roman"/>
          <w:b/>
          <w:bCs/>
          <w:kern w:val="0"/>
          <w:szCs w:val="32"/>
          <w:shd w:val="clear" w:color="auto" w:fill="FFFFFF" w:themeFill="background1"/>
        </w:rPr>
      </w:pPr>
      <w:bookmarkStart w:id="7" w:name="_Toc15392"/>
      <w:r>
        <w:rPr>
          <w:rFonts w:hint="eastAsia" w:ascii="Times New Roman" w:hAnsi="Times New Roman" w:cs="Times New Roman"/>
          <w:b/>
          <w:bCs/>
          <w:kern w:val="0"/>
          <w:szCs w:val="32"/>
          <w:shd w:val="clear" w:color="auto" w:fill="FFFFFF" w:themeFill="background1"/>
        </w:rPr>
        <w:t>（二）分项指标完成情况</w:t>
      </w:r>
      <w:bookmarkEnd w:id="7"/>
    </w:p>
    <w:p w14:paraId="00A5AB32">
      <w:pPr>
        <w:ind w:firstLine="640"/>
        <w:rPr>
          <w:rFonts w:ascii="Times New Roman" w:hAnsi="Times New Roman" w:cs="Times New Roman"/>
          <w:b/>
          <w:bCs/>
          <w:szCs w:val="32"/>
        </w:rPr>
      </w:pPr>
      <w:r>
        <w:rPr>
          <w:rFonts w:ascii="Times New Roman" w:hAnsi="Times New Roman" w:cs="Times New Roman"/>
          <w:b/>
          <w:bCs/>
          <w:szCs w:val="32"/>
        </w:rPr>
        <w:t>1.经济发展指标</w:t>
      </w:r>
      <w:r>
        <w:rPr>
          <w:rFonts w:hint="eastAsia" w:ascii="Times New Roman" w:hAnsi="Times New Roman" w:cs="Times New Roman"/>
          <w:b/>
          <w:bCs/>
          <w:szCs w:val="32"/>
        </w:rPr>
        <w:t>（总8项，达到进度2项、未达进度5项、无法评估1项）</w:t>
      </w:r>
    </w:p>
    <w:p w14:paraId="0EEDB154">
      <w:pPr>
        <w:widowControl/>
        <w:ind w:firstLine="611" w:firstLineChars="200"/>
        <w:jc w:val="left"/>
        <w:rPr>
          <w:rFonts w:ascii="Times New Roman" w:hAnsi="Times New Roman" w:cs="Times New Roman"/>
          <w:color w:val="000000"/>
          <w:spacing w:val="-8"/>
          <w:szCs w:val="32"/>
        </w:rPr>
      </w:pPr>
      <w:r>
        <w:rPr>
          <w:rFonts w:ascii="Times New Roman" w:hAnsi="Times New Roman" w:cs="Times New Roman"/>
          <w:b/>
          <w:spacing w:val="-8"/>
          <w:szCs w:val="32"/>
        </w:rPr>
        <w:t>全市生产总值。</w:t>
      </w:r>
      <w:r>
        <w:rPr>
          <w:rFonts w:ascii="Times New Roman" w:hAnsi="Times New Roman" w:cs="Times New Roman"/>
          <w:spacing w:val="-8"/>
          <w:szCs w:val="32"/>
        </w:rPr>
        <w:t>2022年实现全市生产总值</w:t>
      </w:r>
      <w:r>
        <w:rPr>
          <w:rFonts w:ascii="Times New Roman" w:hAnsi="Times New Roman" w:cs="Times New Roman"/>
          <w:szCs w:val="32"/>
        </w:rPr>
        <w:t>1197.</w:t>
      </w:r>
      <w:r>
        <w:rPr>
          <w:rFonts w:hint="eastAsia" w:ascii="Times New Roman" w:hAnsi="Times New Roman" w:cs="Times New Roman"/>
          <w:szCs w:val="32"/>
        </w:rPr>
        <w:t>9</w:t>
      </w:r>
      <w:r>
        <w:rPr>
          <w:rFonts w:ascii="Times New Roman" w:hAnsi="Times New Roman" w:cs="Times New Roman"/>
          <w:spacing w:val="-8"/>
          <w:szCs w:val="32"/>
        </w:rPr>
        <w:t>亿元，同比增长</w:t>
      </w:r>
      <w:r>
        <w:rPr>
          <w:rFonts w:ascii="Times New Roman" w:hAnsi="Times New Roman" w:cs="Times New Roman"/>
          <w:szCs w:val="32"/>
        </w:rPr>
        <w:t>2.3%</w:t>
      </w:r>
      <w:r>
        <w:rPr>
          <w:rFonts w:ascii="Times New Roman" w:hAnsi="Times New Roman" w:cs="Times New Roman"/>
          <w:spacing w:val="-8"/>
          <w:szCs w:val="32"/>
        </w:rPr>
        <w:t>，</w:t>
      </w:r>
      <w:r>
        <w:rPr>
          <w:rFonts w:ascii="Times New Roman" w:hAnsi="Times New Roman" w:cs="Times New Roman"/>
          <w:color w:val="000000"/>
          <w:spacing w:val="-8"/>
          <w:szCs w:val="32"/>
        </w:rPr>
        <w:t>两年年均增长</w:t>
      </w:r>
      <w:r>
        <w:rPr>
          <w:rFonts w:ascii="Times New Roman" w:hAnsi="Times New Roman" w:cs="Times New Roman"/>
          <w:szCs w:val="32"/>
        </w:rPr>
        <w:t>4.9</w:t>
      </w:r>
      <w:r>
        <w:rPr>
          <w:rFonts w:hint="eastAsia" w:ascii="Times New Roman" w:hAnsi="Times New Roman" w:cs="Times New Roman"/>
          <w:szCs w:val="32"/>
        </w:rPr>
        <w:t>2</w:t>
      </w:r>
      <w:r>
        <w:rPr>
          <w:rFonts w:ascii="Times New Roman" w:hAnsi="Times New Roman" w:cs="Times New Roman"/>
          <w:szCs w:val="32"/>
        </w:rPr>
        <w:t>%</w:t>
      </w:r>
      <w:r>
        <w:rPr>
          <w:rFonts w:ascii="Times New Roman" w:hAnsi="Times New Roman" w:cs="Times New Roman"/>
          <w:color w:val="000000"/>
          <w:spacing w:val="-8"/>
          <w:szCs w:val="32"/>
        </w:rPr>
        <w:t>，</w:t>
      </w:r>
      <w:r>
        <w:rPr>
          <w:rFonts w:ascii="Times New Roman" w:hAnsi="Times New Roman" w:cs="Times New Roman"/>
          <w:szCs w:val="32"/>
        </w:rPr>
        <w:t>未达到</w:t>
      </w:r>
      <w:r>
        <w:rPr>
          <w:rFonts w:ascii="Times New Roman" w:hAnsi="Times New Roman" w:cs="Times New Roman"/>
          <w:color w:val="000000"/>
          <w:spacing w:val="-8"/>
          <w:szCs w:val="32"/>
        </w:rPr>
        <w:t>“</w:t>
      </w:r>
      <w:r>
        <w:rPr>
          <w:rFonts w:ascii="Times New Roman" w:hAnsi="Times New Roman" w:cs="Times New Roman"/>
          <w:spacing w:val="-8"/>
          <w:szCs w:val="32"/>
        </w:rPr>
        <w:t>年均增长7%以上</w:t>
      </w:r>
      <w:r>
        <w:rPr>
          <w:rFonts w:ascii="Times New Roman" w:hAnsi="Times New Roman" w:cs="Times New Roman"/>
          <w:color w:val="000000"/>
          <w:spacing w:val="-8"/>
          <w:szCs w:val="32"/>
        </w:rPr>
        <w:t>”的规划目标。2023年上半年实现生产总值580.18亿元，同比增长6.5%。</w:t>
      </w:r>
    </w:p>
    <w:p w14:paraId="7CFBA2AF">
      <w:pPr>
        <w:ind w:firstLine="643"/>
        <w:rPr>
          <w:rFonts w:ascii="Times New Roman" w:hAnsi="Times New Roman" w:cs="Times New Roman"/>
          <w:szCs w:val="32"/>
        </w:rPr>
      </w:pPr>
      <w:r>
        <w:rPr>
          <w:rFonts w:ascii="Times New Roman" w:hAnsi="Times New Roman" w:cs="Times New Roman"/>
          <w:b/>
          <w:szCs w:val="32"/>
        </w:rPr>
        <w:t>人均生产总值。</w:t>
      </w:r>
      <w:r>
        <w:rPr>
          <w:rFonts w:ascii="Times New Roman" w:hAnsi="Times New Roman" w:cs="Times New Roman"/>
          <w:szCs w:val="32"/>
        </w:rPr>
        <w:t>2022年全市实现人均生产总值78446元，同比增长2.0%，两年年均增长4.5</w:t>
      </w:r>
      <w:r>
        <w:rPr>
          <w:rFonts w:hint="eastAsia" w:ascii="Times New Roman" w:hAnsi="Times New Roman" w:cs="Times New Roman"/>
          <w:szCs w:val="32"/>
        </w:rPr>
        <w:t>7</w:t>
      </w:r>
      <w:r>
        <w:rPr>
          <w:rFonts w:ascii="Times New Roman" w:hAnsi="Times New Roman" w:cs="Times New Roman"/>
          <w:szCs w:val="32"/>
        </w:rPr>
        <w:t>%，未达到“年均增长6.8%”的规划目标。</w:t>
      </w:r>
      <w:r>
        <w:rPr>
          <w:rFonts w:ascii="Times New Roman" w:hAnsi="Times New Roman" w:cs="Times New Roman"/>
          <w:spacing w:val="-8"/>
          <w:szCs w:val="32"/>
        </w:rPr>
        <w:t>2023年上半年，该指标未</w:t>
      </w:r>
      <w:r>
        <w:rPr>
          <w:rFonts w:hint="eastAsia" w:ascii="Times New Roman" w:hAnsi="Times New Roman" w:cs="Times New Roman"/>
          <w:spacing w:val="-8"/>
          <w:szCs w:val="32"/>
        </w:rPr>
        <w:t>作统计</w:t>
      </w:r>
      <w:r>
        <w:rPr>
          <w:rFonts w:ascii="Times New Roman" w:hAnsi="Times New Roman" w:cs="Times New Roman"/>
          <w:spacing w:val="-8"/>
          <w:szCs w:val="32"/>
        </w:rPr>
        <w:t>。</w:t>
      </w:r>
    </w:p>
    <w:p w14:paraId="5B9DE87A">
      <w:pPr>
        <w:ind w:firstLine="643"/>
        <w:rPr>
          <w:rFonts w:ascii="Times New Roman" w:hAnsi="Times New Roman" w:cs="Times New Roman"/>
          <w:szCs w:val="32"/>
        </w:rPr>
      </w:pPr>
      <w:r>
        <w:rPr>
          <w:rFonts w:ascii="Times New Roman" w:hAnsi="Times New Roman" w:cs="Times New Roman"/>
          <w:b/>
          <w:szCs w:val="32"/>
        </w:rPr>
        <w:t>一般公共预算收入。</w:t>
      </w:r>
      <w:r>
        <w:rPr>
          <w:rFonts w:ascii="Times New Roman" w:hAnsi="Times New Roman" w:cs="Times New Roman"/>
          <w:szCs w:val="32"/>
        </w:rPr>
        <w:t>2022年全市一般公共预算收入66亿元，两年年均下降10.2</w:t>
      </w:r>
      <w:r>
        <w:rPr>
          <w:rFonts w:hint="eastAsia" w:ascii="Times New Roman" w:hAnsi="Times New Roman" w:cs="Times New Roman"/>
          <w:szCs w:val="32"/>
        </w:rPr>
        <w:t>4</w:t>
      </w:r>
      <w:r>
        <w:rPr>
          <w:rFonts w:ascii="Times New Roman" w:hAnsi="Times New Roman" w:cs="Times New Roman"/>
          <w:szCs w:val="32"/>
        </w:rPr>
        <w:t>%，未达到“年均增长8%”的规划目标。2023年上半年全市一般公共预算收入为50.08亿元，同比增长21.50%。</w:t>
      </w:r>
    </w:p>
    <w:p w14:paraId="24555DE0">
      <w:pPr>
        <w:ind w:firstLine="643"/>
        <w:rPr>
          <w:rFonts w:ascii="Times New Roman" w:hAnsi="Times New Roman" w:cs="Times New Roman"/>
          <w:szCs w:val="32"/>
        </w:rPr>
      </w:pPr>
      <w:r>
        <w:rPr>
          <w:rFonts w:ascii="Times New Roman" w:hAnsi="Times New Roman" w:cs="Times New Roman"/>
          <w:b/>
          <w:bCs/>
          <w:szCs w:val="32"/>
        </w:rPr>
        <w:t>社会消费品零售总额</w:t>
      </w:r>
      <w:r>
        <w:rPr>
          <w:rFonts w:ascii="Times New Roman" w:hAnsi="Times New Roman" w:cs="Times New Roman"/>
          <w:b/>
          <w:szCs w:val="32"/>
        </w:rPr>
        <w:t>。</w:t>
      </w:r>
      <w:r>
        <w:rPr>
          <w:rFonts w:ascii="Times New Roman" w:hAnsi="Times New Roman" w:cs="Times New Roman"/>
          <w:szCs w:val="32"/>
        </w:rPr>
        <w:t>2022年全市社会消费品零售总额为582.9亿元，同比增长2.50%，两年年均增长5.</w:t>
      </w:r>
      <w:r>
        <w:rPr>
          <w:rFonts w:hint="eastAsia" w:ascii="Times New Roman" w:hAnsi="Times New Roman" w:cs="Times New Roman"/>
          <w:szCs w:val="32"/>
        </w:rPr>
        <w:t>89</w:t>
      </w:r>
      <w:r>
        <w:rPr>
          <w:rFonts w:ascii="Times New Roman" w:hAnsi="Times New Roman" w:cs="Times New Roman"/>
          <w:szCs w:val="32"/>
        </w:rPr>
        <w:t>%，未达到“年均增长8%”的规划目标。2023年上半年实现社会消费品零售总额297亿元，同比增长6.50%。</w:t>
      </w:r>
    </w:p>
    <w:p w14:paraId="2513B826">
      <w:pPr>
        <w:ind w:firstLine="643"/>
        <w:rPr>
          <w:rFonts w:ascii="Times New Roman" w:hAnsi="Times New Roman" w:cs="Times New Roman"/>
          <w:spacing w:val="-4"/>
          <w:szCs w:val="32"/>
        </w:rPr>
      </w:pPr>
      <w:r>
        <w:rPr>
          <w:rFonts w:ascii="Times New Roman" w:hAnsi="Times New Roman" w:cs="Times New Roman"/>
          <w:b/>
          <w:bCs/>
          <w:szCs w:val="32"/>
        </w:rPr>
        <w:t>工业增加值占GDP比重。</w:t>
      </w:r>
      <w:r>
        <w:rPr>
          <w:rFonts w:ascii="Times New Roman" w:hAnsi="Times New Roman" w:cs="Times New Roman"/>
          <w:szCs w:val="32"/>
        </w:rPr>
        <w:t>2022年全市工业增加值占GDP比重为37.64%，两年累计下降</w:t>
      </w:r>
      <w:r>
        <w:rPr>
          <w:rFonts w:hint="eastAsia" w:ascii="Times New Roman" w:hAnsi="Times New Roman" w:cs="Times New Roman"/>
          <w:szCs w:val="32"/>
        </w:rPr>
        <w:t>0.36</w:t>
      </w:r>
      <w:r>
        <w:rPr>
          <w:rFonts w:ascii="Times New Roman" w:hAnsi="Times New Roman" w:cs="Times New Roman"/>
          <w:szCs w:val="32"/>
        </w:rPr>
        <w:t>个百分点，未达到规划时序要求。</w:t>
      </w:r>
      <w:r>
        <w:rPr>
          <w:rFonts w:ascii="Times New Roman" w:hAnsi="Times New Roman" w:cs="Times New Roman"/>
          <w:spacing w:val="-4"/>
          <w:szCs w:val="32"/>
        </w:rPr>
        <w:t>2023年上半年工业增加值占GDP比重</w:t>
      </w:r>
      <w:r>
        <w:rPr>
          <w:rFonts w:ascii="Times New Roman" w:hAnsi="Times New Roman" w:cs="Times New Roman"/>
          <w:szCs w:val="32"/>
        </w:rPr>
        <w:t>为</w:t>
      </w:r>
      <w:r>
        <w:rPr>
          <w:rFonts w:hint="eastAsia" w:ascii="Times New Roman" w:hAnsi="Times New Roman" w:cs="Times New Roman"/>
          <w:szCs w:val="32"/>
        </w:rPr>
        <w:t>37.6</w:t>
      </w:r>
      <w:r>
        <w:rPr>
          <w:rFonts w:ascii="Times New Roman" w:hAnsi="Times New Roman" w:cs="Times New Roman"/>
          <w:spacing w:val="-4"/>
          <w:szCs w:val="32"/>
        </w:rPr>
        <w:t>%。</w:t>
      </w:r>
    </w:p>
    <w:p w14:paraId="59194E9B">
      <w:pPr>
        <w:ind w:firstLine="643"/>
        <w:rPr>
          <w:rFonts w:ascii="Times New Roman" w:hAnsi="Times New Roman" w:cs="Times New Roman"/>
          <w:spacing w:val="-4"/>
          <w:szCs w:val="32"/>
        </w:rPr>
      </w:pPr>
      <w:r>
        <w:rPr>
          <w:rFonts w:ascii="Times New Roman" w:hAnsi="Times New Roman" w:cs="Times New Roman"/>
          <w:b/>
          <w:bCs/>
          <w:szCs w:val="32"/>
        </w:rPr>
        <w:t>战略性新兴产业增加值占规上工业增加值比重。</w:t>
      </w:r>
      <w:r>
        <w:rPr>
          <w:rFonts w:ascii="Times New Roman" w:hAnsi="Times New Roman" w:cs="Times New Roman"/>
          <w:szCs w:val="32"/>
        </w:rPr>
        <w:t>2022年全市战略性新兴产业增加值占规上工业增加值比重为32.01%，两年累计提高9.4</w:t>
      </w:r>
      <w:r>
        <w:rPr>
          <w:rFonts w:hint="eastAsia" w:ascii="Times New Roman" w:hAnsi="Times New Roman" w:cs="Times New Roman"/>
          <w:szCs w:val="32"/>
        </w:rPr>
        <w:t>5</w:t>
      </w:r>
      <w:r>
        <w:rPr>
          <w:rFonts w:ascii="Times New Roman" w:hAnsi="Times New Roman" w:cs="Times New Roman"/>
          <w:szCs w:val="32"/>
        </w:rPr>
        <w:t>个百分点，达到规划时序要求。</w:t>
      </w:r>
      <w:r>
        <w:rPr>
          <w:rFonts w:ascii="Times New Roman" w:hAnsi="Times New Roman" w:cs="Times New Roman"/>
          <w:spacing w:val="-4"/>
          <w:szCs w:val="32"/>
        </w:rPr>
        <w:t>2023年上半年战略性新兴产业增加值占规上工业增加值比重</w:t>
      </w:r>
      <w:r>
        <w:rPr>
          <w:rFonts w:ascii="Times New Roman" w:hAnsi="Times New Roman" w:cs="Times New Roman"/>
          <w:szCs w:val="32"/>
        </w:rPr>
        <w:t>为</w:t>
      </w:r>
      <w:r>
        <w:rPr>
          <w:rFonts w:hint="eastAsia" w:ascii="Times New Roman" w:hAnsi="Times New Roman" w:cs="Times New Roman"/>
          <w:szCs w:val="32"/>
        </w:rPr>
        <w:t>29.64</w:t>
      </w:r>
      <w:r>
        <w:rPr>
          <w:rFonts w:ascii="Times New Roman" w:hAnsi="Times New Roman" w:cs="Times New Roman"/>
          <w:spacing w:val="-4"/>
          <w:szCs w:val="32"/>
        </w:rPr>
        <w:t>%。</w:t>
      </w:r>
    </w:p>
    <w:p w14:paraId="06EB918C">
      <w:pPr>
        <w:ind w:firstLine="643"/>
        <w:rPr>
          <w:rFonts w:ascii="Times New Roman" w:hAnsi="Times New Roman" w:cs="Times New Roman"/>
          <w:spacing w:val="-4"/>
          <w:szCs w:val="32"/>
        </w:rPr>
      </w:pPr>
      <w:r>
        <w:rPr>
          <w:rFonts w:ascii="Times New Roman" w:hAnsi="Times New Roman" w:cs="Times New Roman"/>
          <w:b/>
          <w:bCs/>
          <w:szCs w:val="32"/>
        </w:rPr>
        <w:t>文化与相关产业增加值。</w:t>
      </w:r>
      <w:r>
        <w:rPr>
          <w:rFonts w:ascii="Times New Roman" w:hAnsi="Times New Roman" w:cs="Times New Roman"/>
          <w:spacing w:val="-4"/>
          <w:szCs w:val="32"/>
        </w:rPr>
        <w:t>2021</w:t>
      </w:r>
      <w:r>
        <w:rPr>
          <w:rFonts w:hint="eastAsia" w:ascii="Times New Roman" w:hAnsi="Times New Roman" w:cs="Times New Roman"/>
          <w:spacing w:val="-4"/>
          <w:szCs w:val="32"/>
        </w:rPr>
        <w:t>年全市文化相关产业增加值</w:t>
      </w:r>
      <w:r>
        <w:rPr>
          <w:rFonts w:ascii="Times New Roman" w:hAnsi="Times New Roman" w:cs="Times New Roman"/>
          <w:spacing w:val="-4"/>
          <w:szCs w:val="32"/>
        </w:rPr>
        <w:t>63.8</w:t>
      </w:r>
      <w:r>
        <w:rPr>
          <w:rFonts w:hint="eastAsia" w:ascii="Times New Roman" w:hAnsi="Times New Roman" w:cs="Times New Roman"/>
          <w:spacing w:val="-4"/>
          <w:szCs w:val="32"/>
        </w:rPr>
        <w:t>亿元，同比增长</w:t>
      </w:r>
      <w:r>
        <w:rPr>
          <w:rFonts w:ascii="Times New Roman" w:hAnsi="Times New Roman" w:cs="Times New Roman"/>
          <w:spacing w:val="-4"/>
          <w:szCs w:val="32"/>
        </w:rPr>
        <w:t>25.2%</w:t>
      </w:r>
      <w:r>
        <w:rPr>
          <w:rFonts w:hint="eastAsia" w:ascii="Times New Roman" w:hAnsi="Times New Roman" w:cs="Times New Roman"/>
          <w:spacing w:val="-4"/>
          <w:szCs w:val="32"/>
        </w:rPr>
        <w:t>。</w:t>
      </w:r>
      <w:r>
        <w:rPr>
          <w:rFonts w:ascii="Times New Roman" w:hAnsi="Times New Roman" w:cs="Times New Roman"/>
          <w:spacing w:val="-4"/>
          <w:szCs w:val="32"/>
        </w:rPr>
        <w:t>2022年数据尚未发布，暂无法评估进度。</w:t>
      </w:r>
    </w:p>
    <w:p w14:paraId="6FE65B9C">
      <w:pPr>
        <w:ind w:firstLine="643"/>
        <w:rPr>
          <w:rFonts w:ascii="Times New Roman" w:hAnsi="Times New Roman" w:cs="Times New Roman"/>
          <w:szCs w:val="32"/>
        </w:rPr>
      </w:pPr>
      <w:r>
        <w:rPr>
          <w:rFonts w:ascii="Times New Roman" w:hAnsi="Times New Roman" w:cs="Times New Roman"/>
          <w:b/>
          <w:szCs w:val="32"/>
        </w:rPr>
        <w:t>常住人口城镇化率。</w:t>
      </w:r>
      <w:r>
        <w:rPr>
          <w:rFonts w:ascii="Times New Roman" w:hAnsi="Times New Roman" w:cs="Times New Roman"/>
          <w:szCs w:val="32"/>
        </w:rPr>
        <w:t>2022年全市常住人口城镇化率为68%，两年累计提高1.4个百分点，达到规划时序要求。</w:t>
      </w:r>
      <w:r>
        <w:rPr>
          <w:rFonts w:ascii="Times New Roman" w:hAnsi="Times New Roman" w:cs="Times New Roman"/>
          <w:spacing w:val="-8"/>
          <w:szCs w:val="32"/>
        </w:rPr>
        <w:t>2023年上半年，该指标未</w:t>
      </w:r>
      <w:r>
        <w:rPr>
          <w:rFonts w:hint="eastAsia" w:ascii="Times New Roman" w:hAnsi="Times New Roman" w:cs="Times New Roman"/>
          <w:spacing w:val="-8"/>
          <w:szCs w:val="32"/>
        </w:rPr>
        <w:t>作统计</w:t>
      </w:r>
      <w:r>
        <w:rPr>
          <w:rFonts w:ascii="Times New Roman" w:hAnsi="Times New Roman" w:cs="Times New Roman"/>
          <w:spacing w:val="-8"/>
          <w:szCs w:val="32"/>
        </w:rPr>
        <w:t>。</w:t>
      </w:r>
    </w:p>
    <w:p w14:paraId="2F78DC1A">
      <w:pPr>
        <w:ind w:firstLine="640"/>
        <w:rPr>
          <w:rFonts w:ascii="Times New Roman" w:hAnsi="Times New Roman" w:cs="Times New Roman"/>
          <w:b/>
          <w:bCs/>
          <w:szCs w:val="32"/>
        </w:rPr>
      </w:pPr>
      <w:r>
        <w:rPr>
          <w:rFonts w:ascii="Times New Roman" w:hAnsi="Times New Roman" w:cs="Times New Roman"/>
          <w:b/>
          <w:bCs/>
          <w:szCs w:val="32"/>
        </w:rPr>
        <w:t>2.创新驱动指标</w:t>
      </w:r>
      <w:r>
        <w:rPr>
          <w:rFonts w:hint="eastAsia" w:ascii="Times New Roman" w:hAnsi="Times New Roman" w:cs="Times New Roman"/>
          <w:b/>
          <w:bCs/>
          <w:szCs w:val="32"/>
        </w:rPr>
        <w:t>（总5项，达到进度3项、进度偏慢2项）</w:t>
      </w:r>
    </w:p>
    <w:p w14:paraId="2E375EDB">
      <w:pPr>
        <w:ind w:firstLine="643"/>
        <w:rPr>
          <w:rFonts w:ascii="Times New Roman" w:hAnsi="Times New Roman" w:cs="Times New Roman"/>
          <w:szCs w:val="32"/>
        </w:rPr>
      </w:pPr>
      <w:r>
        <w:rPr>
          <w:rFonts w:ascii="Times New Roman" w:hAnsi="Times New Roman" w:cs="Times New Roman"/>
          <w:b/>
          <w:bCs/>
          <w:szCs w:val="32"/>
        </w:rPr>
        <w:t>全员劳动生产率。</w:t>
      </w:r>
      <w:r>
        <w:rPr>
          <w:rFonts w:ascii="Times New Roman" w:hAnsi="Times New Roman" w:cs="Times New Roman"/>
          <w:szCs w:val="32"/>
        </w:rPr>
        <w:t>2022年全市全员劳动生产率</w:t>
      </w:r>
      <w:r>
        <w:rPr>
          <w:rFonts w:hint="eastAsia" w:ascii="Times New Roman" w:hAnsi="Times New Roman" w:cs="Times New Roman"/>
          <w:szCs w:val="32"/>
        </w:rPr>
        <w:t>13.85</w:t>
      </w:r>
      <w:r>
        <w:rPr>
          <w:rFonts w:ascii="Times New Roman" w:hAnsi="Times New Roman" w:cs="Times New Roman"/>
          <w:szCs w:val="32"/>
        </w:rPr>
        <w:t>万元/人，两年累计提高</w:t>
      </w:r>
      <w:r>
        <w:rPr>
          <w:rFonts w:hint="eastAsia" w:ascii="Times New Roman" w:hAnsi="Times New Roman" w:cs="Times New Roman"/>
          <w:szCs w:val="32"/>
        </w:rPr>
        <w:t>1.79</w:t>
      </w:r>
      <w:r>
        <w:rPr>
          <w:rFonts w:ascii="Times New Roman" w:hAnsi="Times New Roman" w:cs="Times New Roman"/>
          <w:szCs w:val="32"/>
        </w:rPr>
        <w:t>万元/人，达到规划时序要求。</w:t>
      </w:r>
      <w:r>
        <w:rPr>
          <w:rFonts w:ascii="Times New Roman" w:hAnsi="Times New Roman" w:cs="Times New Roman"/>
          <w:spacing w:val="-8"/>
          <w:szCs w:val="32"/>
        </w:rPr>
        <w:t>2023年上半年，该指标未</w:t>
      </w:r>
      <w:r>
        <w:rPr>
          <w:rFonts w:hint="eastAsia" w:ascii="Times New Roman" w:hAnsi="Times New Roman" w:cs="Times New Roman"/>
          <w:spacing w:val="-8"/>
          <w:szCs w:val="32"/>
        </w:rPr>
        <w:t>作统计</w:t>
      </w:r>
      <w:r>
        <w:rPr>
          <w:rFonts w:ascii="Times New Roman" w:hAnsi="Times New Roman" w:cs="Times New Roman"/>
          <w:spacing w:val="-8"/>
          <w:szCs w:val="32"/>
        </w:rPr>
        <w:t>。</w:t>
      </w:r>
    </w:p>
    <w:p w14:paraId="6C131FCB">
      <w:pPr>
        <w:ind w:firstLine="643"/>
        <w:rPr>
          <w:rFonts w:ascii="Times New Roman" w:hAnsi="Times New Roman" w:cs="Times New Roman"/>
          <w:szCs w:val="32"/>
        </w:rPr>
      </w:pPr>
      <w:r>
        <w:rPr>
          <w:rFonts w:ascii="Times New Roman" w:hAnsi="Times New Roman" w:cs="Times New Roman"/>
          <w:b/>
          <w:bCs/>
          <w:szCs w:val="32"/>
        </w:rPr>
        <w:t>R&amp;D经费支出占GDP比重。</w:t>
      </w:r>
      <w:r>
        <w:rPr>
          <w:rFonts w:ascii="Times New Roman" w:hAnsi="Times New Roman" w:cs="Times New Roman"/>
          <w:szCs w:val="32"/>
        </w:rPr>
        <w:t>2022年全市R&amp;D经费支出占GDP比重</w:t>
      </w:r>
      <w:r>
        <w:rPr>
          <w:rFonts w:hint="eastAsia" w:ascii="Times New Roman" w:hAnsi="Times New Roman" w:cs="Times New Roman"/>
          <w:szCs w:val="32"/>
        </w:rPr>
        <w:t>2.73%</w:t>
      </w:r>
      <w:r>
        <w:rPr>
          <w:rFonts w:ascii="Times New Roman" w:hAnsi="Times New Roman" w:cs="Times New Roman"/>
          <w:szCs w:val="32"/>
        </w:rPr>
        <w:t>，两年累计提高</w:t>
      </w:r>
      <w:r>
        <w:rPr>
          <w:rFonts w:hint="eastAsia" w:ascii="Times New Roman" w:hAnsi="Times New Roman" w:cs="Times New Roman"/>
          <w:szCs w:val="32"/>
        </w:rPr>
        <w:t>0.14个</w:t>
      </w:r>
      <w:r>
        <w:rPr>
          <w:rFonts w:ascii="Times New Roman" w:hAnsi="Times New Roman" w:cs="Times New Roman"/>
          <w:szCs w:val="32"/>
        </w:rPr>
        <w:t>百分点，</w:t>
      </w:r>
      <w:r>
        <w:rPr>
          <w:rFonts w:hint="eastAsia" w:ascii="Times New Roman" w:hAnsi="Times New Roman" w:cs="Times New Roman"/>
          <w:szCs w:val="32"/>
        </w:rPr>
        <w:t>未</w:t>
      </w:r>
      <w:r>
        <w:rPr>
          <w:rFonts w:ascii="Times New Roman" w:hAnsi="Times New Roman" w:cs="Times New Roman"/>
          <w:szCs w:val="32"/>
        </w:rPr>
        <w:t>达到规划时序要求。</w:t>
      </w:r>
      <w:r>
        <w:rPr>
          <w:rFonts w:ascii="Times New Roman" w:hAnsi="Times New Roman" w:cs="Times New Roman"/>
          <w:spacing w:val="-8"/>
          <w:szCs w:val="32"/>
        </w:rPr>
        <w:t>2023年上半年，该指标未</w:t>
      </w:r>
      <w:r>
        <w:rPr>
          <w:rFonts w:hint="eastAsia" w:ascii="Times New Roman" w:hAnsi="Times New Roman" w:cs="Times New Roman"/>
          <w:spacing w:val="-8"/>
          <w:szCs w:val="32"/>
        </w:rPr>
        <w:t>作统计</w:t>
      </w:r>
      <w:r>
        <w:rPr>
          <w:rFonts w:ascii="Times New Roman" w:hAnsi="Times New Roman" w:cs="Times New Roman"/>
          <w:spacing w:val="-8"/>
          <w:szCs w:val="32"/>
        </w:rPr>
        <w:t>。</w:t>
      </w:r>
    </w:p>
    <w:p w14:paraId="290E2698">
      <w:pPr>
        <w:ind w:firstLine="643"/>
        <w:rPr>
          <w:rFonts w:ascii="Times New Roman" w:hAnsi="Times New Roman" w:cs="Times New Roman"/>
          <w:szCs w:val="32"/>
        </w:rPr>
      </w:pPr>
      <w:r>
        <w:rPr>
          <w:rFonts w:ascii="Times New Roman" w:hAnsi="Times New Roman" w:cs="Times New Roman"/>
          <w:b/>
          <w:bCs/>
          <w:szCs w:val="32"/>
        </w:rPr>
        <w:t>新引育人才数。</w:t>
      </w:r>
      <w:r>
        <w:rPr>
          <w:rFonts w:ascii="Times New Roman" w:hAnsi="Times New Roman" w:cs="Times New Roman"/>
          <w:szCs w:val="32"/>
        </w:rPr>
        <w:t>2021、2022年累计新引育人才数5.74万人，达到规划时序要求。2023年上半年，新引育人才数1.</w:t>
      </w:r>
      <w:r>
        <w:rPr>
          <w:rFonts w:hint="eastAsia" w:ascii="Times New Roman" w:hAnsi="Times New Roman" w:cs="Times New Roman"/>
          <w:szCs w:val="32"/>
        </w:rPr>
        <w:t>36</w:t>
      </w:r>
      <w:r>
        <w:rPr>
          <w:rFonts w:ascii="Times New Roman" w:hAnsi="Times New Roman" w:cs="Times New Roman"/>
          <w:szCs w:val="32"/>
        </w:rPr>
        <w:t>万人。</w:t>
      </w:r>
    </w:p>
    <w:p w14:paraId="6BB1C8AD">
      <w:pPr>
        <w:widowControl/>
        <w:ind w:firstLine="643" w:firstLineChars="200"/>
        <w:jc w:val="left"/>
        <w:rPr>
          <w:rFonts w:ascii="Times New Roman" w:hAnsi="Times New Roman" w:cs="Times New Roman"/>
          <w:szCs w:val="32"/>
        </w:rPr>
      </w:pPr>
      <w:r>
        <w:rPr>
          <w:rFonts w:ascii="Times New Roman" w:hAnsi="Times New Roman" w:cs="Times New Roman"/>
          <w:b/>
          <w:bCs/>
          <w:szCs w:val="32"/>
        </w:rPr>
        <w:t>每万人发明专利拥有量。</w:t>
      </w:r>
      <w:r>
        <w:rPr>
          <w:rFonts w:ascii="Times New Roman" w:hAnsi="Times New Roman" w:cs="Times New Roman"/>
          <w:szCs w:val="32"/>
        </w:rPr>
        <w:t>2022年全市</w:t>
      </w:r>
      <w:r>
        <w:rPr>
          <w:rFonts w:ascii="Times New Roman" w:hAnsi="Times New Roman" w:cs="Times New Roman"/>
          <w:spacing w:val="-4"/>
          <w:szCs w:val="32"/>
        </w:rPr>
        <w:t>每万人发明专利拥有量</w:t>
      </w:r>
      <w:r>
        <w:rPr>
          <w:rFonts w:ascii="Times New Roman" w:hAnsi="Times New Roman" w:cs="Times New Roman"/>
          <w:szCs w:val="32"/>
        </w:rPr>
        <w:t>为23.12件，两年累计提高7.12件，达到规划时序要求。2023年上半年全市每万人发明专利拥有量为23.92件。</w:t>
      </w:r>
    </w:p>
    <w:p w14:paraId="7A163D9E">
      <w:pPr>
        <w:ind w:firstLine="643"/>
        <w:rPr>
          <w:rFonts w:ascii="Times New Roman" w:hAnsi="Times New Roman" w:cs="Times New Roman"/>
          <w:spacing w:val="-4"/>
          <w:szCs w:val="32"/>
        </w:rPr>
      </w:pPr>
      <w:r>
        <w:rPr>
          <w:rFonts w:ascii="Times New Roman" w:hAnsi="Times New Roman" w:cs="Times New Roman"/>
          <w:b/>
          <w:bCs/>
          <w:szCs w:val="32"/>
        </w:rPr>
        <w:t>数字经济核心产业增加值占GDP比重。</w:t>
      </w:r>
      <w:r>
        <w:rPr>
          <w:rFonts w:ascii="Times New Roman" w:hAnsi="Times New Roman" w:cs="Times New Roman"/>
          <w:szCs w:val="32"/>
        </w:rPr>
        <w:t>2022年全市数字经济核心产业增加值占GDP比重为6.1%，两年累计</w:t>
      </w:r>
      <w:r>
        <w:rPr>
          <w:rFonts w:hint="eastAsia" w:ascii="Times New Roman" w:hAnsi="Times New Roman" w:cs="Times New Roman"/>
          <w:szCs w:val="32"/>
        </w:rPr>
        <w:t>下降0.8</w:t>
      </w:r>
      <w:r>
        <w:rPr>
          <w:rFonts w:ascii="Times New Roman" w:hAnsi="Times New Roman" w:cs="Times New Roman"/>
          <w:szCs w:val="32"/>
        </w:rPr>
        <w:t>个百分点，</w:t>
      </w:r>
      <w:r>
        <w:rPr>
          <w:rFonts w:hint="eastAsia" w:ascii="Times New Roman" w:hAnsi="Times New Roman" w:cs="Times New Roman"/>
          <w:szCs w:val="32"/>
        </w:rPr>
        <w:t>未</w:t>
      </w:r>
      <w:r>
        <w:rPr>
          <w:rFonts w:ascii="Times New Roman" w:hAnsi="Times New Roman" w:cs="Times New Roman"/>
          <w:szCs w:val="32"/>
        </w:rPr>
        <w:t>达到规划时序要求。</w:t>
      </w:r>
      <w:r>
        <w:rPr>
          <w:rFonts w:ascii="Times New Roman" w:hAnsi="Times New Roman" w:cs="Times New Roman"/>
          <w:spacing w:val="-4"/>
          <w:szCs w:val="32"/>
        </w:rPr>
        <w:t>2023年上半年数字经济核心产业增加值占GDP比重</w:t>
      </w:r>
      <w:r>
        <w:rPr>
          <w:rFonts w:ascii="Times New Roman" w:hAnsi="Times New Roman" w:cs="Times New Roman"/>
          <w:szCs w:val="32"/>
        </w:rPr>
        <w:t>为6.5</w:t>
      </w:r>
      <w:r>
        <w:rPr>
          <w:rFonts w:ascii="Times New Roman" w:hAnsi="Times New Roman" w:cs="Times New Roman"/>
          <w:spacing w:val="-4"/>
          <w:szCs w:val="32"/>
        </w:rPr>
        <w:t>%。</w:t>
      </w:r>
    </w:p>
    <w:p w14:paraId="65F92826">
      <w:pPr>
        <w:ind w:firstLine="643"/>
        <w:rPr>
          <w:rFonts w:ascii="Times New Roman" w:hAnsi="Times New Roman" w:cs="Times New Roman"/>
          <w:b/>
          <w:bCs/>
          <w:szCs w:val="32"/>
        </w:rPr>
      </w:pPr>
      <w:r>
        <w:rPr>
          <w:rFonts w:ascii="Times New Roman" w:hAnsi="Times New Roman" w:cs="Times New Roman"/>
          <w:b/>
          <w:bCs/>
          <w:szCs w:val="32"/>
        </w:rPr>
        <w:t>3.改革开放指标</w:t>
      </w:r>
      <w:r>
        <w:rPr>
          <w:rFonts w:hint="eastAsia" w:ascii="Times New Roman" w:hAnsi="Times New Roman" w:cs="Times New Roman"/>
          <w:b/>
          <w:bCs/>
          <w:szCs w:val="32"/>
        </w:rPr>
        <w:t>（总16项，达到进度12项、未达进度3项、无法评估1项）</w:t>
      </w:r>
    </w:p>
    <w:p w14:paraId="71CBC57A">
      <w:pPr>
        <w:ind w:firstLine="643"/>
        <w:rPr>
          <w:rFonts w:ascii="Times New Roman" w:hAnsi="Times New Roman" w:cs="Times New Roman"/>
          <w:szCs w:val="32"/>
        </w:rPr>
      </w:pPr>
      <w:r>
        <w:rPr>
          <w:rFonts w:ascii="Times New Roman" w:hAnsi="Times New Roman" w:cs="Times New Roman"/>
          <w:b/>
          <w:bCs/>
          <w:szCs w:val="32"/>
        </w:rPr>
        <w:t>货物贸易进出口额。</w:t>
      </w:r>
      <w:r>
        <w:rPr>
          <w:rFonts w:ascii="Times New Roman" w:hAnsi="Times New Roman" w:cs="Times New Roman"/>
          <w:szCs w:val="32"/>
        </w:rPr>
        <w:t>2022年全市货物贸易进出口额为430.06亿元，同比增长16.38%，两年年均增长14.42%，达到“年均增长3.2%”的规划目标。2023年上半年实现出口总额184.09亿元，同比</w:t>
      </w:r>
      <w:r>
        <w:rPr>
          <w:rFonts w:hint="eastAsia" w:ascii="Times New Roman" w:hAnsi="Times New Roman" w:cs="Times New Roman"/>
          <w:szCs w:val="32"/>
        </w:rPr>
        <w:t>下降</w:t>
      </w:r>
      <w:r>
        <w:rPr>
          <w:rFonts w:ascii="Times New Roman" w:hAnsi="Times New Roman" w:cs="Times New Roman"/>
          <w:szCs w:val="32"/>
        </w:rPr>
        <w:t>14.5%。</w:t>
      </w:r>
    </w:p>
    <w:p w14:paraId="0E1ADB79">
      <w:pPr>
        <w:ind w:firstLine="643"/>
        <w:rPr>
          <w:rFonts w:ascii="Times New Roman" w:hAnsi="Times New Roman" w:cs="Times New Roman"/>
          <w:szCs w:val="32"/>
        </w:rPr>
      </w:pPr>
      <w:r>
        <w:rPr>
          <w:rFonts w:ascii="Times New Roman" w:hAnsi="Times New Roman" w:cs="Times New Roman"/>
          <w:b/>
          <w:bCs/>
          <w:szCs w:val="32"/>
        </w:rPr>
        <w:t>实际利用外资。</w:t>
      </w:r>
      <w:r>
        <w:rPr>
          <w:rFonts w:ascii="Times New Roman" w:hAnsi="Times New Roman" w:cs="Times New Roman"/>
          <w:szCs w:val="32"/>
        </w:rPr>
        <w:t>2022年实际利用外资0.79亿美元，同比增长68.10%，两年年均增长71.07%，达到“年均增长5.3%”的规划目标。2023年上半年全市实际利用外资0.046亿美元。</w:t>
      </w:r>
    </w:p>
    <w:p w14:paraId="0286263C">
      <w:pPr>
        <w:ind w:firstLine="643"/>
        <w:rPr>
          <w:rFonts w:ascii="Times New Roman" w:hAnsi="Times New Roman" w:cs="Times New Roman"/>
          <w:szCs w:val="32"/>
        </w:rPr>
      </w:pPr>
      <w:r>
        <w:rPr>
          <w:rFonts w:ascii="Times New Roman" w:hAnsi="Times New Roman" w:cs="Times New Roman"/>
          <w:b/>
          <w:bCs/>
          <w:szCs w:val="32"/>
        </w:rPr>
        <w:t>依申请政府服务办件“一网通办”率。</w:t>
      </w:r>
      <w:r>
        <w:rPr>
          <w:rFonts w:ascii="Times New Roman" w:hAnsi="Times New Roman" w:cs="Times New Roman"/>
          <w:szCs w:val="32"/>
        </w:rPr>
        <w:t>2021、2022年全市依申请政府服务办件“一网通办”率分别达到79.78%、97.37%，达到规划时序要求。2023年上半年依申请政府服务办件“一网通办”率达到99.35%。</w:t>
      </w:r>
    </w:p>
    <w:p w14:paraId="7273B700">
      <w:pPr>
        <w:ind w:firstLine="643"/>
        <w:rPr>
          <w:rFonts w:ascii="Times New Roman" w:hAnsi="Times New Roman" w:cs="Times New Roman"/>
          <w:szCs w:val="32"/>
        </w:rPr>
      </w:pPr>
      <w:r>
        <w:rPr>
          <w:rFonts w:ascii="Times New Roman" w:hAnsi="Times New Roman" w:cs="Times New Roman"/>
          <w:b/>
          <w:bCs/>
          <w:szCs w:val="32"/>
        </w:rPr>
        <w:t>城镇常住居民人均可支配收入。</w:t>
      </w:r>
      <w:r>
        <w:rPr>
          <w:rFonts w:ascii="Times New Roman" w:hAnsi="Times New Roman" w:cs="Times New Roman"/>
          <w:szCs w:val="32"/>
        </w:rPr>
        <w:t>2022年全市城镇常住居民人均可支配收入为77254元，同比增长4.70%，两年年均增长7.12%，达到“年均增长6%”的规划目标。2023年上半年实现城镇常住居民人均可支配收入42796元，同比增长6.1%。</w:t>
      </w:r>
    </w:p>
    <w:p w14:paraId="27A37497">
      <w:pPr>
        <w:ind w:firstLine="643"/>
        <w:rPr>
          <w:rFonts w:ascii="Times New Roman" w:hAnsi="Times New Roman" w:cs="Times New Roman"/>
          <w:b/>
          <w:bCs/>
          <w:szCs w:val="32"/>
        </w:rPr>
      </w:pPr>
      <w:r>
        <w:rPr>
          <w:rFonts w:ascii="Times New Roman" w:hAnsi="Times New Roman" w:cs="Times New Roman"/>
          <w:b/>
          <w:bCs/>
          <w:szCs w:val="32"/>
        </w:rPr>
        <w:t>农村常住居民人均可支配收入。</w:t>
      </w:r>
      <w:r>
        <w:rPr>
          <w:rFonts w:ascii="Times New Roman" w:hAnsi="Times New Roman" w:cs="Times New Roman"/>
          <w:szCs w:val="32"/>
        </w:rPr>
        <w:t>2022年全市农村常住居民人均可支配收入为42247元，同比增长7.20%，两年年均增长8.55%，达到“年均增长7%”的规划目标。2023年上半年实现农村常住居民人均可支配收入24834元，同比增长6.8%。</w:t>
      </w:r>
    </w:p>
    <w:p w14:paraId="6BA4A5FB">
      <w:pPr>
        <w:ind w:firstLine="643"/>
        <w:rPr>
          <w:rFonts w:ascii="Times New Roman" w:hAnsi="Times New Roman" w:cs="Times New Roman"/>
          <w:szCs w:val="32"/>
        </w:rPr>
      </w:pPr>
      <w:r>
        <w:rPr>
          <w:rFonts w:ascii="Times New Roman" w:hAnsi="Times New Roman" w:cs="Times New Roman"/>
          <w:b/>
          <w:bCs/>
          <w:szCs w:val="32"/>
        </w:rPr>
        <w:t>城镇新增就业人数。</w:t>
      </w:r>
      <w:r>
        <w:rPr>
          <w:rFonts w:ascii="Times New Roman" w:hAnsi="Times New Roman" w:cs="Times New Roman"/>
          <w:szCs w:val="32"/>
        </w:rPr>
        <w:t>2021、2022年全市累计城镇新增就业人数3.4万人，达到规划时序要求。2023年上半年全市城镇新增就业人数0.74万人。</w:t>
      </w:r>
    </w:p>
    <w:p w14:paraId="02C36ADB">
      <w:pPr>
        <w:ind w:firstLine="643"/>
        <w:rPr>
          <w:rFonts w:ascii="Times New Roman" w:hAnsi="Times New Roman" w:cs="Times New Roman"/>
          <w:szCs w:val="32"/>
        </w:rPr>
      </w:pPr>
      <w:r>
        <w:rPr>
          <w:rFonts w:ascii="Times New Roman" w:hAnsi="Times New Roman" w:cs="Times New Roman"/>
          <w:b/>
          <w:bCs/>
          <w:szCs w:val="32"/>
        </w:rPr>
        <w:t>每千人拥有3岁以下婴幼儿托位数。</w:t>
      </w:r>
      <w:r>
        <w:rPr>
          <w:rFonts w:ascii="Times New Roman" w:hAnsi="Times New Roman" w:cs="Times New Roman"/>
          <w:szCs w:val="32"/>
        </w:rPr>
        <w:t>2022年全市每千人口拥有3岁以下婴幼儿托位数为3.92个，两年累计提高</w:t>
      </w:r>
      <w:r>
        <w:rPr>
          <w:rFonts w:hint="eastAsia" w:ascii="Times New Roman" w:hAnsi="Times New Roman" w:cs="Times New Roman"/>
          <w:szCs w:val="32"/>
        </w:rPr>
        <w:t>3.81</w:t>
      </w:r>
      <w:r>
        <w:rPr>
          <w:rFonts w:ascii="Times New Roman" w:hAnsi="Times New Roman" w:cs="Times New Roman"/>
          <w:szCs w:val="32"/>
        </w:rPr>
        <w:t>个，达到规划时序要求。2023年上半年全市每千人拥有3岁以下婴幼儿托位数4.2个。</w:t>
      </w:r>
    </w:p>
    <w:p w14:paraId="3B0F7FD7">
      <w:pPr>
        <w:ind w:firstLine="643"/>
        <w:rPr>
          <w:rFonts w:ascii="Times New Roman" w:hAnsi="Times New Roman" w:cs="Times New Roman"/>
          <w:szCs w:val="32"/>
        </w:rPr>
      </w:pPr>
      <w:r>
        <w:rPr>
          <w:rFonts w:ascii="Times New Roman" w:hAnsi="Times New Roman" w:cs="Times New Roman"/>
          <w:b/>
          <w:bCs/>
          <w:szCs w:val="32"/>
        </w:rPr>
        <w:t>劳动年龄人口平均受教育年限。</w:t>
      </w:r>
      <w:r>
        <w:rPr>
          <w:rFonts w:ascii="Times New Roman" w:hAnsi="Times New Roman" w:cs="Times New Roman"/>
          <w:szCs w:val="32"/>
        </w:rPr>
        <w:t>2022年全市劳动年龄人口平均受教育年限为14年，两年累计提高0.6年，达到规划时序要求。</w:t>
      </w:r>
      <w:r>
        <w:rPr>
          <w:rFonts w:ascii="Times New Roman" w:hAnsi="Times New Roman" w:cs="Times New Roman"/>
          <w:spacing w:val="-8"/>
          <w:szCs w:val="32"/>
        </w:rPr>
        <w:t>2023年上半年，该指标未</w:t>
      </w:r>
      <w:r>
        <w:rPr>
          <w:rFonts w:hint="eastAsia" w:ascii="Times New Roman" w:hAnsi="Times New Roman" w:cs="Times New Roman"/>
          <w:spacing w:val="-8"/>
          <w:szCs w:val="32"/>
        </w:rPr>
        <w:t>作统计</w:t>
      </w:r>
      <w:r>
        <w:rPr>
          <w:rFonts w:ascii="Times New Roman" w:hAnsi="Times New Roman" w:cs="Times New Roman"/>
          <w:spacing w:val="-8"/>
          <w:szCs w:val="32"/>
        </w:rPr>
        <w:t>。</w:t>
      </w:r>
    </w:p>
    <w:p w14:paraId="4307A9E6">
      <w:pPr>
        <w:ind w:firstLine="643"/>
        <w:rPr>
          <w:rFonts w:ascii="Times New Roman" w:hAnsi="Times New Roman" w:cs="Times New Roman"/>
          <w:szCs w:val="32"/>
        </w:rPr>
      </w:pPr>
      <w:r>
        <w:rPr>
          <w:rFonts w:ascii="Times New Roman" w:hAnsi="Times New Roman" w:cs="Times New Roman"/>
          <w:b/>
          <w:bCs/>
          <w:szCs w:val="32"/>
        </w:rPr>
        <w:t>每千人口执业（助理）医师数（常住人口）。</w:t>
      </w:r>
      <w:r>
        <w:rPr>
          <w:rFonts w:ascii="Times New Roman" w:hAnsi="Times New Roman" w:cs="Times New Roman"/>
          <w:szCs w:val="32"/>
        </w:rPr>
        <w:t>2022年全市每千人口执业（助理）医师数3.16人，两年累计提高0.29人，未达到规划时序要求。2023年上半年全市每千人口执业（助理）医师数3.17人。</w:t>
      </w:r>
    </w:p>
    <w:p w14:paraId="52BEC772">
      <w:pPr>
        <w:ind w:firstLine="643"/>
        <w:rPr>
          <w:rFonts w:ascii="Times New Roman" w:hAnsi="Times New Roman" w:cs="Times New Roman"/>
          <w:szCs w:val="32"/>
        </w:rPr>
      </w:pPr>
      <w:r>
        <w:rPr>
          <w:rFonts w:ascii="Times New Roman" w:hAnsi="Times New Roman" w:cs="Times New Roman"/>
          <w:b/>
          <w:bCs/>
          <w:szCs w:val="32"/>
        </w:rPr>
        <w:t>每千人医疗机构床位数。</w:t>
      </w:r>
      <w:r>
        <w:rPr>
          <w:rFonts w:ascii="Times New Roman" w:hAnsi="Times New Roman" w:cs="Times New Roman"/>
          <w:szCs w:val="32"/>
        </w:rPr>
        <w:t>2022年全市每千人医疗机构床位数3.36张，两年累计提高0.27张，未达到规划时序要求。2023年上半年全市每千人医疗机构床位数3.39张。</w:t>
      </w:r>
    </w:p>
    <w:p w14:paraId="36EADCC3">
      <w:pPr>
        <w:ind w:firstLine="643"/>
        <w:rPr>
          <w:rFonts w:ascii="Times New Roman" w:hAnsi="Times New Roman" w:cs="Times New Roman"/>
          <w:szCs w:val="32"/>
        </w:rPr>
      </w:pPr>
      <w:r>
        <w:rPr>
          <w:rFonts w:ascii="Times New Roman" w:hAnsi="Times New Roman" w:cs="Times New Roman"/>
          <w:b/>
          <w:bCs/>
          <w:szCs w:val="32"/>
        </w:rPr>
        <w:t>基本养老保险参保率。</w:t>
      </w:r>
      <w:r>
        <w:rPr>
          <w:rFonts w:ascii="Times New Roman" w:hAnsi="Times New Roman" w:cs="Times New Roman"/>
          <w:szCs w:val="32"/>
        </w:rPr>
        <w:t>2021、2022年基本养老保险参保率分别为93.97%、93.42%，两年累计下降1.78个百分点，未达到规划时序要求。2023年上半年全市基本养老保险参保率达到95.69%。</w:t>
      </w:r>
    </w:p>
    <w:p w14:paraId="6C50C6C8">
      <w:pPr>
        <w:ind w:firstLine="643"/>
        <w:rPr>
          <w:rFonts w:ascii="Times New Roman" w:hAnsi="Times New Roman" w:cs="Times New Roman"/>
          <w:szCs w:val="32"/>
        </w:rPr>
      </w:pPr>
      <w:r>
        <w:rPr>
          <w:rFonts w:ascii="Times New Roman" w:hAnsi="Times New Roman" w:cs="Times New Roman"/>
          <w:b/>
          <w:bCs/>
          <w:szCs w:val="32"/>
        </w:rPr>
        <w:t>每万老年人拥有持证养老护理员数。</w:t>
      </w:r>
      <w:r>
        <w:rPr>
          <w:rFonts w:ascii="Times New Roman" w:hAnsi="Times New Roman" w:cs="Times New Roman"/>
          <w:szCs w:val="32"/>
        </w:rPr>
        <w:t>2022年全市每万老年人拥有持证养老护理员数22人，两年累计提高</w:t>
      </w:r>
      <w:r>
        <w:rPr>
          <w:rFonts w:hint="eastAsia" w:ascii="Times New Roman" w:hAnsi="Times New Roman" w:cs="Times New Roman"/>
          <w:szCs w:val="32"/>
        </w:rPr>
        <w:t>9.7</w:t>
      </w:r>
      <w:r>
        <w:rPr>
          <w:rFonts w:ascii="Times New Roman" w:hAnsi="Times New Roman" w:cs="Times New Roman"/>
          <w:szCs w:val="32"/>
        </w:rPr>
        <w:t>人，达到规划时序要求。2023年上半年全市每万老年人拥有持证养老护理员数23人。</w:t>
      </w:r>
    </w:p>
    <w:p w14:paraId="6F0346F0">
      <w:pPr>
        <w:ind w:firstLine="643"/>
        <w:rPr>
          <w:rFonts w:ascii="Times New Roman" w:hAnsi="Times New Roman" w:cs="Times New Roman"/>
          <w:spacing w:val="-4"/>
          <w:szCs w:val="32"/>
        </w:rPr>
      </w:pPr>
      <w:r>
        <w:rPr>
          <w:rFonts w:ascii="Times New Roman" w:hAnsi="Times New Roman" w:cs="Times New Roman"/>
          <w:b/>
          <w:bCs/>
          <w:szCs w:val="32"/>
        </w:rPr>
        <w:t>青少年总体近视率降低。</w:t>
      </w:r>
      <w:r>
        <w:rPr>
          <w:rFonts w:ascii="Times New Roman" w:hAnsi="Times New Roman" w:cs="Times New Roman"/>
          <w:spacing w:val="-4"/>
          <w:szCs w:val="32"/>
        </w:rPr>
        <w:t>2021、2022年青少年总体近视率分别为</w:t>
      </w:r>
      <w:r>
        <w:rPr>
          <w:rFonts w:ascii="Times New Roman" w:hAnsi="Times New Roman" w:cs="Times New Roman"/>
          <w:szCs w:val="32"/>
        </w:rPr>
        <w:t>50.17</w:t>
      </w:r>
      <w:r>
        <w:rPr>
          <w:rFonts w:ascii="Times New Roman" w:hAnsi="Times New Roman" w:cs="Times New Roman"/>
          <w:spacing w:val="-4"/>
          <w:szCs w:val="32"/>
        </w:rPr>
        <w:t>%、</w:t>
      </w:r>
      <w:r>
        <w:rPr>
          <w:rFonts w:ascii="Times New Roman" w:hAnsi="Times New Roman" w:cs="Times New Roman"/>
          <w:szCs w:val="32"/>
        </w:rPr>
        <w:t>49.15</w:t>
      </w:r>
      <w:r>
        <w:rPr>
          <w:rFonts w:ascii="Times New Roman" w:hAnsi="Times New Roman" w:cs="Times New Roman"/>
          <w:spacing w:val="-4"/>
          <w:szCs w:val="32"/>
        </w:rPr>
        <w:t>%，</w:t>
      </w:r>
      <w:r>
        <w:rPr>
          <w:rFonts w:hint="eastAsia" w:ascii="Times New Roman" w:hAnsi="Times New Roman" w:cs="Times New Roman"/>
          <w:spacing w:val="-4"/>
          <w:szCs w:val="32"/>
        </w:rPr>
        <w:t>两年累计下降</w:t>
      </w:r>
      <w:r>
        <w:rPr>
          <w:rFonts w:ascii="Times New Roman" w:hAnsi="Times New Roman" w:cs="Times New Roman"/>
          <w:szCs w:val="32"/>
        </w:rPr>
        <w:t>2.35</w:t>
      </w:r>
      <w:r>
        <w:rPr>
          <w:rFonts w:ascii="Times New Roman" w:hAnsi="Times New Roman" w:cs="Times New Roman"/>
          <w:spacing w:val="-4"/>
          <w:szCs w:val="32"/>
        </w:rPr>
        <w:t>个百分点</w:t>
      </w:r>
      <w:r>
        <w:rPr>
          <w:rFonts w:hint="eastAsia" w:ascii="Times New Roman" w:hAnsi="Times New Roman" w:cs="Times New Roman"/>
          <w:spacing w:val="-4"/>
          <w:szCs w:val="32"/>
        </w:rPr>
        <w:t>，</w:t>
      </w:r>
      <w:r>
        <w:rPr>
          <w:rFonts w:ascii="Times New Roman" w:hAnsi="Times New Roman" w:cs="Times New Roman"/>
          <w:szCs w:val="32"/>
        </w:rPr>
        <w:t>达到规划时序要求</w:t>
      </w:r>
      <w:r>
        <w:rPr>
          <w:rFonts w:ascii="Times New Roman" w:hAnsi="Times New Roman" w:cs="Times New Roman"/>
          <w:spacing w:val="-4"/>
          <w:szCs w:val="32"/>
        </w:rPr>
        <w:t>。2023年上半年青少年总体近视率为</w:t>
      </w:r>
      <w:r>
        <w:rPr>
          <w:rFonts w:ascii="Times New Roman" w:hAnsi="Times New Roman" w:cs="Times New Roman"/>
          <w:szCs w:val="32"/>
        </w:rPr>
        <w:t>48</w:t>
      </w:r>
      <w:r>
        <w:rPr>
          <w:rFonts w:ascii="Times New Roman" w:hAnsi="Times New Roman" w:cs="Times New Roman"/>
          <w:spacing w:val="-4"/>
          <w:szCs w:val="32"/>
        </w:rPr>
        <w:t>%</w:t>
      </w:r>
      <w:r>
        <w:rPr>
          <w:rFonts w:ascii="Times New Roman" w:hAnsi="Times New Roman" w:cs="Times New Roman"/>
          <w:szCs w:val="32"/>
        </w:rPr>
        <w:t>。</w:t>
      </w:r>
    </w:p>
    <w:p w14:paraId="221DC615">
      <w:pPr>
        <w:ind w:firstLine="627"/>
        <w:rPr>
          <w:rFonts w:ascii="Times New Roman" w:hAnsi="Times New Roman" w:cs="Times New Roman"/>
          <w:spacing w:val="-8"/>
          <w:szCs w:val="32"/>
        </w:rPr>
      </w:pPr>
      <w:r>
        <w:rPr>
          <w:rFonts w:ascii="Times New Roman" w:hAnsi="Times New Roman" w:cs="Times New Roman"/>
          <w:b/>
          <w:bCs/>
          <w:spacing w:val="-4"/>
          <w:szCs w:val="32"/>
        </w:rPr>
        <w:t>人均体育场地面积。</w:t>
      </w:r>
      <w:r>
        <w:rPr>
          <w:rFonts w:ascii="Times New Roman" w:hAnsi="Times New Roman" w:cs="Times New Roman"/>
          <w:szCs w:val="32"/>
        </w:rPr>
        <w:t>2022年全市人均体育场地面积2.69平方米，两年累计提高0.29平方米，达到规划时序要求。</w:t>
      </w:r>
      <w:r>
        <w:rPr>
          <w:rFonts w:ascii="Times New Roman" w:hAnsi="Times New Roman" w:cs="Times New Roman"/>
          <w:spacing w:val="-8"/>
          <w:szCs w:val="32"/>
        </w:rPr>
        <w:t>2023年上半年</w:t>
      </w:r>
      <w:r>
        <w:rPr>
          <w:rFonts w:hint="eastAsia" w:ascii="Times New Roman" w:hAnsi="Times New Roman" w:cs="Times New Roman"/>
          <w:spacing w:val="-8"/>
          <w:szCs w:val="32"/>
        </w:rPr>
        <w:t>，</w:t>
      </w:r>
      <w:r>
        <w:rPr>
          <w:rFonts w:ascii="Times New Roman" w:hAnsi="Times New Roman" w:cs="Times New Roman"/>
          <w:spacing w:val="-8"/>
          <w:szCs w:val="32"/>
        </w:rPr>
        <w:t>该指标未</w:t>
      </w:r>
      <w:r>
        <w:rPr>
          <w:rFonts w:hint="eastAsia" w:ascii="Times New Roman" w:hAnsi="Times New Roman" w:cs="Times New Roman"/>
          <w:spacing w:val="-8"/>
          <w:szCs w:val="32"/>
        </w:rPr>
        <w:t>作统计</w:t>
      </w:r>
      <w:r>
        <w:rPr>
          <w:rFonts w:ascii="Times New Roman" w:hAnsi="Times New Roman" w:cs="Times New Roman"/>
          <w:spacing w:val="-8"/>
          <w:szCs w:val="32"/>
        </w:rPr>
        <w:t>。</w:t>
      </w:r>
    </w:p>
    <w:p w14:paraId="46202AF4">
      <w:pPr>
        <w:ind w:firstLine="643"/>
        <w:rPr>
          <w:rFonts w:ascii="Times New Roman" w:hAnsi="Times New Roman" w:cs="Times New Roman"/>
          <w:szCs w:val="32"/>
        </w:rPr>
      </w:pPr>
      <w:r>
        <w:rPr>
          <w:rFonts w:ascii="Times New Roman" w:hAnsi="Times New Roman" w:cs="Times New Roman"/>
          <w:b/>
          <w:bCs/>
          <w:szCs w:val="32"/>
        </w:rPr>
        <w:t>人均预期寿命。</w:t>
      </w:r>
      <w:r>
        <w:rPr>
          <w:rFonts w:ascii="Times New Roman" w:hAnsi="Times New Roman" w:cs="Times New Roman"/>
          <w:szCs w:val="32"/>
        </w:rPr>
        <w:t>2021</w:t>
      </w:r>
      <w:r>
        <w:rPr>
          <w:rFonts w:hint="eastAsia" w:ascii="Times New Roman" w:hAnsi="Times New Roman" w:cs="Times New Roman"/>
          <w:szCs w:val="32"/>
        </w:rPr>
        <w:t>年人均预期寿命</w:t>
      </w:r>
      <w:r>
        <w:rPr>
          <w:rFonts w:ascii="Times New Roman" w:hAnsi="Times New Roman" w:cs="Times New Roman"/>
          <w:szCs w:val="32"/>
        </w:rPr>
        <w:t>89.4</w:t>
      </w:r>
      <w:r>
        <w:rPr>
          <w:rFonts w:hint="eastAsia" w:ascii="Times New Roman" w:hAnsi="Times New Roman" w:cs="Times New Roman"/>
          <w:szCs w:val="32"/>
        </w:rPr>
        <w:t>岁。</w:t>
      </w:r>
      <w:r>
        <w:rPr>
          <w:rFonts w:ascii="Times New Roman" w:hAnsi="Times New Roman" w:cs="Times New Roman"/>
          <w:szCs w:val="32"/>
        </w:rPr>
        <w:t>2022</w:t>
      </w:r>
      <w:r>
        <w:rPr>
          <w:rFonts w:hint="eastAsia" w:ascii="Times New Roman" w:hAnsi="Times New Roman" w:cs="Times New Roman"/>
          <w:szCs w:val="32"/>
        </w:rPr>
        <w:t>年</w:t>
      </w:r>
      <w:r>
        <w:rPr>
          <w:rFonts w:ascii="Times New Roman" w:hAnsi="Times New Roman" w:cs="Times New Roman"/>
          <w:szCs w:val="32"/>
        </w:rPr>
        <w:t>按照省卫健委工作部署不统计期望寿命</w:t>
      </w:r>
      <w:r>
        <w:rPr>
          <w:rFonts w:hint="eastAsia" w:ascii="Times New Roman" w:hAnsi="Times New Roman" w:cs="Times New Roman"/>
          <w:szCs w:val="32"/>
        </w:rPr>
        <w:t>，</w:t>
      </w:r>
      <w:r>
        <w:rPr>
          <w:rFonts w:ascii="Times New Roman" w:hAnsi="Times New Roman" w:cs="Times New Roman"/>
          <w:szCs w:val="32"/>
        </w:rPr>
        <w:t>进度无法评估。</w:t>
      </w:r>
    </w:p>
    <w:p w14:paraId="099270BD">
      <w:pPr>
        <w:pStyle w:val="2"/>
        <w:ind w:firstLine="643" w:firstLineChars="200"/>
      </w:pPr>
      <w:r>
        <w:rPr>
          <w:rFonts w:ascii="Times New Roman" w:hAnsi="Times New Roman" w:cs="Times New Roman"/>
          <w:b/>
          <w:bCs/>
        </w:rPr>
        <w:t>居民综合阅读率。</w:t>
      </w:r>
      <w:r>
        <w:rPr>
          <w:rFonts w:ascii="Times New Roman" w:hAnsi="Times New Roman" w:cs="Times New Roman"/>
        </w:rPr>
        <w:t>2021、2022年居民综合阅读率分别89.4%、92.3%，达到规划时序要求。2023年上半年居民综合阅读率达到93%。</w:t>
      </w:r>
    </w:p>
    <w:p w14:paraId="743FB9A6">
      <w:pPr>
        <w:ind w:firstLine="640"/>
        <w:rPr>
          <w:rFonts w:ascii="Times New Roman" w:hAnsi="Times New Roman" w:cs="Times New Roman"/>
          <w:b/>
          <w:bCs/>
          <w:szCs w:val="32"/>
        </w:rPr>
      </w:pPr>
      <w:r>
        <w:rPr>
          <w:rFonts w:ascii="Times New Roman" w:hAnsi="Times New Roman" w:cs="Times New Roman"/>
          <w:b/>
          <w:bCs/>
          <w:szCs w:val="32"/>
        </w:rPr>
        <w:t>4.生态环境指标</w:t>
      </w:r>
      <w:r>
        <w:rPr>
          <w:rFonts w:hint="eastAsia" w:ascii="Times New Roman" w:hAnsi="Times New Roman" w:cs="Times New Roman"/>
          <w:b/>
          <w:bCs/>
          <w:szCs w:val="32"/>
        </w:rPr>
        <w:t>（总7项，达到进度4项、进度偏慢1项、无法评估2项）</w:t>
      </w:r>
    </w:p>
    <w:p w14:paraId="48BF13E3">
      <w:pPr>
        <w:ind w:firstLine="643"/>
        <w:rPr>
          <w:rFonts w:ascii="Times New Roman" w:hAnsi="Times New Roman" w:cs="Times New Roman"/>
          <w:szCs w:val="32"/>
        </w:rPr>
      </w:pPr>
      <w:r>
        <w:rPr>
          <w:rFonts w:ascii="Times New Roman" w:hAnsi="Times New Roman" w:cs="Times New Roman"/>
          <w:b/>
          <w:bCs/>
          <w:szCs w:val="32"/>
        </w:rPr>
        <w:t>单位GDP能耗降幅。</w:t>
      </w:r>
      <w:r>
        <w:rPr>
          <w:rFonts w:ascii="Times New Roman" w:hAnsi="Times New Roman" w:cs="Times New Roman"/>
          <w:szCs w:val="32"/>
        </w:rPr>
        <w:t>2021、2022年全市单位GDP能耗降幅分别下降-</w:t>
      </w:r>
      <w:r>
        <w:rPr>
          <w:rFonts w:hint="eastAsia" w:ascii="Times New Roman" w:hAnsi="Times New Roman" w:cs="Times New Roman"/>
          <w:szCs w:val="32"/>
        </w:rPr>
        <w:t>1.6%、1.1%，单位GDP能耗不降反增，两年累计增加</w:t>
      </w:r>
      <w:r>
        <w:rPr>
          <w:rFonts w:ascii="Times New Roman" w:hAnsi="Times New Roman" w:cs="Times New Roman"/>
          <w:szCs w:val="32"/>
        </w:rPr>
        <w:t>0.5%</w:t>
      </w:r>
      <w:r>
        <w:rPr>
          <w:rFonts w:hint="eastAsia" w:ascii="Times New Roman" w:hAnsi="Times New Roman" w:cs="Times New Roman"/>
          <w:szCs w:val="32"/>
        </w:rPr>
        <w:t>，按照“五年下降15%”的目标要求，未达到规划时序要求</w:t>
      </w:r>
      <w:r>
        <w:rPr>
          <w:rFonts w:ascii="Times New Roman" w:hAnsi="Times New Roman" w:cs="Times New Roman"/>
          <w:szCs w:val="32"/>
        </w:rPr>
        <w:t>。2023年上半年单位GDP能耗降低同比下降</w:t>
      </w:r>
      <w:r>
        <w:rPr>
          <w:rFonts w:hint="eastAsia" w:ascii="Times New Roman" w:hAnsi="Times New Roman" w:cs="Times New Roman"/>
          <w:szCs w:val="32"/>
        </w:rPr>
        <w:t>1.6</w:t>
      </w:r>
      <w:r>
        <w:rPr>
          <w:rFonts w:ascii="Times New Roman" w:hAnsi="Times New Roman" w:cs="Times New Roman"/>
          <w:szCs w:val="32"/>
        </w:rPr>
        <w:t>%。</w:t>
      </w:r>
    </w:p>
    <w:p w14:paraId="2BFC90A6">
      <w:pPr>
        <w:ind w:firstLine="643"/>
        <w:rPr>
          <w:rFonts w:ascii="Times New Roman" w:hAnsi="Times New Roman" w:cs="Times New Roman"/>
          <w:szCs w:val="32"/>
        </w:rPr>
      </w:pPr>
      <w:r>
        <w:rPr>
          <w:rFonts w:ascii="Times New Roman" w:hAnsi="Times New Roman" w:cs="Times New Roman"/>
          <w:b/>
          <w:bCs/>
          <w:szCs w:val="32"/>
        </w:rPr>
        <w:t>单位GDP二氧化碳排放降幅。</w:t>
      </w:r>
      <w:r>
        <w:rPr>
          <w:rFonts w:ascii="Times New Roman" w:hAnsi="Times New Roman" w:cs="Times New Roman"/>
          <w:szCs w:val="32"/>
        </w:rPr>
        <w:t>上级未下达指标，无法评估进度。</w:t>
      </w:r>
    </w:p>
    <w:p w14:paraId="22F6F049">
      <w:pPr>
        <w:ind w:firstLine="643"/>
        <w:rPr>
          <w:rFonts w:ascii="Times New Roman" w:hAnsi="Times New Roman" w:cs="Times New Roman"/>
          <w:szCs w:val="32"/>
        </w:rPr>
      </w:pPr>
      <w:r>
        <w:rPr>
          <w:rFonts w:ascii="Times New Roman" w:hAnsi="Times New Roman" w:cs="Times New Roman"/>
          <w:b/>
          <w:bCs/>
          <w:szCs w:val="32"/>
        </w:rPr>
        <w:t>万元GDP用水量降低。</w:t>
      </w:r>
      <w:r>
        <w:rPr>
          <w:rFonts w:ascii="Times New Roman" w:hAnsi="Times New Roman" w:cs="Times New Roman"/>
          <w:szCs w:val="32"/>
        </w:rPr>
        <w:t>2021、2022年全市万元GDP用水量分别为21.48吨/万元、20.57吨/万元，两年累计下降15.22%，达到规划时序要求。2023年上半年全市万元GDP用水量降低1.5%。</w:t>
      </w:r>
    </w:p>
    <w:p w14:paraId="0887CB47">
      <w:pPr>
        <w:ind w:firstLine="643"/>
        <w:rPr>
          <w:rFonts w:ascii="Times New Roman" w:hAnsi="Times New Roman" w:cs="Times New Roman"/>
          <w:b/>
          <w:bCs/>
          <w:szCs w:val="32"/>
        </w:rPr>
      </w:pPr>
      <w:r>
        <w:rPr>
          <w:rFonts w:ascii="Times New Roman" w:hAnsi="Times New Roman" w:cs="Times New Roman"/>
          <w:b/>
          <w:bCs/>
          <w:szCs w:val="32"/>
        </w:rPr>
        <w:t>全市空气质量优良天数比率。</w:t>
      </w:r>
      <w:r>
        <w:rPr>
          <w:rFonts w:ascii="Times New Roman" w:hAnsi="Times New Roman" w:cs="Times New Roman"/>
          <w:szCs w:val="32"/>
        </w:rPr>
        <w:t>2021、2022年全市空气质量优良天数比率分别为99.7%、99.5%，达到上级下达目标。2023年上半年全市空气质量优良天数比率为99.45%。</w:t>
      </w:r>
    </w:p>
    <w:p w14:paraId="37BC665E">
      <w:pPr>
        <w:ind w:firstLine="643"/>
        <w:rPr>
          <w:rFonts w:ascii="Times New Roman" w:hAnsi="Times New Roman" w:cs="Times New Roman"/>
          <w:szCs w:val="32"/>
        </w:rPr>
      </w:pPr>
      <w:r>
        <w:rPr>
          <w:rFonts w:ascii="Times New Roman" w:hAnsi="Times New Roman" w:cs="Times New Roman"/>
          <w:b/>
          <w:bCs/>
          <w:szCs w:val="32"/>
        </w:rPr>
        <w:t>PM2.5平均浓度</w:t>
      </w:r>
      <w:r>
        <w:rPr>
          <w:rFonts w:ascii="Times New Roman" w:hAnsi="Times New Roman" w:cs="Times New Roman"/>
          <w:szCs w:val="32"/>
        </w:rPr>
        <w:t>。2021、2022年全市PM2.5平均浓度分别为21微克/立方米、20微克/立方米，达到上级下达目标。2023年上半年PM2.5平均浓度为24微克/立方米。</w:t>
      </w:r>
    </w:p>
    <w:p w14:paraId="5D3B80EA">
      <w:pPr>
        <w:ind w:firstLine="643"/>
        <w:rPr>
          <w:rFonts w:ascii="Times New Roman" w:hAnsi="Times New Roman" w:cs="Times New Roman"/>
          <w:szCs w:val="32"/>
        </w:rPr>
      </w:pPr>
      <w:r>
        <w:rPr>
          <w:rFonts w:ascii="Times New Roman" w:hAnsi="Times New Roman" w:cs="Times New Roman"/>
          <w:b/>
          <w:bCs/>
          <w:szCs w:val="32"/>
        </w:rPr>
        <w:t>达到或优于三类水体占地表水比例（省控以上断面）。</w:t>
      </w:r>
      <w:r>
        <w:rPr>
          <w:rFonts w:ascii="Times New Roman" w:hAnsi="Times New Roman" w:cs="Times New Roman"/>
          <w:szCs w:val="32"/>
        </w:rPr>
        <w:t>2021、2022年全市达到或优于三类水体占地表水比例分别为80%、80%，达到上级下达目标。2023年上半年达到或优于三类水体占地表水比例为100%。</w:t>
      </w:r>
    </w:p>
    <w:p w14:paraId="0584BF7B">
      <w:pPr>
        <w:ind w:firstLine="643"/>
        <w:rPr>
          <w:rFonts w:ascii="Times New Roman" w:hAnsi="Times New Roman" w:cs="Times New Roman"/>
          <w:szCs w:val="32"/>
        </w:rPr>
      </w:pPr>
      <w:r>
        <w:rPr>
          <w:rFonts w:ascii="Times New Roman" w:hAnsi="Times New Roman" w:cs="Times New Roman"/>
          <w:b/>
          <w:bCs/>
          <w:spacing w:val="-4"/>
          <w:szCs w:val="32"/>
        </w:rPr>
        <w:t>森林覆盖率。</w:t>
      </w:r>
      <w:r>
        <w:rPr>
          <w:rFonts w:ascii="Times New Roman" w:hAnsi="Times New Roman" w:cs="Times New Roman"/>
          <w:spacing w:val="-4"/>
          <w:szCs w:val="32"/>
        </w:rPr>
        <w:t>2021</w:t>
      </w:r>
      <w:r>
        <w:rPr>
          <w:rFonts w:hint="eastAsia" w:ascii="Times New Roman" w:hAnsi="Times New Roman" w:cs="Times New Roman"/>
          <w:spacing w:val="-4"/>
          <w:szCs w:val="32"/>
        </w:rPr>
        <w:t>年森林覆盖率达到</w:t>
      </w:r>
      <w:r>
        <w:rPr>
          <w:rFonts w:ascii="Times New Roman" w:hAnsi="Times New Roman" w:cs="Times New Roman"/>
          <w:spacing w:val="-4"/>
          <w:szCs w:val="32"/>
        </w:rPr>
        <w:t>46.19</w:t>
      </w:r>
      <w:r>
        <w:rPr>
          <w:rFonts w:hint="eastAsia" w:ascii="Times New Roman" w:hAnsi="Times New Roman" w:cs="Times New Roman"/>
          <w:spacing w:val="-4"/>
          <w:szCs w:val="32"/>
        </w:rPr>
        <w:t>%，较2020年增加0.79%。</w:t>
      </w:r>
      <w:r>
        <w:rPr>
          <w:rFonts w:hint="eastAsia" w:ascii="Times New Roman" w:hAnsi="Times New Roman" w:cs="Times New Roman"/>
          <w:szCs w:val="32"/>
        </w:rPr>
        <w:t>2</w:t>
      </w:r>
      <w:r>
        <w:rPr>
          <w:rFonts w:ascii="Times New Roman" w:hAnsi="Times New Roman" w:cs="Times New Roman"/>
          <w:szCs w:val="32"/>
        </w:rPr>
        <w:t>022</w:t>
      </w:r>
      <w:r>
        <w:rPr>
          <w:rFonts w:hint="eastAsia" w:ascii="Times New Roman" w:hAnsi="Times New Roman" w:cs="Times New Roman"/>
          <w:szCs w:val="32"/>
        </w:rPr>
        <w:t>年数据未发布，</w:t>
      </w:r>
      <w:r>
        <w:rPr>
          <w:rFonts w:ascii="Times New Roman" w:hAnsi="Times New Roman" w:cs="Times New Roman"/>
          <w:szCs w:val="32"/>
        </w:rPr>
        <w:t>无法评估进度。</w:t>
      </w:r>
    </w:p>
    <w:p w14:paraId="347AC18D">
      <w:pPr>
        <w:ind w:firstLine="640"/>
        <w:rPr>
          <w:rFonts w:ascii="Times New Roman" w:hAnsi="Times New Roman" w:cs="Times New Roman"/>
          <w:b/>
          <w:bCs/>
          <w:szCs w:val="32"/>
        </w:rPr>
      </w:pPr>
      <w:r>
        <w:rPr>
          <w:rFonts w:hint="eastAsia" w:ascii="Times New Roman" w:hAnsi="Times New Roman" w:cs="Times New Roman"/>
          <w:b/>
          <w:bCs/>
          <w:szCs w:val="32"/>
        </w:rPr>
        <w:t>5</w:t>
      </w:r>
      <w:r>
        <w:rPr>
          <w:rFonts w:ascii="Times New Roman" w:hAnsi="Times New Roman" w:cs="Times New Roman"/>
          <w:b/>
          <w:bCs/>
          <w:szCs w:val="32"/>
        </w:rPr>
        <w:t>.</w:t>
      </w:r>
      <w:r>
        <w:rPr>
          <w:rFonts w:hint="eastAsia" w:ascii="Times New Roman" w:hAnsi="Times New Roman" w:cs="Times New Roman"/>
          <w:b/>
          <w:bCs/>
          <w:szCs w:val="32"/>
        </w:rPr>
        <w:t>社会治理</w:t>
      </w:r>
      <w:r>
        <w:rPr>
          <w:rFonts w:ascii="Times New Roman" w:hAnsi="Times New Roman" w:cs="Times New Roman"/>
          <w:b/>
          <w:bCs/>
          <w:szCs w:val="32"/>
        </w:rPr>
        <w:t>指标</w:t>
      </w:r>
      <w:r>
        <w:rPr>
          <w:rFonts w:hint="eastAsia" w:ascii="Times New Roman" w:hAnsi="Times New Roman" w:cs="Times New Roman"/>
          <w:b/>
          <w:bCs/>
          <w:szCs w:val="32"/>
        </w:rPr>
        <w:t>（总2项，达到进度2项）</w:t>
      </w:r>
    </w:p>
    <w:p w14:paraId="01C6F640">
      <w:pPr>
        <w:ind w:firstLine="643"/>
        <w:rPr>
          <w:rFonts w:ascii="Times New Roman" w:hAnsi="Times New Roman" w:cs="Times New Roman"/>
          <w:szCs w:val="32"/>
        </w:rPr>
      </w:pPr>
      <w:r>
        <w:rPr>
          <w:rFonts w:ascii="Times New Roman" w:hAnsi="Times New Roman" w:cs="Times New Roman"/>
          <w:b/>
          <w:bCs/>
          <w:spacing w:val="-4"/>
          <w:szCs w:val="32"/>
        </w:rPr>
        <w:t>粮食总产量。</w:t>
      </w:r>
      <w:r>
        <w:rPr>
          <w:rFonts w:ascii="Times New Roman" w:hAnsi="Times New Roman" w:cs="Times New Roman"/>
          <w:szCs w:val="32"/>
        </w:rPr>
        <w:t>2021、2022年粮食总产量分别为2.2、2.216亿斤，达到“年粮食总产量2亿斤”的规划目标。2023年上半年</w:t>
      </w:r>
      <w:r>
        <w:rPr>
          <w:rFonts w:hint="eastAsia" w:ascii="Times New Roman" w:hAnsi="Times New Roman" w:cs="Times New Roman"/>
          <w:szCs w:val="32"/>
        </w:rPr>
        <w:t>，</w:t>
      </w:r>
      <w:r>
        <w:rPr>
          <w:rFonts w:ascii="Times New Roman" w:hAnsi="Times New Roman" w:cs="Times New Roman"/>
          <w:spacing w:val="-8"/>
          <w:szCs w:val="32"/>
        </w:rPr>
        <w:t>该指标未</w:t>
      </w:r>
      <w:r>
        <w:rPr>
          <w:rFonts w:hint="eastAsia" w:ascii="Times New Roman" w:hAnsi="Times New Roman" w:cs="Times New Roman"/>
          <w:spacing w:val="-8"/>
          <w:szCs w:val="32"/>
        </w:rPr>
        <w:t>作统计</w:t>
      </w:r>
      <w:r>
        <w:rPr>
          <w:rFonts w:ascii="Times New Roman" w:hAnsi="Times New Roman" w:cs="Times New Roman"/>
          <w:szCs w:val="32"/>
        </w:rPr>
        <w:t>。</w:t>
      </w:r>
    </w:p>
    <w:p w14:paraId="5BA62371">
      <w:pPr>
        <w:ind w:firstLine="643"/>
        <w:rPr>
          <w:rFonts w:ascii="仿宋_GB2312"/>
          <w:szCs w:val="32"/>
        </w:rPr>
      </w:pPr>
      <w:r>
        <w:rPr>
          <w:rFonts w:ascii="Times New Roman" w:hAnsi="Times New Roman" w:cs="Times New Roman"/>
          <w:b/>
          <w:bCs/>
          <w:spacing w:val="-4"/>
          <w:szCs w:val="32"/>
        </w:rPr>
        <w:t>亿元GDP生产安全事故死亡率。</w:t>
      </w:r>
      <w:r>
        <w:rPr>
          <w:rFonts w:ascii="Times New Roman" w:hAnsi="Times New Roman" w:cs="Times New Roman"/>
          <w:szCs w:val="32"/>
        </w:rPr>
        <w:t>2022年全市亿元GDP生产安全事故死亡率为1.0017%，两年累计下降0.83个百分点，达到规划时序要求。2023年上半年亿元GDP生产安全事故死亡率为0.862%。</w:t>
      </w:r>
      <w:bookmarkEnd w:id="6"/>
    </w:p>
    <w:p w14:paraId="118F6130">
      <w:pPr>
        <w:ind w:firstLine="640" w:firstLineChars="200"/>
        <w:outlineLvl w:val="0"/>
        <w:rPr>
          <w:rFonts w:ascii="Times New Roman" w:hAnsi="Times New Roman" w:eastAsia="黑体" w:cs="Times New Roman"/>
          <w:szCs w:val="40"/>
        </w:rPr>
      </w:pPr>
      <w:bookmarkStart w:id="8" w:name="_Toc9153"/>
      <w:bookmarkStart w:id="9" w:name="_Toc4177"/>
      <w:r>
        <w:rPr>
          <w:rFonts w:hint="eastAsia" w:ascii="Times New Roman" w:hAnsi="Times New Roman" w:eastAsia="黑体" w:cs="Times New Roman"/>
          <w:szCs w:val="40"/>
        </w:rPr>
        <w:t>二、“十四五”规划纲要主要任务完成情况</w:t>
      </w:r>
      <w:bookmarkEnd w:id="8"/>
      <w:bookmarkEnd w:id="9"/>
    </w:p>
    <w:p w14:paraId="3C065E2D">
      <w:pPr>
        <w:ind w:firstLine="643" w:firstLineChars="200"/>
        <w:outlineLvl w:val="1"/>
        <w:rPr>
          <w:rFonts w:ascii="Times New Roman" w:hAnsi="Times New Roman" w:cs="Times New Roman"/>
          <w:b/>
          <w:bCs/>
          <w:szCs w:val="40"/>
        </w:rPr>
      </w:pPr>
      <w:bookmarkStart w:id="10" w:name="_Toc2448"/>
      <w:bookmarkStart w:id="11" w:name="_Toc13604"/>
      <w:r>
        <w:rPr>
          <w:rFonts w:hint="eastAsia" w:ascii="Times New Roman" w:hAnsi="Times New Roman" w:cs="Times New Roman"/>
          <w:b/>
          <w:bCs/>
          <w:szCs w:val="40"/>
        </w:rPr>
        <w:t>（一）</w:t>
      </w:r>
      <w:r>
        <w:rPr>
          <w:rFonts w:ascii="Times New Roman" w:hAnsi="Times New Roman" w:cs="Times New Roman"/>
          <w:b/>
          <w:bCs/>
          <w:szCs w:val="40"/>
        </w:rPr>
        <w:t>温瑞一体化深度融合发展</w:t>
      </w:r>
      <w:bookmarkEnd w:id="10"/>
      <w:bookmarkEnd w:id="11"/>
    </w:p>
    <w:p w14:paraId="7C2C05CE">
      <w:pPr>
        <w:ind w:firstLine="640" w:firstLineChars="200"/>
        <w:rPr>
          <w:rFonts w:ascii="Times New Roman" w:hAnsi="Times New Roman" w:cs="Times New Roman"/>
          <w:szCs w:val="40"/>
        </w:rPr>
      </w:pPr>
      <w:r>
        <w:rPr>
          <w:rFonts w:ascii="Times New Roman" w:hAnsi="Times New Roman" w:cs="Times New Roman"/>
          <w:szCs w:val="40"/>
        </w:rPr>
        <w:t>围绕“十四五”规划纲要提出的“开创温瑞一体化发展新局面”规划目标，对标温州都市区主中心南部新区定位，优化“一心两翼三带”发展格局，联动推进百大精建精美项目、百大团块拆改项目建设，</w:t>
      </w:r>
      <w:r>
        <w:rPr>
          <w:rFonts w:ascii="Times New Roman" w:hAnsi="Times New Roman" w:cs="Times New Roman"/>
          <w:b/>
          <w:bCs/>
          <w:szCs w:val="40"/>
        </w:rPr>
        <w:t>“三横四纵”综合立体交通大通道</w:t>
      </w:r>
      <w:r>
        <w:rPr>
          <w:rFonts w:hint="eastAsia" w:ascii="Times New Roman" w:hAnsi="Times New Roman" w:cs="Times New Roman"/>
          <w:b/>
          <w:bCs/>
          <w:szCs w:val="40"/>
        </w:rPr>
        <w:t>加快构建</w:t>
      </w:r>
      <w:r>
        <w:rPr>
          <w:rFonts w:ascii="Times New Roman" w:hAnsi="Times New Roman" w:cs="Times New Roman"/>
          <w:b/>
          <w:bCs/>
          <w:szCs w:val="40"/>
        </w:rPr>
        <w:t>，城市发展框架</w:t>
      </w:r>
      <w:r>
        <w:rPr>
          <w:rFonts w:hint="eastAsia" w:ascii="Times New Roman" w:hAnsi="Times New Roman" w:cs="Times New Roman"/>
          <w:b/>
          <w:bCs/>
          <w:szCs w:val="40"/>
        </w:rPr>
        <w:t>进一步拉开</w:t>
      </w:r>
      <w:r>
        <w:rPr>
          <w:rFonts w:ascii="Times New Roman" w:hAnsi="Times New Roman" w:cs="Times New Roman"/>
          <w:b/>
          <w:bCs/>
          <w:szCs w:val="40"/>
        </w:rPr>
        <w:t>，成为全省第7个GDP破千亿县市，跃居中国百强县（市）第20位</w:t>
      </w:r>
      <w:r>
        <w:rPr>
          <w:rFonts w:hint="eastAsia" w:ascii="Times New Roman" w:hAnsi="Times New Roman" w:cs="Times New Roman"/>
          <w:b/>
          <w:bCs/>
          <w:szCs w:val="32"/>
        </w:rPr>
        <w:t>、</w:t>
      </w:r>
      <w:r>
        <w:rPr>
          <w:rFonts w:ascii="Times New Roman" w:hAnsi="Times New Roman" w:cs="Times New Roman"/>
          <w:b/>
          <w:bCs/>
          <w:szCs w:val="40"/>
        </w:rPr>
        <w:t>创历史新高</w:t>
      </w:r>
      <w:r>
        <w:rPr>
          <w:rFonts w:hint="eastAsia" w:ascii="Times New Roman" w:hAnsi="Times New Roman" w:cs="Times New Roman"/>
          <w:szCs w:val="40"/>
        </w:rPr>
        <w:t>，</w:t>
      </w:r>
      <w:r>
        <w:rPr>
          <w:rFonts w:ascii="Times New Roman" w:hAnsi="Times New Roman" w:cs="Times New Roman"/>
          <w:szCs w:val="40"/>
        </w:rPr>
        <w:t>开启从县域经济向都市经济跃迁的新阶段。</w:t>
      </w:r>
    </w:p>
    <w:p w14:paraId="22A50DDC">
      <w:pPr>
        <w:ind w:firstLine="643" w:firstLineChars="200"/>
        <w:rPr>
          <w:rFonts w:ascii="Times New Roman" w:hAnsi="Times New Roman" w:cs="Times New Roman"/>
          <w:szCs w:val="40"/>
        </w:rPr>
      </w:pPr>
      <w:r>
        <w:rPr>
          <w:rFonts w:ascii="Times New Roman" w:hAnsi="Times New Roman" w:cs="Times New Roman"/>
          <w:b/>
          <w:bCs/>
          <w:szCs w:val="40"/>
        </w:rPr>
        <w:t>温州市都市区主中心南部新区快速崛起。</w:t>
      </w:r>
      <w:r>
        <w:rPr>
          <w:rFonts w:ascii="Times New Roman" w:hAnsi="Times New Roman" w:cs="Times New Roman"/>
          <w:szCs w:val="40"/>
        </w:rPr>
        <w:t>城市承载力持续提升，截至2022年底瑞安市常住人口数量为152.8万人，居各区县市榜首。</w:t>
      </w:r>
      <w:r>
        <w:rPr>
          <w:rFonts w:hint="eastAsia" w:ascii="Times New Roman" w:hAnsi="Times New Roman" w:cs="Times New Roman"/>
          <w:szCs w:val="40"/>
        </w:rPr>
        <w:t>积极融入温州都市区，</w:t>
      </w:r>
      <w:r>
        <w:rPr>
          <w:rFonts w:ascii="Times New Roman" w:hAnsi="Times New Roman" w:cs="Times New Roman"/>
          <w:szCs w:val="40"/>
        </w:rPr>
        <w:t>瑞安市</w:t>
      </w:r>
      <w:r>
        <w:rPr>
          <w:rFonts w:hint="eastAsia" w:ascii="Times New Roman" w:hAnsi="Times New Roman" w:cs="Times New Roman"/>
          <w:szCs w:val="40"/>
        </w:rPr>
        <w:t>和瓯</w:t>
      </w:r>
      <w:r>
        <w:rPr>
          <w:rFonts w:ascii="Times New Roman" w:hAnsi="Times New Roman" w:cs="Times New Roman"/>
          <w:szCs w:val="40"/>
        </w:rPr>
        <w:t>海区召开温瑞一体化发展工作联席会议，签署《温瑞一体化发展战略合作框架协议》，温瑞平原一体化进入实质化制度化阶段。温瑞城市功能同城化日益加快，持续推进交通设施互联互通、产业体系融合互补、创新要素集聚裂变、公共服务共建共享，龙湾至瑞安公路瑞安段</w:t>
      </w:r>
      <w:r>
        <w:rPr>
          <w:rFonts w:hint="eastAsia" w:ascii="Times New Roman" w:hAnsi="Times New Roman" w:cs="Times New Roman"/>
          <w:szCs w:val="40"/>
        </w:rPr>
        <w:t>建成，</w:t>
      </w:r>
      <w:r>
        <w:rPr>
          <w:rFonts w:ascii="Times New Roman" w:hAnsi="Times New Roman" w:cs="Times New Roman"/>
          <w:szCs w:val="40"/>
        </w:rPr>
        <w:t>104国道罗凤至塘下段改建</w:t>
      </w:r>
      <w:r>
        <w:rPr>
          <w:rFonts w:hint="eastAsia" w:ascii="Times New Roman" w:hAnsi="Times New Roman" w:cs="Times New Roman"/>
          <w:szCs w:val="40"/>
        </w:rPr>
        <w:t>、温瑞快速路永宁大桥</w:t>
      </w:r>
      <w:r>
        <w:rPr>
          <w:rFonts w:ascii="Times New Roman" w:hAnsi="Times New Roman" w:cs="Times New Roman"/>
          <w:szCs w:val="40"/>
        </w:rPr>
        <w:t>等融温连瑞重大项目提速建设</w:t>
      </w:r>
      <w:r>
        <w:rPr>
          <w:rFonts w:hint="eastAsia" w:ascii="Times New Roman" w:hAnsi="Times New Roman" w:cs="Times New Roman"/>
          <w:szCs w:val="40"/>
        </w:rPr>
        <w:t>，持续实施云江科创九大行动，着力打造环大罗山科创走廊“金南翼”</w:t>
      </w:r>
      <w:r>
        <w:rPr>
          <w:rFonts w:ascii="Times New Roman" w:hAnsi="Times New Roman" w:cs="Times New Roman"/>
          <w:szCs w:val="40"/>
        </w:rPr>
        <w:t>。</w:t>
      </w:r>
    </w:p>
    <w:p w14:paraId="2A9A1F81">
      <w:pPr>
        <w:ind w:firstLine="643"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b/>
          <w:bCs/>
          <w:szCs w:val="40"/>
        </w:rPr>
        <w:t>“一心两翼三带”发展格局逐步形成</w:t>
      </w:r>
      <w:r>
        <w:rPr>
          <w:rFonts w:ascii="Times New Roman" w:hAnsi="Times New Roman" w:cs="Times New Roman"/>
          <w:szCs w:val="40"/>
        </w:rPr>
        <w:t>。从大都市区的角度调整规划布局，完成新一轮国土空间总体规划。系统优化农业、生态、城镇三类空间（“三区”）布局，</w:t>
      </w:r>
      <w:r>
        <w:rPr>
          <w:rFonts w:ascii="Times New Roman" w:hAnsi="Times New Roman" w:cs="Times New Roman"/>
          <w:bCs/>
          <w:szCs w:val="32"/>
        </w:rPr>
        <w:t>划定永农保护面积31.04万亩、生态保护红线59.95万亩、城镇开发边界面积20.5313万亩，其中永久</w:t>
      </w:r>
      <w:r>
        <w:rPr>
          <w:rFonts w:ascii="Times New Roman" w:hAnsi="Times New Roman" w:cs="Times New Roman"/>
          <w:bCs/>
          <w:color w:val="000000"/>
          <w:szCs w:val="32"/>
        </w:rPr>
        <w:t>基本农田保护任务核减规模、城镇开发边界增量空间规模均为温州最大。</w:t>
      </w:r>
      <w:r>
        <w:rPr>
          <w:rFonts w:ascii="Times New Roman" w:hAnsi="Times New Roman" w:cs="Times New Roman"/>
          <w:szCs w:val="40"/>
        </w:rPr>
        <w:t>启动</w:t>
      </w:r>
      <w:r>
        <w:rPr>
          <w:rFonts w:hint="eastAsia" w:ascii="Times New Roman" w:hAnsi="Times New Roman" w:cs="Times New Roman"/>
          <w:szCs w:val="40"/>
        </w:rPr>
        <w:t>编制</w:t>
      </w:r>
      <w:r>
        <w:rPr>
          <w:rFonts w:ascii="Times New Roman" w:hAnsi="Times New Roman" w:cs="Times New Roman"/>
          <w:szCs w:val="40"/>
        </w:rPr>
        <w:t>城市中心区、塘河新城、万亩千亿平台、南滨江等</w:t>
      </w:r>
      <w:r>
        <w:rPr>
          <w:rFonts w:hint="eastAsia" w:ascii="Times New Roman" w:hAnsi="Times New Roman" w:cs="Times New Roman"/>
          <w:szCs w:val="40"/>
        </w:rPr>
        <w:t>8项</w:t>
      </w:r>
      <w:r>
        <w:rPr>
          <w:rFonts w:ascii="Times New Roman" w:hAnsi="Times New Roman" w:cs="Times New Roman"/>
          <w:szCs w:val="40"/>
        </w:rPr>
        <w:t>城市设计及控规，</w:t>
      </w:r>
      <w:r>
        <w:rPr>
          <w:rFonts w:ascii="Times New Roman" w:hAnsi="Times New Roman" w:cs="Times New Roman"/>
          <w:color w:val="000000" w:themeColor="text1"/>
          <w:szCs w:val="32"/>
          <w14:textFill>
            <w14:solidFill>
              <w14:schemeClr w14:val="tx1"/>
            </w14:solidFill>
          </w14:textFill>
        </w:rPr>
        <w:t>编制完成侨贸小镇、巾子山区块和东山西单元、老城西等4项重点地段城市设计以及62个社区、村庄建设规划。</w:t>
      </w:r>
    </w:p>
    <w:p w14:paraId="38839E55">
      <w:pPr>
        <w:spacing w:line="560" w:lineRule="exact"/>
        <w:ind w:firstLine="643" w:firstLineChars="200"/>
        <w:rPr>
          <w:rFonts w:ascii="Times New Roman" w:hAnsi="Times New Roman" w:cs="Times New Roman"/>
          <w:szCs w:val="32"/>
        </w:rPr>
      </w:pPr>
      <w:r>
        <w:rPr>
          <w:rFonts w:ascii="Times New Roman" w:hAnsi="Times New Roman" w:cs="Times New Roman"/>
          <w:b/>
          <w:bCs/>
          <w:szCs w:val="40"/>
        </w:rPr>
        <w:t>中心城区品质能级显著提升。</w:t>
      </w:r>
      <w:r>
        <w:rPr>
          <w:rFonts w:ascii="Times New Roman" w:hAnsi="Times New Roman" w:cs="Times New Roman"/>
          <w:kern w:val="0"/>
          <w:szCs w:val="32"/>
        </w:rPr>
        <w:t>统筹老城保护、旧城更新、新城开发，获批城市更新省级试点，五大亮点区块、7个省级未来社区试点加速建设，两年半</w:t>
      </w:r>
      <w:r>
        <w:rPr>
          <w:rFonts w:hint="eastAsia" w:ascii="Times New Roman" w:hAnsi="Times New Roman" w:cs="Times New Roman"/>
          <w:kern w:val="0"/>
          <w:szCs w:val="32"/>
        </w:rPr>
        <w:t>以来，</w:t>
      </w:r>
      <w:r>
        <w:rPr>
          <w:rFonts w:ascii="Times New Roman" w:hAnsi="Times New Roman" w:cs="Times New Roman"/>
          <w:kern w:val="0"/>
          <w:szCs w:val="32"/>
        </w:rPr>
        <w:t>滚动实施67个团块拆改项目，开工建设老旧小区改造工程49个。推动“大建大美”向“精建精美”提升，两年半开工建设南滨江小学、云江西街月光经济带等76个“精建精美”项目，建成塘河夜游、滨海五星级宾馆等56个“精建精美”项目。城乡风貌整治提升</w:t>
      </w:r>
      <w:r>
        <w:rPr>
          <w:rFonts w:hint="eastAsia" w:ascii="Times New Roman" w:hAnsi="Times New Roman" w:cs="Times New Roman"/>
          <w:kern w:val="0"/>
          <w:szCs w:val="32"/>
        </w:rPr>
        <w:t>深入推进</w:t>
      </w:r>
      <w:r>
        <w:rPr>
          <w:rFonts w:ascii="Times New Roman" w:hAnsi="Times New Roman" w:cs="Times New Roman"/>
          <w:kern w:val="0"/>
          <w:szCs w:val="32"/>
        </w:rPr>
        <w:t>，获评省美丽城镇创建工作“三连优”</w:t>
      </w:r>
      <w:r>
        <w:rPr>
          <w:rFonts w:hint="eastAsia" w:ascii="Times New Roman" w:hAnsi="Times New Roman" w:cs="Times New Roman"/>
          <w:kern w:val="0"/>
          <w:szCs w:val="32"/>
        </w:rPr>
        <w:t>，</w:t>
      </w:r>
      <w:r>
        <w:rPr>
          <w:rFonts w:ascii="Times New Roman" w:hAnsi="Times New Roman" w:cs="Times New Roman"/>
          <w:kern w:val="0"/>
          <w:szCs w:val="32"/>
        </w:rPr>
        <w:t>5个风貌样板区入选省级创建名单，曹村-马屿县域风貌区、忠义街传统风貌区创成省城乡风貌样板区，并获得“新时代富春山居图城乡风貌样板区”荣誉</w:t>
      </w:r>
      <w:r>
        <w:rPr>
          <w:rFonts w:ascii="Times New Roman" w:hAnsi="Times New Roman" w:cs="Times New Roman"/>
          <w:szCs w:val="32"/>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FFF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14:paraId="02B84308">
            <w:pPr>
              <w:widowControl/>
              <w:spacing w:line="400" w:lineRule="exact"/>
              <w:jc w:val="center"/>
              <w:rPr>
                <w:rFonts w:ascii="Times New Roman" w:hAnsi="Times New Roman" w:cs="Times New Roman"/>
                <w:b/>
                <w:bCs/>
                <w:sz w:val="28"/>
                <w:szCs w:val="28"/>
              </w:rPr>
            </w:pPr>
            <w:r>
              <w:rPr>
                <w:rFonts w:ascii="Times New Roman" w:hAnsi="Times New Roman" w:cs="Times New Roman"/>
                <w:b/>
                <w:bCs/>
                <w:sz w:val="28"/>
                <w:szCs w:val="28"/>
              </w:rPr>
              <w:t>专栏：团块拆改、五大亮点区块建设情况</w:t>
            </w:r>
          </w:p>
          <w:p w14:paraId="025CD463">
            <w:pPr>
              <w:widowControl/>
              <w:spacing w:line="400" w:lineRule="exact"/>
              <w:ind w:firstLine="562" w:firstLineChars="200"/>
              <w:rPr>
                <w:rFonts w:ascii="Times New Roman" w:hAnsi="Times New Roman" w:cs="Times New Roman"/>
                <w:b/>
                <w:bCs/>
                <w:kern w:val="0"/>
                <w:sz w:val="28"/>
                <w:szCs w:val="28"/>
              </w:rPr>
            </w:pPr>
            <w:r>
              <w:rPr>
                <w:rFonts w:ascii="Times New Roman" w:hAnsi="Times New Roman" w:cs="Times New Roman"/>
                <w:b/>
                <w:bCs/>
                <w:kern w:val="0"/>
                <w:sz w:val="28"/>
                <w:szCs w:val="28"/>
              </w:rPr>
              <w:t>1.团块拆改</w:t>
            </w:r>
            <w:r>
              <w:rPr>
                <w:rFonts w:hint="eastAsia" w:ascii="Times New Roman" w:hAnsi="Times New Roman" w:cs="Times New Roman"/>
                <w:b/>
                <w:bCs/>
                <w:kern w:val="0"/>
                <w:sz w:val="28"/>
                <w:szCs w:val="28"/>
              </w:rPr>
              <w:t>。</w:t>
            </w:r>
            <w:r>
              <w:rPr>
                <w:rFonts w:ascii="Times New Roman" w:hAnsi="Times New Roman" w:cs="Times New Roman"/>
                <w:kern w:val="0"/>
                <w:sz w:val="28"/>
                <w:szCs w:val="28"/>
              </w:rPr>
              <w:t>围绕城市“拥江发展、向东发展、同城发展”工作理念，不断推进城市更新，滚动推动67个团块拆改，其中人民医院门诊大楼扩建、浦口团块等10个项目实现拆除清零，塘下中心区（官渎）工业点改造项目、南港团块等11个项目实现签约清零。</w:t>
            </w:r>
          </w:p>
          <w:p w14:paraId="7679E001">
            <w:pPr>
              <w:widowControl/>
              <w:spacing w:line="400" w:lineRule="exact"/>
              <w:ind w:firstLine="562" w:firstLineChars="200"/>
              <w:rPr>
                <w:rFonts w:ascii="Times New Roman" w:hAnsi="Times New Roman" w:cs="Times New Roman"/>
              </w:rPr>
            </w:pPr>
            <w:r>
              <w:rPr>
                <w:rFonts w:ascii="Times New Roman" w:hAnsi="Times New Roman" w:cs="Times New Roman"/>
                <w:b/>
                <w:bCs/>
                <w:kern w:val="0"/>
                <w:sz w:val="28"/>
                <w:szCs w:val="28"/>
              </w:rPr>
              <w:t>2.</w:t>
            </w:r>
            <w:r>
              <w:rPr>
                <w:rFonts w:ascii="Times New Roman" w:hAnsi="Times New Roman" w:cs="Times New Roman"/>
                <w:b/>
                <w:bCs/>
                <w:sz w:val="28"/>
                <w:szCs w:val="28"/>
              </w:rPr>
              <w:t>五大亮点区</w:t>
            </w:r>
            <w:r>
              <w:rPr>
                <w:rFonts w:hint="eastAsia" w:ascii="Times New Roman" w:hAnsi="Times New Roman" w:cs="Times New Roman"/>
                <w:b/>
                <w:bCs/>
                <w:sz w:val="28"/>
                <w:szCs w:val="28"/>
              </w:rPr>
              <w:t>。</w:t>
            </w:r>
            <w:r>
              <w:rPr>
                <w:rFonts w:ascii="Times New Roman" w:hAnsi="Times New Roman" w:cs="Times New Roman"/>
                <w:b/>
                <w:bCs/>
                <w:kern w:val="0"/>
                <w:sz w:val="28"/>
                <w:szCs w:val="28"/>
              </w:rPr>
              <w:t>瑞安外滩</w:t>
            </w:r>
            <w:r>
              <w:rPr>
                <w:rFonts w:hint="eastAsia" w:ascii="Times New Roman" w:hAnsi="Times New Roman" w:cs="Times New Roman"/>
                <w:b/>
                <w:bCs/>
                <w:kern w:val="0"/>
                <w:sz w:val="28"/>
                <w:szCs w:val="28"/>
              </w:rPr>
              <w:t>：</w:t>
            </w:r>
            <w:r>
              <w:rPr>
                <w:rFonts w:ascii="Times New Roman" w:hAnsi="Times New Roman" w:cs="Times New Roman"/>
                <w:kern w:val="0"/>
                <w:sz w:val="28"/>
                <w:szCs w:val="28"/>
              </w:rPr>
              <w:t>落地60亿级巾子山时尚休闲创享聚业、南滨江金融港等项目，构建“两岸融合、百里画廊、商通四海”的滨江城市客厅。</w:t>
            </w:r>
            <w:r>
              <w:rPr>
                <w:rFonts w:ascii="Times New Roman" w:hAnsi="Times New Roman" w:cs="Times New Roman"/>
                <w:b/>
                <w:bCs/>
                <w:kern w:val="0"/>
                <w:sz w:val="28"/>
                <w:szCs w:val="28"/>
              </w:rPr>
              <w:t>七铺塘河</w:t>
            </w:r>
            <w:r>
              <w:rPr>
                <w:rFonts w:hint="eastAsia" w:ascii="Times New Roman" w:hAnsi="Times New Roman" w:cs="Times New Roman"/>
                <w:b/>
                <w:bCs/>
                <w:kern w:val="0"/>
                <w:sz w:val="28"/>
                <w:szCs w:val="28"/>
              </w:rPr>
              <w:t>：</w:t>
            </w:r>
            <w:r>
              <w:rPr>
                <w:rFonts w:ascii="Times New Roman" w:hAnsi="Times New Roman" w:cs="Times New Roman"/>
                <w:kern w:val="0"/>
                <w:sz w:val="28"/>
                <w:szCs w:val="28"/>
              </w:rPr>
              <w:t>打通沿河卡口12处，新建绿道约10公里，已完成东门古渡、拱瑞佛香等景点建设，已开工建设明镜水岸、九里老街等景点。竣工温瑞塘河莘塍段道路贯通、塘河夜游等项目。</w:t>
            </w:r>
            <w:r>
              <w:rPr>
                <w:rFonts w:ascii="Times New Roman" w:hAnsi="Times New Roman" w:cs="Times New Roman"/>
                <w:b/>
                <w:bCs/>
                <w:kern w:val="0"/>
                <w:sz w:val="28"/>
                <w:szCs w:val="28"/>
              </w:rPr>
              <w:t>秀丽集云</w:t>
            </w:r>
            <w:r>
              <w:rPr>
                <w:rFonts w:hint="eastAsia" w:ascii="Times New Roman" w:hAnsi="Times New Roman" w:cs="Times New Roman"/>
                <w:b/>
                <w:bCs/>
                <w:kern w:val="0"/>
                <w:sz w:val="28"/>
                <w:szCs w:val="28"/>
              </w:rPr>
              <w:t>：</w:t>
            </w:r>
            <w:r>
              <w:rPr>
                <w:rFonts w:ascii="Times New Roman" w:hAnsi="Times New Roman" w:cs="Times New Roman"/>
                <w:kern w:val="0"/>
                <w:sz w:val="28"/>
                <w:szCs w:val="28"/>
              </w:rPr>
              <w:t>实施平天河景区和猪头岩景区游步道及相关配套建设一期工程、集云湖景区游步道及相关配套工程，打造“古邑源山、湖光山色”城市郊野公园。</w:t>
            </w:r>
            <w:r>
              <w:rPr>
                <w:rFonts w:ascii="Times New Roman" w:hAnsi="Times New Roman" w:cs="Times New Roman"/>
                <w:b/>
                <w:bCs/>
                <w:kern w:val="0"/>
                <w:sz w:val="28"/>
                <w:szCs w:val="28"/>
              </w:rPr>
              <w:t>玉海古城</w:t>
            </w:r>
            <w:r>
              <w:rPr>
                <w:rFonts w:hint="eastAsia" w:ascii="Times New Roman" w:hAnsi="Times New Roman" w:cs="Times New Roman"/>
                <w:b/>
                <w:bCs/>
                <w:kern w:val="0"/>
                <w:sz w:val="28"/>
                <w:szCs w:val="28"/>
              </w:rPr>
              <w:t>：</w:t>
            </w:r>
            <w:r>
              <w:rPr>
                <w:rFonts w:ascii="Times New Roman" w:hAnsi="Times New Roman" w:cs="Times New Roman"/>
                <w:kern w:val="0"/>
                <w:sz w:val="28"/>
                <w:szCs w:val="28"/>
              </w:rPr>
              <w:t>推进忠义街历史文化街区改造提升、云江西街月光经济带建设，串起忠义街、大沙堤、会文里等城市记忆线。</w:t>
            </w:r>
            <w:r>
              <w:rPr>
                <w:rFonts w:ascii="Times New Roman" w:hAnsi="Times New Roman" w:cs="Times New Roman"/>
                <w:b/>
                <w:bCs/>
                <w:kern w:val="0"/>
                <w:sz w:val="28"/>
                <w:szCs w:val="28"/>
              </w:rPr>
              <w:t>魅力滨海</w:t>
            </w:r>
            <w:r>
              <w:rPr>
                <w:rFonts w:hint="eastAsia" w:ascii="Times New Roman" w:hAnsi="Times New Roman" w:cs="Times New Roman"/>
                <w:b/>
                <w:bCs/>
                <w:kern w:val="0"/>
                <w:sz w:val="28"/>
                <w:szCs w:val="28"/>
              </w:rPr>
              <w:t>：</w:t>
            </w:r>
            <w:r>
              <w:rPr>
                <w:rFonts w:ascii="Times New Roman" w:hAnsi="Times New Roman" w:cs="Times New Roman"/>
                <w:kern w:val="0"/>
                <w:sz w:val="28"/>
                <w:szCs w:val="28"/>
              </w:rPr>
              <w:t>加速崛起万松城市综合体、图书馆综合体、数字经济智汇谷等一批未来城市地标，成为“城人产”融合发展的示范区。</w:t>
            </w:r>
          </w:p>
        </w:tc>
      </w:tr>
    </w:tbl>
    <w:p w14:paraId="62C386CE">
      <w:pPr>
        <w:ind w:firstLine="619" w:firstLineChars="200"/>
        <w:rPr>
          <w:rFonts w:ascii="Times New Roman" w:hAnsi="Times New Roman" w:cs="Times New Roman"/>
          <w:bCs/>
          <w:szCs w:val="32"/>
        </w:rPr>
      </w:pPr>
      <w:r>
        <w:rPr>
          <w:rFonts w:ascii="Times New Roman" w:hAnsi="Times New Roman" w:cs="Times New Roman"/>
          <w:b/>
          <w:spacing w:val="-6"/>
          <w:szCs w:val="32"/>
          <w:lang w:bidi="ar"/>
        </w:rPr>
        <w:t>温州南部综合交通枢纽加快形成。</w:t>
      </w:r>
      <w:r>
        <w:rPr>
          <w:rFonts w:hint="eastAsia" w:ascii="Times New Roman" w:hAnsi="Times New Roman" w:cs="Times New Roman"/>
          <w:bCs/>
          <w:spacing w:val="-6"/>
          <w:szCs w:val="32"/>
          <w:lang w:bidi="ar"/>
        </w:rPr>
        <w:t>“三横四纵”综合立体交通大通道、“九纵五横三环”主骨架路网加快构建，“一高二普两城际”铁路网加快形成，基本实现“2小时通达粤闽浙沿海城市群、1小时通达省内主要城市”，温瑞、市域、城区三个“半小时交通圈”加速形成。</w:t>
      </w:r>
      <w:r>
        <w:rPr>
          <w:rFonts w:ascii="Times New Roman" w:hAnsi="Times New Roman" w:cs="Times New Roman"/>
          <w:bCs/>
          <w:spacing w:val="-6"/>
          <w:szCs w:val="32"/>
          <w:lang w:bidi="ar"/>
        </w:rPr>
        <w:t>两年半</w:t>
      </w:r>
      <w:r>
        <w:rPr>
          <w:rFonts w:hint="eastAsia" w:ascii="Times New Roman" w:hAnsi="Times New Roman" w:cs="Times New Roman"/>
          <w:bCs/>
          <w:spacing w:val="-6"/>
          <w:szCs w:val="32"/>
          <w:lang w:bidi="ar"/>
        </w:rPr>
        <w:t>以来</w:t>
      </w:r>
      <w:r>
        <w:rPr>
          <w:rFonts w:ascii="Times New Roman" w:hAnsi="Times New Roman" w:cs="Times New Roman"/>
          <w:bCs/>
          <w:spacing w:val="-6"/>
          <w:szCs w:val="32"/>
          <w:lang w:bidi="ar"/>
        </w:rPr>
        <w:t>，全市累计完成交通投资169.07亿元</w:t>
      </w:r>
      <w:r>
        <w:rPr>
          <w:rFonts w:hint="eastAsia" w:ascii="Times New Roman" w:hAnsi="Times New Roman" w:cs="Times New Roman"/>
          <w:bCs/>
          <w:spacing w:val="-6"/>
          <w:szCs w:val="32"/>
          <w:lang w:bidi="ar"/>
        </w:rPr>
        <w:t>、</w:t>
      </w:r>
      <w:r>
        <w:rPr>
          <w:rFonts w:ascii="Times New Roman" w:hAnsi="Times New Roman" w:cs="Times New Roman"/>
          <w:bCs/>
          <w:spacing w:val="-6"/>
          <w:szCs w:val="32"/>
          <w:lang w:bidi="ar"/>
        </w:rPr>
        <w:t>居温州市前列</w:t>
      </w:r>
      <w:r>
        <w:rPr>
          <w:rFonts w:ascii="Times New Roman" w:hAnsi="Times New Roman" w:cs="Times New Roman"/>
          <w:szCs w:val="32"/>
        </w:rPr>
        <w:t>，</w:t>
      </w:r>
      <w:r>
        <w:rPr>
          <w:rFonts w:ascii="Times New Roman" w:hAnsi="Times New Roman" w:cs="Times New Roman"/>
          <w:bCs/>
          <w:spacing w:val="-6"/>
          <w:szCs w:val="32"/>
          <w:lang w:bidi="ar"/>
        </w:rPr>
        <w:t>累计打通城市断头路10处，优化公交路线15条，完成农村公路改造提升101.8公里，</w:t>
      </w:r>
      <w:r>
        <w:rPr>
          <w:rFonts w:hint="eastAsia" w:ascii="Times New Roman" w:hAnsi="Times New Roman" w:cs="Times New Roman"/>
          <w:bCs/>
          <w:spacing w:val="-6"/>
          <w:szCs w:val="32"/>
          <w:lang w:bidi="ar"/>
        </w:rPr>
        <w:t>复评“四好农村路”全国示范县，</w:t>
      </w:r>
      <w:r>
        <w:rPr>
          <w:rFonts w:ascii="Times New Roman" w:hAnsi="Times New Roman" w:cs="Times New Roman"/>
          <w:bCs/>
          <w:spacing w:val="-6"/>
          <w:szCs w:val="32"/>
          <w:lang w:bidi="ar"/>
        </w:rPr>
        <w:t>城乡公交新能源车覆盖率、4A级及以上景区通二级以上公路占比分别达80.54%、100%。</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161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BDEEBA9">
            <w:pPr>
              <w:spacing w:line="400" w:lineRule="exact"/>
              <w:ind w:firstLine="562" w:firstLineChars="200"/>
              <w:jc w:val="center"/>
              <w:rPr>
                <w:rFonts w:ascii="Times New Roman" w:hAnsi="Times New Roman" w:cs="Times New Roman"/>
                <w:b/>
                <w:bCs/>
                <w:sz w:val="28"/>
                <w:szCs w:val="28"/>
              </w:rPr>
            </w:pPr>
            <w:r>
              <w:rPr>
                <w:rFonts w:ascii="Times New Roman" w:hAnsi="Times New Roman" w:cs="Times New Roman"/>
                <w:b/>
                <w:bCs/>
                <w:sz w:val="28"/>
                <w:szCs w:val="28"/>
              </w:rPr>
              <w:t>专栏：重点交通项目建设成效</w:t>
            </w:r>
          </w:p>
          <w:p w14:paraId="105852F3">
            <w:pPr>
              <w:spacing w:line="400" w:lineRule="exact"/>
              <w:ind w:firstLine="562" w:firstLineChars="200"/>
              <w:rPr>
                <w:rFonts w:ascii="Times New Roman" w:hAnsi="Times New Roman" w:cs="Times New Roman"/>
                <w:b/>
                <w:bCs/>
                <w:kern w:val="0"/>
                <w:sz w:val="28"/>
                <w:szCs w:val="28"/>
              </w:rPr>
            </w:pPr>
            <w:r>
              <w:rPr>
                <w:rFonts w:ascii="Times New Roman" w:hAnsi="Times New Roman" w:cs="Times New Roman"/>
                <w:b/>
                <w:bCs/>
                <w:kern w:val="0"/>
                <w:sz w:val="28"/>
                <w:szCs w:val="28"/>
              </w:rPr>
              <w:t>铁路</w:t>
            </w:r>
            <w:r>
              <w:rPr>
                <w:rFonts w:hint="eastAsia" w:ascii="Times New Roman" w:hAnsi="Times New Roman" w:cs="Times New Roman"/>
                <w:b/>
                <w:bCs/>
                <w:kern w:val="0"/>
                <w:sz w:val="28"/>
                <w:szCs w:val="28"/>
              </w:rPr>
              <w:t>（市域铁路）</w:t>
            </w:r>
            <w:r>
              <w:rPr>
                <w:rFonts w:ascii="Times New Roman" w:hAnsi="Times New Roman" w:cs="Times New Roman"/>
                <w:b/>
                <w:bCs/>
                <w:kern w:val="0"/>
                <w:sz w:val="28"/>
                <w:szCs w:val="28"/>
              </w:rPr>
              <w:t>。</w:t>
            </w:r>
            <w:r>
              <w:rPr>
                <w:rFonts w:hint="eastAsia" w:ascii="Times New Roman" w:hAnsi="Times New Roman" w:cs="Times New Roman"/>
                <w:b/>
                <w:bCs/>
                <w:kern w:val="0"/>
                <w:sz w:val="28"/>
                <w:szCs w:val="28"/>
              </w:rPr>
              <w:t>建成：</w:t>
            </w:r>
            <w:r>
              <w:rPr>
                <w:rFonts w:hint="eastAsia" w:ascii="Times New Roman" w:hAnsi="Times New Roman" w:cs="Times New Roman"/>
                <w:kern w:val="0"/>
                <w:sz w:val="28"/>
                <w:szCs w:val="28"/>
              </w:rPr>
              <w:t>市域铁路S2线。</w:t>
            </w:r>
            <w:r>
              <w:rPr>
                <w:rFonts w:hint="eastAsia" w:ascii="Times New Roman" w:hAnsi="Times New Roman" w:cs="Times New Roman"/>
                <w:b/>
                <w:bCs/>
                <w:kern w:val="0"/>
                <w:sz w:val="28"/>
                <w:szCs w:val="28"/>
              </w:rPr>
              <w:t>在建：</w:t>
            </w:r>
            <w:r>
              <w:rPr>
                <w:rFonts w:hint="eastAsia" w:ascii="Times New Roman" w:hAnsi="Times New Roman" w:cs="Times New Roman"/>
                <w:kern w:val="0"/>
                <w:sz w:val="28"/>
                <w:szCs w:val="28"/>
              </w:rPr>
              <w:t>市域铁路S3线附属配套工程（瑞安段）——永宁大桥。</w:t>
            </w:r>
            <w:r>
              <w:rPr>
                <w:rFonts w:hint="eastAsia" w:ascii="Times New Roman" w:hAnsi="Times New Roman" w:cs="Times New Roman"/>
                <w:b/>
                <w:bCs/>
                <w:kern w:val="0"/>
                <w:sz w:val="28"/>
                <w:szCs w:val="28"/>
              </w:rPr>
              <w:t>前期：</w:t>
            </w:r>
            <w:r>
              <w:rPr>
                <w:rFonts w:ascii="Times New Roman" w:hAnsi="Times New Roman" w:cs="Times New Roman"/>
                <w:bCs/>
                <w:spacing w:val="-6"/>
                <w:sz w:val="28"/>
                <w:szCs w:val="28"/>
                <w:lang w:bidi="ar"/>
              </w:rPr>
              <w:t>温福高铁瑞安段工程、温武吉铁路瑞安段工程。</w:t>
            </w:r>
          </w:p>
          <w:p w14:paraId="5F1B436F">
            <w:pPr>
              <w:spacing w:line="400" w:lineRule="exact"/>
              <w:ind w:firstLine="562" w:firstLineChars="200"/>
              <w:rPr>
                <w:rFonts w:ascii="Times New Roman" w:hAnsi="Times New Roman" w:cs="Times New Roman"/>
                <w:bCs/>
                <w:spacing w:val="-6"/>
                <w:sz w:val="28"/>
                <w:szCs w:val="28"/>
                <w:lang w:bidi="ar"/>
              </w:rPr>
            </w:pPr>
            <w:r>
              <w:rPr>
                <w:rFonts w:hint="eastAsia" w:ascii="Times New Roman" w:hAnsi="Times New Roman" w:cs="Times New Roman"/>
                <w:b/>
                <w:bCs/>
                <w:kern w:val="0"/>
                <w:sz w:val="28"/>
                <w:szCs w:val="28"/>
              </w:rPr>
              <w:t>干线</w:t>
            </w:r>
            <w:r>
              <w:rPr>
                <w:rFonts w:ascii="Times New Roman" w:hAnsi="Times New Roman" w:cs="Times New Roman"/>
                <w:b/>
                <w:bCs/>
                <w:kern w:val="0"/>
                <w:sz w:val="28"/>
                <w:szCs w:val="28"/>
              </w:rPr>
              <w:t>公路。</w:t>
            </w:r>
            <w:r>
              <w:rPr>
                <w:rFonts w:ascii="Times New Roman" w:hAnsi="Times New Roman" w:cs="Times New Roman"/>
                <w:b/>
                <w:spacing w:val="-6"/>
                <w:sz w:val="28"/>
                <w:szCs w:val="28"/>
                <w:lang w:bidi="ar"/>
              </w:rPr>
              <w:t>建成：</w:t>
            </w:r>
            <w:r>
              <w:rPr>
                <w:rFonts w:hint="eastAsia" w:ascii="Times New Roman" w:hAnsi="Times New Roman" w:cs="Times New Roman"/>
                <w:bCs/>
                <w:spacing w:val="-6"/>
                <w:sz w:val="28"/>
                <w:szCs w:val="28"/>
                <w:lang w:bidi="ar"/>
              </w:rPr>
              <w:t>104国道瑞安仙降至平阳萧江段改建工程（瑞安段）、228国道瑞安飞云江三桥南延伸线、57省道（S230）瑞安宁益至龙湖段改建工程</w:t>
            </w:r>
            <w:r>
              <w:rPr>
                <w:rFonts w:ascii="Times New Roman" w:hAnsi="Times New Roman" w:cs="Times New Roman"/>
                <w:bCs/>
                <w:spacing w:val="-6"/>
                <w:sz w:val="28"/>
                <w:szCs w:val="28"/>
                <w:lang w:bidi="ar"/>
              </w:rPr>
              <w:t>。</w:t>
            </w:r>
            <w:r>
              <w:rPr>
                <w:rFonts w:ascii="Times New Roman" w:hAnsi="Times New Roman" w:cs="Times New Roman"/>
                <w:b/>
                <w:spacing w:val="-6"/>
                <w:sz w:val="28"/>
                <w:szCs w:val="28"/>
                <w:lang w:bidi="ar"/>
              </w:rPr>
              <w:t>在建：</w:t>
            </w:r>
            <w:r>
              <w:rPr>
                <w:rFonts w:hint="eastAsia" w:ascii="Times New Roman" w:hAnsi="Times New Roman" w:cs="Times New Roman"/>
                <w:bCs/>
                <w:spacing w:val="-6"/>
                <w:sz w:val="28"/>
                <w:szCs w:val="28"/>
                <w:lang w:bidi="ar"/>
              </w:rPr>
              <w:t>瑞苍高速工程瑞安段、瑞湖高速、104国道罗凤至塘下段改建、330国道场桥至罗凤段、飞云江三桥南岸连接线南滨至仙降段提升改造等工程</w:t>
            </w:r>
            <w:r>
              <w:rPr>
                <w:rFonts w:ascii="Times New Roman" w:hAnsi="Times New Roman" w:cs="Times New Roman"/>
                <w:bCs/>
                <w:spacing w:val="-6"/>
                <w:sz w:val="28"/>
                <w:szCs w:val="28"/>
                <w:lang w:bidi="ar"/>
              </w:rPr>
              <w:t>。</w:t>
            </w:r>
            <w:r>
              <w:rPr>
                <w:rFonts w:ascii="Times New Roman" w:hAnsi="Times New Roman" w:cs="Times New Roman"/>
                <w:b/>
                <w:spacing w:val="-6"/>
                <w:sz w:val="28"/>
                <w:szCs w:val="28"/>
                <w:lang w:bidi="ar"/>
              </w:rPr>
              <w:t>前期：</w:t>
            </w:r>
            <w:r>
              <w:rPr>
                <w:rFonts w:hint="eastAsia" w:ascii="Times New Roman" w:hAnsi="Times New Roman" w:cs="Times New Roman"/>
                <w:bCs/>
                <w:spacing w:val="-6"/>
                <w:sz w:val="28"/>
                <w:szCs w:val="28"/>
                <w:lang w:bidi="ar"/>
              </w:rPr>
              <w:t>甬台温高速公路改扩建工程温州南白象至浙闽界（瑞安段）、甬台温高速复线增设塘下东互通、合温高速南连工程（含瑞湖连接线）、温州绕城高速西南线增设海西互通工程、322国道瑞安乙甲至岭脚段工程、228 国道场桥至飞云江三桥段改建工程（滨海大道快速路）、211省道桐乡至洞头公路瑞安林川至湖岭段工程、211 省道龙湾海城至洞头灵昆段工程（瑞安段）、218 省道瑞安湖岭至高楼段改建工程</w:t>
            </w:r>
            <w:r>
              <w:rPr>
                <w:rFonts w:ascii="Times New Roman" w:hAnsi="Times New Roman" w:cs="Times New Roman"/>
                <w:bCs/>
                <w:spacing w:val="-6"/>
                <w:sz w:val="28"/>
                <w:szCs w:val="28"/>
                <w:lang w:bidi="ar"/>
              </w:rPr>
              <w:t>。</w:t>
            </w:r>
          </w:p>
          <w:p w14:paraId="0DF7C0F7">
            <w:pPr>
              <w:widowControl/>
              <w:spacing w:line="400" w:lineRule="exact"/>
              <w:ind w:firstLine="562" w:firstLineChars="200"/>
              <w:rPr>
                <w:rFonts w:ascii="Times New Roman" w:hAnsi="Times New Roman" w:cs="Times New Roman"/>
                <w:b/>
                <w:bCs/>
                <w:kern w:val="0"/>
                <w:sz w:val="28"/>
                <w:szCs w:val="28"/>
              </w:rPr>
            </w:pPr>
            <w:r>
              <w:rPr>
                <w:rFonts w:ascii="Times New Roman" w:hAnsi="Times New Roman" w:cs="Times New Roman"/>
                <w:b/>
                <w:bCs/>
                <w:kern w:val="0"/>
                <w:sz w:val="28"/>
                <w:szCs w:val="28"/>
              </w:rPr>
              <w:t>市政道路。</w:t>
            </w:r>
            <w:r>
              <w:rPr>
                <w:rFonts w:ascii="Times New Roman" w:hAnsi="Times New Roman" w:cs="Times New Roman"/>
                <w:b/>
                <w:spacing w:val="-6"/>
                <w:sz w:val="28"/>
                <w:szCs w:val="28"/>
                <w:lang w:bidi="ar"/>
              </w:rPr>
              <w:t>在建：</w:t>
            </w:r>
            <w:r>
              <w:rPr>
                <w:rFonts w:hint="eastAsia" w:ascii="Times New Roman" w:hAnsi="Times New Roman" w:cs="Times New Roman"/>
                <w:bCs/>
                <w:spacing w:val="-6"/>
                <w:sz w:val="28"/>
                <w:szCs w:val="28"/>
                <w:lang w:bidi="ar"/>
              </w:rPr>
              <w:t>龙湾至瑞安公路瑞安段工程、孙鳌公路改建工程一期工程</w:t>
            </w:r>
            <w:r>
              <w:rPr>
                <w:rFonts w:ascii="Times New Roman" w:hAnsi="Times New Roman" w:cs="Times New Roman"/>
                <w:bCs/>
                <w:spacing w:val="-6"/>
                <w:sz w:val="28"/>
                <w:szCs w:val="28"/>
                <w:lang w:bidi="ar"/>
              </w:rPr>
              <w:t>。</w:t>
            </w:r>
            <w:r>
              <w:rPr>
                <w:rFonts w:ascii="Times New Roman" w:hAnsi="Times New Roman" w:cs="Times New Roman"/>
                <w:b/>
                <w:spacing w:val="-6"/>
                <w:sz w:val="28"/>
                <w:szCs w:val="28"/>
                <w:lang w:bidi="ar"/>
              </w:rPr>
              <w:t>前期：</w:t>
            </w:r>
            <w:r>
              <w:rPr>
                <w:rFonts w:hint="eastAsia" w:ascii="Times New Roman" w:hAnsi="Times New Roman" w:cs="Times New Roman"/>
                <w:bCs/>
                <w:spacing w:val="-6"/>
                <w:sz w:val="28"/>
                <w:szCs w:val="28"/>
                <w:lang w:bidi="ar"/>
              </w:rPr>
              <w:t>南山隧道、塘岙底隧道、温瑞大道永宁大桥建设工程、飞马公路繁荣至周苌段改建工程（含涉铁段）。</w:t>
            </w:r>
          </w:p>
          <w:p w14:paraId="4D8EF166">
            <w:pPr>
              <w:spacing w:line="400" w:lineRule="exact"/>
              <w:ind w:firstLine="562" w:firstLineChars="200"/>
              <w:rPr>
                <w:rFonts w:ascii="Times New Roman" w:hAnsi="Times New Roman" w:cs="Times New Roman"/>
                <w:bCs/>
                <w:spacing w:val="-6"/>
                <w:sz w:val="28"/>
                <w:szCs w:val="28"/>
                <w:lang w:bidi="ar"/>
              </w:rPr>
            </w:pPr>
            <w:r>
              <w:rPr>
                <w:rFonts w:ascii="Times New Roman" w:hAnsi="Times New Roman" w:cs="Times New Roman"/>
                <w:b/>
                <w:bCs/>
                <w:kern w:val="0"/>
                <w:sz w:val="28"/>
                <w:szCs w:val="28"/>
              </w:rPr>
              <w:t>港口。在建</w:t>
            </w:r>
            <w:r>
              <w:rPr>
                <w:rFonts w:ascii="Times New Roman" w:hAnsi="Times New Roman" w:cs="Times New Roman"/>
                <w:b/>
                <w:spacing w:val="-6"/>
                <w:sz w:val="28"/>
                <w:szCs w:val="28"/>
                <w:lang w:bidi="ar"/>
              </w:rPr>
              <w:t>：</w:t>
            </w:r>
            <w:r>
              <w:rPr>
                <w:rFonts w:hint="eastAsia" w:ascii="Times New Roman" w:hAnsi="Times New Roman" w:cs="Times New Roman"/>
                <w:bCs/>
                <w:spacing w:val="-6"/>
                <w:sz w:val="28"/>
                <w:szCs w:val="28"/>
                <w:lang w:bidi="ar"/>
              </w:rPr>
              <w:t>瑞安市华东散装水泥有限公司物流配送中心码头二期工程、北龙和北麂陆岛交通码头。</w:t>
            </w:r>
            <w:r>
              <w:rPr>
                <w:rFonts w:ascii="Times New Roman" w:hAnsi="Times New Roman" w:cs="Times New Roman"/>
                <w:b/>
                <w:spacing w:val="-6"/>
                <w:sz w:val="28"/>
                <w:szCs w:val="28"/>
                <w:lang w:bidi="ar"/>
              </w:rPr>
              <w:t>前期</w:t>
            </w:r>
            <w:r>
              <w:rPr>
                <w:rFonts w:ascii="Times New Roman" w:hAnsi="Times New Roman" w:cs="Times New Roman"/>
                <w:bCs/>
                <w:spacing w:val="-6"/>
                <w:sz w:val="28"/>
                <w:szCs w:val="28"/>
                <w:lang w:bidi="ar"/>
              </w:rPr>
              <w:t>：</w:t>
            </w:r>
            <w:r>
              <w:rPr>
                <w:rFonts w:hint="eastAsia" w:ascii="Times New Roman" w:hAnsi="Times New Roman" w:cs="Times New Roman"/>
                <w:bCs/>
                <w:spacing w:val="-6"/>
                <w:sz w:val="28"/>
                <w:szCs w:val="28"/>
                <w:lang w:bidi="ar"/>
              </w:rPr>
              <w:t>东山陆岛交通码头及附属配套设施建设工程、瑞安港区上望作业区一期码头工程、瑞安港区凤凰山作业区开发工程、北龙山作业区开发工程</w:t>
            </w:r>
            <w:r>
              <w:rPr>
                <w:rFonts w:ascii="Times New Roman" w:hAnsi="Times New Roman" w:cs="Times New Roman"/>
                <w:bCs/>
                <w:spacing w:val="-6"/>
                <w:sz w:val="28"/>
                <w:szCs w:val="28"/>
                <w:lang w:bidi="ar"/>
              </w:rPr>
              <w:t>。</w:t>
            </w:r>
          </w:p>
          <w:p w14:paraId="7CC9C918">
            <w:pPr>
              <w:spacing w:line="400" w:lineRule="exact"/>
              <w:ind w:firstLine="562" w:firstLineChars="200"/>
              <w:rPr>
                <w:rFonts w:ascii="Times New Roman" w:hAnsi="Times New Roman" w:cs="Times New Roman"/>
              </w:rPr>
            </w:pPr>
            <w:r>
              <w:rPr>
                <w:rFonts w:hint="eastAsia" w:ascii="Times New Roman" w:hAnsi="Times New Roman" w:cs="Times New Roman"/>
                <w:b/>
                <w:bCs/>
                <w:kern w:val="0"/>
                <w:sz w:val="28"/>
                <w:szCs w:val="28"/>
              </w:rPr>
              <w:t>站场</w:t>
            </w:r>
            <w:r>
              <w:rPr>
                <w:rFonts w:ascii="Times New Roman" w:hAnsi="Times New Roman" w:cs="Times New Roman"/>
                <w:b/>
                <w:bCs/>
                <w:kern w:val="0"/>
                <w:sz w:val="28"/>
                <w:szCs w:val="28"/>
              </w:rPr>
              <w:t>。</w:t>
            </w:r>
            <w:r>
              <w:rPr>
                <w:rFonts w:hint="eastAsia" w:ascii="Times New Roman" w:hAnsi="Times New Roman" w:cs="Times New Roman"/>
                <w:b/>
                <w:bCs/>
                <w:kern w:val="0"/>
                <w:sz w:val="28"/>
                <w:szCs w:val="28"/>
              </w:rPr>
              <w:t>建成：</w:t>
            </w:r>
            <w:r>
              <w:rPr>
                <w:rFonts w:hint="eastAsia" w:ascii="Times New Roman" w:hAnsi="Times New Roman" w:cs="Times New Roman"/>
                <w:kern w:val="0"/>
                <w:sz w:val="28"/>
                <w:szCs w:val="28"/>
              </w:rPr>
              <w:t>塘下客运站、高楼客运站、瑞安市丁山二期危化品运输车辆停车场、碧山物流中心、易瑞智慧供应链项目、江南陆铁联运中心。</w:t>
            </w:r>
            <w:r>
              <w:rPr>
                <w:rFonts w:hint="eastAsia" w:ascii="Times New Roman" w:hAnsi="Times New Roman" w:cs="Times New Roman"/>
                <w:b/>
                <w:bCs/>
                <w:kern w:val="0"/>
                <w:sz w:val="28"/>
                <w:szCs w:val="28"/>
              </w:rPr>
              <w:t>在建：</w:t>
            </w:r>
            <w:r>
              <w:rPr>
                <w:rFonts w:hint="eastAsia" w:ascii="Times New Roman" w:hAnsi="Times New Roman" w:cs="Times New Roman"/>
                <w:kern w:val="0"/>
                <w:sz w:val="28"/>
                <w:szCs w:val="28"/>
              </w:rPr>
              <w:t>塘下客运站、高楼客运站、瑞安市丁山二期危化品运输车辆停车场、碧山物流中心、易瑞智慧供应链项目、江南陆铁联运中心。</w:t>
            </w:r>
            <w:r>
              <w:rPr>
                <w:rFonts w:hint="eastAsia" w:ascii="Times New Roman" w:hAnsi="Times New Roman" w:cs="Times New Roman"/>
                <w:b/>
                <w:bCs/>
                <w:kern w:val="0"/>
                <w:sz w:val="28"/>
                <w:szCs w:val="28"/>
              </w:rPr>
              <w:t>前期：</w:t>
            </w:r>
            <w:r>
              <w:rPr>
                <w:rFonts w:hint="eastAsia" w:ascii="Times New Roman" w:hAnsi="Times New Roman" w:cs="Times New Roman"/>
                <w:kern w:val="0"/>
                <w:sz w:val="28"/>
                <w:szCs w:val="28"/>
              </w:rPr>
              <w:t>瑞安东站综合交通枢纽（含滨海客运站）、塘下客运枢纽综合开发项目、塘下物流中心项目。</w:t>
            </w:r>
          </w:p>
        </w:tc>
      </w:tr>
    </w:tbl>
    <w:p w14:paraId="2FFEE106">
      <w:pPr>
        <w:ind w:firstLine="643" w:firstLineChars="200"/>
        <w:outlineLvl w:val="1"/>
        <w:rPr>
          <w:rFonts w:ascii="Times New Roman" w:hAnsi="Times New Roman" w:cs="Times New Roman"/>
          <w:b/>
          <w:bCs/>
          <w:szCs w:val="32"/>
        </w:rPr>
      </w:pPr>
      <w:bookmarkStart w:id="12" w:name="_Toc16466"/>
      <w:bookmarkStart w:id="13" w:name="_Toc31264"/>
      <w:r>
        <w:rPr>
          <w:rFonts w:hint="eastAsia" w:ascii="Times New Roman" w:hAnsi="Times New Roman" w:cs="Times New Roman"/>
          <w:b/>
          <w:bCs/>
          <w:szCs w:val="32"/>
        </w:rPr>
        <w:t>（二）</w:t>
      </w:r>
      <w:r>
        <w:rPr>
          <w:rFonts w:ascii="Times New Roman" w:hAnsi="Times New Roman" w:cs="Times New Roman"/>
          <w:b/>
          <w:bCs/>
          <w:szCs w:val="32"/>
        </w:rPr>
        <w:t>浙南创新高地提速打造</w:t>
      </w:r>
      <w:bookmarkEnd w:id="12"/>
      <w:bookmarkEnd w:id="13"/>
    </w:p>
    <w:p w14:paraId="65EE3AA5">
      <w:pPr>
        <w:ind w:firstLine="640" w:firstLineChars="200"/>
        <w:rPr>
          <w:rFonts w:ascii="Times New Roman" w:hAnsi="Times New Roman" w:cs="Times New Roman"/>
          <w:b/>
          <w:bCs/>
          <w:szCs w:val="32"/>
        </w:rPr>
      </w:pPr>
      <w:r>
        <w:rPr>
          <w:rFonts w:ascii="Times New Roman" w:hAnsi="Times New Roman" w:cs="Times New Roman"/>
          <w:szCs w:val="32"/>
        </w:rPr>
        <w:t>围绕“十四五”规划提出的“打造浙南创新崛起新高地”规划目标，贯彻落实</w:t>
      </w:r>
      <w:r>
        <w:rPr>
          <w:rFonts w:hint="eastAsia" w:ascii="Times New Roman" w:hAnsi="Times New Roman" w:cs="Times New Roman"/>
          <w:szCs w:val="32"/>
        </w:rPr>
        <w:t>人才强市、科创强市“首位战略”，大力实施云江科创九大行动2.0版</w:t>
      </w:r>
      <w:r>
        <w:rPr>
          <w:rFonts w:ascii="Times New Roman" w:hAnsi="Times New Roman" w:cs="Times New Roman"/>
          <w:szCs w:val="32"/>
        </w:rPr>
        <w:t>，</w:t>
      </w:r>
      <w:r>
        <w:rPr>
          <w:rFonts w:hint="eastAsia" w:ascii="Times New Roman" w:hAnsi="Times New Roman" w:cs="Times New Roman"/>
          <w:b/>
          <w:bCs/>
          <w:szCs w:val="32"/>
        </w:rPr>
        <w:t>“一区一廊一芯一会”</w:t>
      </w:r>
      <w:r>
        <w:rPr>
          <w:rFonts w:ascii="Times New Roman" w:hAnsi="Times New Roman" w:cs="Times New Roman"/>
          <w:b/>
          <w:bCs/>
          <w:szCs w:val="32"/>
        </w:rPr>
        <w:t>创新格局基本形成，获评省科技进步目标责任制考核优秀</w:t>
      </w:r>
      <w:r>
        <w:rPr>
          <w:rFonts w:hint="eastAsia" w:ascii="Times New Roman" w:hAnsi="Times New Roman" w:cs="Times New Roman"/>
          <w:b/>
          <w:bCs/>
          <w:szCs w:val="32"/>
        </w:rPr>
        <w:t>，跃居全国科技创新百强县（市）第13位，</w:t>
      </w:r>
      <w:r>
        <w:rPr>
          <w:rFonts w:ascii="Times New Roman" w:hAnsi="Times New Roman" w:cs="Times New Roman"/>
          <w:b/>
          <w:bCs/>
          <w:szCs w:val="32"/>
        </w:rPr>
        <w:t>获批</w:t>
      </w:r>
      <w:r>
        <w:rPr>
          <w:rFonts w:hint="eastAsia" w:ascii="Times New Roman" w:hAnsi="Times New Roman" w:cs="Times New Roman"/>
          <w:b/>
          <w:bCs/>
          <w:szCs w:val="32"/>
        </w:rPr>
        <w:t>创建</w:t>
      </w:r>
      <w:r>
        <w:rPr>
          <w:rFonts w:ascii="Times New Roman" w:hAnsi="Times New Roman" w:cs="Times New Roman"/>
          <w:b/>
          <w:bCs/>
          <w:szCs w:val="32"/>
        </w:rPr>
        <w:t>国家创新型县（市），入选“科创中国”省级试点市</w:t>
      </w:r>
      <w:r>
        <w:rPr>
          <w:rFonts w:hint="eastAsia" w:ascii="Times New Roman" w:hAnsi="Times New Roman" w:cs="Times New Roman"/>
          <w:szCs w:val="32"/>
        </w:rPr>
        <w:t>。</w:t>
      </w:r>
    </w:p>
    <w:p w14:paraId="6A56F8B6">
      <w:pPr>
        <w:widowControl/>
        <w:ind w:firstLine="643" w:firstLineChars="200"/>
      </w:pPr>
      <w:r>
        <w:rPr>
          <w:rFonts w:ascii="Times New Roman" w:hAnsi="Times New Roman" w:cs="Times New Roman"/>
          <w:b/>
          <w:bCs/>
          <w:szCs w:val="32"/>
        </w:rPr>
        <w:t>高能级创新平台“提能造峰”。</w:t>
      </w:r>
      <w:r>
        <w:rPr>
          <w:rFonts w:ascii="Times New Roman" w:hAnsi="Times New Roman" w:cs="Times New Roman"/>
          <w:szCs w:val="32"/>
        </w:rPr>
        <w:t>自创区“瑞安园”八大专项行动有序推进，瑞安</w:t>
      </w:r>
      <w:r>
        <w:rPr>
          <w:rFonts w:hint="eastAsia" w:ascii="Times New Roman" w:hAnsi="Times New Roman" w:cs="Times New Roman"/>
          <w:szCs w:val="32"/>
        </w:rPr>
        <w:t>高新区</w:t>
      </w:r>
      <w:r>
        <w:rPr>
          <w:rFonts w:ascii="Times New Roman" w:hAnsi="Times New Roman" w:cs="Times New Roman"/>
          <w:szCs w:val="32"/>
        </w:rPr>
        <w:t>获批省级高新技术产业园区，成功举办国际新能源智能网联汽车创新生态大会。</w:t>
      </w:r>
      <w:r>
        <w:rPr>
          <w:rFonts w:ascii="Times New Roman" w:hAnsi="Times New Roman" w:cs="Times New Roman"/>
          <w:szCs w:val="32"/>
          <w:lang w:bidi="ar"/>
        </w:rPr>
        <w:t>做强做大东新科创园“科创芯”，招引落地碳材料与氢能产业技术研究院、石墨烯研究院等高能级科创平台，集聚温州大学瑞安研究生院、星矢科技孵化器、</w:t>
      </w:r>
      <w:r>
        <w:rPr>
          <w:rFonts w:ascii="Times New Roman" w:hAnsi="Times New Roman" w:cs="Times New Roman"/>
          <w:szCs w:val="32"/>
        </w:rPr>
        <w:t>华为浙南工业互联网创新中心、智能汽车关键零部件产业工程师协同创新中心</w:t>
      </w:r>
      <w:r>
        <w:rPr>
          <w:rFonts w:ascii="Times New Roman" w:hAnsi="Times New Roman" w:cs="Times New Roman"/>
          <w:szCs w:val="32"/>
          <w:lang w:bidi="ar"/>
        </w:rPr>
        <w:t>等产学研平台</w:t>
      </w:r>
      <w:r>
        <w:rPr>
          <w:rFonts w:ascii="Times New Roman" w:hAnsi="Times New Roman" w:cs="Times New Roman"/>
          <w:szCs w:val="32"/>
        </w:rPr>
        <w:t>，汽车关键零部件产业创新服务综合体获评省级绩效考核优秀。两年半以来，建成1家国家级孵化平台、6家省级孵化平台、8家市级孵化平台，累计新增孵化空间38万平方米。</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CD7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29A1847">
            <w:pPr>
              <w:pStyle w:val="9"/>
              <w:spacing w:line="400" w:lineRule="exact"/>
              <w:ind w:firstLine="0"/>
              <w:jc w:val="center"/>
              <w:rPr>
                <w:rFonts w:ascii="Times New Roman" w:hAnsi="Times New Roman" w:cs="Times New Roman"/>
                <w:b/>
                <w:bCs/>
                <w:sz w:val="28"/>
                <w:szCs w:val="28"/>
              </w:rPr>
            </w:pPr>
            <w:r>
              <w:rPr>
                <w:rFonts w:ascii="Times New Roman" w:hAnsi="Times New Roman" w:cs="Times New Roman"/>
                <w:b/>
                <w:bCs/>
                <w:sz w:val="28"/>
                <w:szCs w:val="28"/>
              </w:rPr>
              <w:t>专栏：</w:t>
            </w:r>
            <w:r>
              <w:rPr>
                <w:rFonts w:hint="eastAsia" w:ascii="Times New Roman" w:hAnsi="Times New Roman" w:cs="Times New Roman"/>
                <w:b/>
                <w:bCs/>
                <w:sz w:val="28"/>
                <w:szCs w:val="28"/>
              </w:rPr>
              <w:t>科技战略平台</w:t>
            </w:r>
            <w:r>
              <w:rPr>
                <w:rFonts w:ascii="Times New Roman" w:hAnsi="Times New Roman" w:cs="Times New Roman"/>
                <w:b/>
                <w:bCs/>
                <w:sz w:val="28"/>
                <w:szCs w:val="28"/>
              </w:rPr>
              <w:t>建设成效</w:t>
            </w:r>
          </w:p>
          <w:p w14:paraId="685DE6F7">
            <w:pPr>
              <w:spacing w:line="400" w:lineRule="exact"/>
              <w:ind w:firstLine="562" w:firstLineChars="200"/>
              <w:rPr>
                <w:rFonts w:ascii="Times New Roman" w:hAnsi="Times New Roman" w:cs="Times New Roman"/>
                <w:color w:val="000000"/>
                <w:sz w:val="28"/>
                <w:szCs w:val="28"/>
              </w:rPr>
            </w:pPr>
            <w:r>
              <w:rPr>
                <w:rFonts w:ascii="Times New Roman" w:hAnsi="Times New Roman" w:cs="Times New Roman"/>
                <w:b/>
                <w:bCs/>
                <w:color w:val="000000"/>
                <w:sz w:val="28"/>
                <w:szCs w:val="28"/>
              </w:rPr>
              <w:t>东新科创芯。</w:t>
            </w:r>
            <w:r>
              <w:rPr>
                <w:rFonts w:ascii="Times New Roman" w:hAnsi="Times New Roman" w:cs="Times New Roman"/>
                <w:color w:val="000000"/>
                <w:sz w:val="28"/>
                <w:szCs w:val="28"/>
              </w:rPr>
              <w:t>开园投用以来，以汽车零部件、智能物联产业为主导的产业占比达70%以上，引入团队及项目共计80家，常驻本科以上人才299人，创成温州市级示范孵化基地；工程师协同创新合作中心入选首批“科创中国”产学研协作类创新基地、“科创中国”试点城市（园区）系列品牌活动项目；温州大学瑞安研究生院获批浙江省研究生联合培养基地、设立浙江省博士后工作站。</w:t>
            </w:r>
          </w:p>
          <w:p w14:paraId="7C6175DD">
            <w:pPr>
              <w:spacing w:line="400" w:lineRule="exact"/>
              <w:ind w:firstLine="562" w:firstLineChars="200"/>
              <w:rPr>
                <w:rFonts w:ascii="Times New Roman" w:hAnsi="Times New Roman" w:cs="Times New Roman"/>
                <w:color w:val="000000"/>
                <w:sz w:val="28"/>
                <w:szCs w:val="28"/>
              </w:rPr>
            </w:pPr>
            <w:r>
              <w:rPr>
                <w:rFonts w:ascii="Times New Roman" w:hAnsi="Times New Roman" w:cs="Times New Roman"/>
                <w:b/>
                <w:bCs/>
                <w:color w:val="000000"/>
                <w:sz w:val="28"/>
                <w:szCs w:val="28"/>
              </w:rPr>
              <w:t>温州国家自主创新示范区“瑞安园”。</w:t>
            </w:r>
            <w:r>
              <w:rPr>
                <w:rFonts w:hint="eastAsia" w:ascii="Times New Roman" w:hAnsi="Times New Roman" w:cs="Times New Roman"/>
                <w:color w:val="000000"/>
                <w:sz w:val="28"/>
                <w:szCs w:val="28"/>
              </w:rPr>
              <w:t>2021-2022年累计新增招引落地创新型重大科技项目22个，累计新增引育领军型人才创业项目5个，新引进培育海内外高层次创新创业人才累计665个，温州重大科技创新攻关（含自创区专项）项目累计立项5项。积极推动区域开放合作共享，2021-2022年长三角、粤闽浙区域技术合同登记累计完成189个，</w:t>
            </w:r>
            <w:r>
              <w:rPr>
                <w:rFonts w:hint="eastAsia" w:ascii="Times New Roman" w:hAnsi="Times New Roman" w:cs="Times New Roman"/>
                <w:color w:val="000000"/>
                <w:sz w:val="28"/>
                <w:szCs w:val="28"/>
                <w:lang w:bidi="ar"/>
              </w:rPr>
              <w:t>高能级创新平台产学研合作（含跨区域合作）</w:t>
            </w:r>
            <w:r>
              <w:rPr>
                <w:rFonts w:hint="eastAsia" w:ascii="Times New Roman" w:hAnsi="Times New Roman" w:cs="Times New Roman"/>
                <w:color w:val="000000"/>
                <w:sz w:val="28"/>
                <w:szCs w:val="28"/>
              </w:rPr>
              <w:t>累计完成80个。</w:t>
            </w:r>
          </w:p>
          <w:p w14:paraId="5A11301C">
            <w:pPr>
              <w:spacing w:line="400" w:lineRule="exact"/>
              <w:ind w:firstLine="562" w:firstLineChars="200"/>
              <w:rPr>
                <w:rFonts w:ascii="Times New Roman" w:hAnsi="Times New Roman" w:cs="Times New Roman"/>
                <w:color w:val="000000"/>
                <w:sz w:val="28"/>
                <w:szCs w:val="28"/>
              </w:rPr>
            </w:pPr>
            <w:r>
              <w:rPr>
                <w:rFonts w:ascii="Times New Roman" w:hAnsi="Times New Roman" w:cs="Times New Roman"/>
                <w:b/>
                <w:bCs/>
                <w:color w:val="000000"/>
                <w:sz w:val="28"/>
                <w:szCs w:val="28"/>
              </w:rPr>
              <w:t>瑞安</w:t>
            </w:r>
            <w:r>
              <w:rPr>
                <w:rFonts w:hint="eastAsia" w:ascii="Times New Roman" w:hAnsi="Times New Roman" w:cs="Times New Roman"/>
                <w:b/>
                <w:bCs/>
                <w:color w:val="000000"/>
                <w:sz w:val="28"/>
                <w:szCs w:val="28"/>
              </w:rPr>
              <w:t>高新区</w:t>
            </w:r>
            <w:r>
              <w:rPr>
                <w:rFonts w:ascii="Times New Roman" w:hAnsi="Times New Roman" w:cs="Times New Roman"/>
                <w:b/>
                <w:bCs/>
                <w:color w:val="000000"/>
                <w:sz w:val="28"/>
                <w:szCs w:val="28"/>
              </w:rPr>
              <w:t>。</w:t>
            </w:r>
            <w:r>
              <w:rPr>
                <w:rFonts w:hint="eastAsia" w:ascii="Times New Roman" w:hAnsi="Times New Roman" w:cs="Times New Roman"/>
                <w:color w:val="000000"/>
                <w:sz w:val="28"/>
                <w:szCs w:val="28"/>
              </w:rPr>
              <w:t>瑞安高新区最新综合评价排名全省第9，连续两年获评全省高新区突出贡献集体荣誉，带动全市创新指数跃居全省第一梯队。</w:t>
            </w:r>
          </w:p>
          <w:p w14:paraId="620C88A9">
            <w:pPr>
              <w:spacing w:line="400" w:lineRule="exact"/>
              <w:ind w:firstLine="562" w:firstLineChars="200"/>
              <w:rPr>
                <w:rFonts w:ascii="Times New Roman" w:hAnsi="Times New Roman" w:cs="Times New Roman"/>
              </w:rPr>
            </w:pPr>
            <w:r>
              <w:rPr>
                <w:rFonts w:ascii="Times New Roman" w:hAnsi="Times New Roman" w:cs="Times New Roman"/>
                <w:b/>
                <w:bCs/>
                <w:color w:val="000000"/>
                <w:sz w:val="28"/>
                <w:szCs w:val="28"/>
              </w:rPr>
              <w:t>瑞安云江科创大会。</w:t>
            </w:r>
            <w:r>
              <w:rPr>
                <w:rFonts w:ascii="Times New Roman" w:hAnsi="Times New Roman" w:cs="Times New Roman"/>
                <w:color w:val="000000"/>
                <w:sz w:val="28"/>
                <w:szCs w:val="28"/>
              </w:rPr>
              <w:t>围绕汽车产业前沿技术、科技创新成果，先后举办2021世界青年科学家峰会瑞安云江科创大会暨长三角汽车部件产业创新论坛、2022国际新能源智能网联汽车创新生态大会、2023国际新能源智能网联汽车创新生态大会。通过永久会址落地、联合体成立、重大项目签约、云江倡议发布、院士专家演讲、技术研讨、供需对接等多种形式，全方位、多层次、宽领域为瑞安搭建“高端人才集聚、前沿技术交互”的汽车整零协同发展平台。</w:t>
            </w:r>
          </w:p>
        </w:tc>
      </w:tr>
    </w:tbl>
    <w:p w14:paraId="7D69414D">
      <w:pPr>
        <w:ind w:firstLine="643" w:firstLineChars="200"/>
        <w:rPr>
          <w:rFonts w:ascii="Times New Roman" w:hAnsi="Times New Roman" w:cs="Times New Roman"/>
          <w:bCs/>
          <w:szCs w:val="32"/>
        </w:rPr>
      </w:pPr>
      <w:r>
        <w:rPr>
          <w:rFonts w:ascii="Times New Roman" w:hAnsi="Times New Roman" w:cs="Times New Roman"/>
          <w:b/>
          <w:bCs/>
          <w:szCs w:val="32"/>
        </w:rPr>
        <w:t>科创企业森林“枝繁叶茂”。</w:t>
      </w:r>
      <w:r>
        <w:rPr>
          <w:rFonts w:ascii="Times New Roman" w:hAnsi="Times New Roman" w:cs="Times New Roman"/>
          <w:szCs w:val="32"/>
          <w:lang w:val="zh-TW"/>
        </w:rPr>
        <w:t>科技企业</w:t>
      </w:r>
      <w:r>
        <w:rPr>
          <w:rFonts w:ascii="Times New Roman" w:hAnsi="Times New Roman" w:cs="Times New Roman"/>
          <w:szCs w:val="32"/>
        </w:rPr>
        <w:t>“</w:t>
      </w:r>
      <w:r>
        <w:rPr>
          <w:rFonts w:ascii="Times New Roman" w:hAnsi="Times New Roman" w:cs="Times New Roman"/>
          <w:szCs w:val="32"/>
          <w:lang w:val="zh-TW"/>
        </w:rPr>
        <w:t>微成长、小升高、高壮大</w:t>
      </w:r>
      <w:r>
        <w:rPr>
          <w:rFonts w:ascii="Times New Roman" w:hAnsi="Times New Roman" w:cs="Times New Roman"/>
          <w:szCs w:val="32"/>
        </w:rPr>
        <w:t>”</w:t>
      </w:r>
      <w:r>
        <w:rPr>
          <w:rFonts w:ascii="Times New Roman" w:hAnsi="Times New Roman" w:cs="Times New Roman"/>
          <w:szCs w:val="32"/>
          <w:lang w:val="zh-TW"/>
        </w:rPr>
        <w:t>的梯次培育机制</w:t>
      </w:r>
      <w:r>
        <w:rPr>
          <w:rFonts w:ascii="Times New Roman" w:hAnsi="Times New Roman" w:cs="Times New Roman"/>
          <w:szCs w:val="32"/>
        </w:rPr>
        <w:t>持续完善，两年半</w:t>
      </w:r>
      <w:r>
        <w:rPr>
          <w:rFonts w:hint="eastAsia" w:ascii="Times New Roman" w:hAnsi="Times New Roman" w:cs="Times New Roman"/>
          <w:szCs w:val="32"/>
        </w:rPr>
        <w:t>以来</w:t>
      </w:r>
      <w:r>
        <w:rPr>
          <w:rFonts w:ascii="Times New Roman" w:hAnsi="Times New Roman" w:cs="Times New Roman"/>
          <w:szCs w:val="32"/>
        </w:rPr>
        <w:t>新增高新技术企业265家、达到728家，新增科技型中小企业843家、达到2502家。强力</w:t>
      </w:r>
      <w:r>
        <w:rPr>
          <w:rFonts w:ascii="Times New Roman" w:hAnsi="Times New Roman" w:cs="Times New Roman"/>
          <w:spacing w:val="-2"/>
          <w:szCs w:val="32"/>
          <w:lang w:bidi="ar"/>
        </w:rPr>
        <w:t>实施规上企业</w:t>
      </w:r>
      <w:r>
        <w:rPr>
          <w:rFonts w:ascii="Times New Roman" w:hAnsi="Times New Roman" w:cs="Times New Roman"/>
          <w:color w:val="000000"/>
          <w:spacing w:val="-2"/>
          <w:szCs w:val="32"/>
          <w:lang w:bidi="ar"/>
        </w:rPr>
        <w:t>“三清零”行动，两年半累计新增发明专利授权数</w:t>
      </w:r>
      <w:r>
        <w:rPr>
          <w:rFonts w:ascii="Times New Roman" w:hAnsi="Times New Roman" w:cs="Times New Roman"/>
          <w:szCs w:val="32"/>
          <w:lang w:bidi="ar"/>
        </w:rPr>
        <w:t>395</w:t>
      </w:r>
      <w:r>
        <w:rPr>
          <w:rFonts w:ascii="Times New Roman" w:hAnsi="Times New Roman" w:cs="Times New Roman"/>
          <w:color w:val="000000"/>
          <w:spacing w:val="-2"/>
          <w:szCs w:val="32"/>
          <w:lang w:bidi="ar"/>
        </w:rPr>
        <w:t>件，新增省级企业研究院1家、省级高新技术企业研发中心18家、温州市企业技术研发中心108家。技术攻关成果迭出，两年半以来，新增列入省“尖兵领雁”计划项目4项、</w:t>
      </w:r>
      <w:r>
        <w:rPr>
          <w:rFonts w:ascii="Times New Roman" w:hAnsi="Times New Roman" w:cs="Times New Roman"/>
          <w:bCs/>
          <w:szCs w:val="32"/>
        </w:rPr>
        <w:t>市“卡脖子”项目5项，成果获省科技进步奖7项。创新推出瑞安特色产学研合作项目，举办汽车关键零部件企业与工程师“一对一”结对集中签约仪式。</w:t>
      </w:r>
    </w:p>
    <w:p w14:paraId="5FA023D1">
      <w:pPr>
        <w:ind w:firstLine="643" w:firstLineChars="200"/>
        <w:rPr>
          <w:rFonts w:ascii="Times New Roman" w:hAnsi="Times New Roman" w:cs="Times New Roman"/>
          <w:color w:val="FF0000"/>
          <w:szCs w:val="32"/>
        </w:rPr>
      </w:pPr>
      <w:r>
        <w:rPr>
          <w:rFonts w:ascii="Times New Roman" w:hAnsi="Times New Roman" w:cs="Times New Roman"/>
          <w:b/>
          <w:bCs/>
          <w:szCs w:val="32"/>
        </w:rPr>
        <w:t>创新创业生态“迭代升级”。</w:t>
      </w:r>
      <w:r>
        <w:rPr>
          <w:rFonts w:ascii="Times New Roman" w:hAnsi="Times New Roman" w:cs="Times New Roman"/>
          <w:szCs w:val="32"/>
        </w:rPr>
        <w:t>成果转化加速落地，两年半以来，列入省级网上技术市场产业化项目3项、推动发明专利产业化项目立项97项，累计实现技术交易额120亿元。技术交易体系加快建设，引进共建浙江省农业科学院成果转化中心、浙工大技术转移中心、上海电机学院技术转移中心、大连工业大学技术转移中心等，“市县网上技术市场创新赋能”项目列入“中国浙江网上技术市场3.0”应用建设试点。科技金融深化赋能，成立温州首个科技金融联盟，设立云江基金港、天使投资基金，牵头实施县级城市第一单市场资产证券化ABS项目。推出企业研发后补助资金管理办法、“卡脖子”技术攻关“揭榜挂帅”项目评估立项和验收方案、企业创新指数评价方案等一揽子科技新政。</w:t>
      </w:r>
    </w:p>
    <w:p w14:paraId="3697B88D">
      <w:pPr>
        <w:ind w:firstLine="643" w:firstLineChars="200"/>
        <w:rPr>
          <w:rFonts w:ascii="Times New Roman" w:hAnsi="Times New Roman" w:cs="Times New Roman"/>
          <w:szCs w:val="32"/>
        </w:rPr>
      </w:pPr>
      <w:r>
        <w:rPr>
          <w:rFonts w:ascii="Times New Roman" w:hAnsi="Times New Roman" w:cs="Times New Roman"/>
          <w:b/>
          <w:bCs/>
          <w:szCs w:val="32"/>
        </w:rPr>
        <w:t>高素质人才新高地“近悦远来”。</w:t>
      </w:r>
      <w:r>
        <w:rPr>
          <w:rFonts w:ascii="Times New Roman" w:hAnsi="Times New Roman" w:cs="Times New Roman"/>
          <w:szCs w:val="32"/>
        </w:rPr>
        <w:t>迭代升级人才新政3.0版，创新推出“全民引才”“全球精英”等政策举措，率全省之先实施“菁英人才”公荐计划。高素质人才队伍持续壮大，两年半新引进院士3名，入选国家、省级“引才计划”15人、温州市“瓯越英才计划”32人，培育温州市高水平创新团队2支、领创项目3个，累计培育技能人才2.25万人、其中高技能人才11250人，全市人才资源总量达到31万人、连续四年居温州第一。推行“新八级工制”试点工作，两年新增技能等级认定试点企业50家。实施人才住房“369”工程，建设筹集人才住房6640套，两年半成功认购配售人才房154套。建成浙江温州人力资源服务产业园，获评全省人力资源服务业高质量发展工作成绩突出集体、全省2022年度考核“优秀”等荣誉。</w:t>
      </w:r>
    </w:p>
    <w:p w14:paraId="72ABD5C5">
      <w:pPr>
        <w:pStyle w:val="9"/>
        <w:spacing w:line="600" w:lineRule="exact"/>
        <w:outlineLvl w:val="1"/>
        <w:rPr>
          <w:rFonts w:ascii="Times New Roman" w:hAnsi="Times New Roman" w:cs="Times New Roman"/>
          <w:b/>
          <w:bCs/>
        </w:rPr>
      </w:pPr>
      <w:bookmarkStart w:id="14" w:name="_Toc26814"/>
      <w:bookmarkStart w:id="15" w:name="_Toc15086"/>
      <w:r>
        <w:rPr>
          <w:rFonts w:hint="eastAsia" w:ascii="Times New Roman" w:hAnsi="Times New Roman" w:cs="Times New Roman"/>
          <w:b/>
          <w:bCs/>
        </w:rPr>
        <w:t>（三）</w:t>
      </w:r>
      <w:r>
        <w:rPr>
          <w:rFonts w:ascii="Times New Roman" w:hAnsi="Times New Roman" w:cs="Times New Roman"/>
          <w:b/>
          <w:bCs/>
        </w:rPr>
        <w:t>现代化产业体系动能强劲</w:t>
      </w:r>
      <w:bookmarkEnd w:id="14"/>
      <w:bookmarkEnd w:id="15"/>
    </w:p>
    <w:p w14:paraId="535AECC6">
      <w:pPr>
        <w:pStyle w:val="9"/>
        <w:spacing w:line="600" w:lineRule="exact"/>
        <w:rPr>
          <w:rFonts w:ascii="Times New Roman" w:hAnsi="Times New Roman" w:cs="Times New Roman"/>
          <w:bCs/>
          <w:kern w:val="2"/>
          <w:lang w:bidi="ar"/>
        </w:rPr>
      </w:pPr>
      <w:r>
        <w:rPr>
          <w:rFonts w:ascii="Times New Roman" w:hAnsi="Times New Roman" w:cs="Times New Roman"/>
          <w:bCs/>
          <w:kern w:val="2"/>
          <w:lang w:bidi="ar"/>
        </w:rPr>
        <w:t>围绕“十四五”规划纲要提出的“壮大产业现代化发展新动能”规划目标，深化产业链“链长制”“先进制造、战新崛起”五大行动，</w:t>
      </w:r>
      <w:r>
        <w:rPr>
          <w:rFonts w:hint="eastAsia" w:ascii="Times New Roman" w:hAnsi="Times New Roman" w:cs="Times New Roman"/>
          <w:bCs/>
          <w:kern w:val="2"/>
          <w:lang w:bidi="ar"/>
        </w:rPr>
        <w:t>现代</w:t>
      </w:r>
      <w:r>
        <w:rPr>
          <w:rFonts w:ascii="Times New Roman" w:hAnsi="Times New Roman" w:cs="Times New Roman"/>
          <w:bCs/>
          <w:kern w:val="2"/>
          <w:lang w:bidi="ar"/>
        </w:rPr>
        <w:t>服务业</w:t>
      </w:r>
      <w:r>
        <w:rPr>
          <w:rFonts w:hint="eastAsia" w:ascii="Times New Roman" w:hAnsi="Times New Roman" w:cs="Times New Roman"/>
          <w:bCs/>
          <w:kern w:val="2"/>
          <w:lang w:bidi="ar"/>
        </w:rPr>
        <w:t>持续</w:t>
      </w:r>
      <w:r>
        <w:rPr>
          <w:rFonts w:ascii="Times New Roman" w:hAnsi="Times New Roman" w:cs="Times New Roman"/>
          <w:bCs/>
          <w:kern w:val="2"/>
          <w:lang w:bidi="ar"/>
        </w:rPr>
        <w:t>向数字化、品质化、人文化、国际化发展，</w:t>
      </w:r>
      <w:r>
        <w:rPr>
          <w:rFonts w:hint="eastAsia" w:ascii="Times New Roman" w:hAnsi="Times New Roman" w:cs="Times New Roman"/>
          <w:b/>
          <w:kern w:val="2"/>
          <w:lang w:bidi="ar"/>
        </w:rPr>
        <w:t>规上工业产值突破千亿大关，省制造业高质量发展示范创建培育考核评价进入全省前10</w:t>
      </w:r>
      <w:r>
        <w:rPr>
          <w:rFonts w:ascii="Times New Roman" w:hAnsi="Times New Roman" w:cs="Times New Roman"/>
          <w:b/>
          <w:kern w:val="2"/>
          <w:lang w:bidi="ar"/>
        </w:rPr>
        <w:t>，</w:t>
      </w:r>
      <w:r>
        <w:rPr>
          <w:rFonts w:hint="eastAsia" w:ascii="Times New Roman" w:hAnsi="Times New Roman" w:cs="Times New Roman"/>
          <w:b/>
          <w:kern w:val="2"/>
          <w:lang w:bidi="ar"/>
        </w:rPr>
        <w:t>跃居</w:t>
      </w:r>
      <w:r>
        <w:rPr>
          <w:rFonts w:ascii="Times New Roman" w:hAnsi="Times New Roman" w:cs="Times New Roman"/>
          <w:b/>
          <w:kern w:val="2"/>
          <w:lang w:bidi="ar"/>
        </w:rPr>
        <w:t>全国工业百强县（市）第36位</w:t>
      </w:r>
      <w:r>
        <w:rPr>
          <w:rFonts w:hint="eastAsia" w:ascii="Times New Roman" w:hAnsi="Times New Roman" w:cs="Times New Roman"/>
          <w:bCs/>
          <w:kern w:val="2"/>
          <w:lang w:bidi="ar"/>
        </w:rPr>
        <w:t>。</w:t>
      </w:r>
    </w:p>
    <w:p w14:paraId="385078FA">
      <w:pPr>
        <w:pStyle w:val="9"/>
        <w:spacing w:line="600" w:lineRule="exact"/>
        <w:rPr>
          <w:rFonts w:ascii="Times New Roman" w:hAnsi="Times New Roman" w:cs="Times New Roman"/>
          <w:kern w:val="2"/>
        </w:rPr>
      </w:pPr>
      <w:r>
        <w:rPr>
          <w:rFonts w:ascii="Times New Roman" w:hAnsi="Times New Roman" w:cs="Times New Roman"/>
          <w:b/>
          <w:bCs/>
        </w:rPr>
        <w:t>数字经济融合工程走深走实。</w:t>
      </w:r>
      <w:r>
        <w:rPr>
          <w:rFonts w:ascii="Times New Roman" w:hAnsi="Times New Roman" w:cs="Times New Roman"/>
          <w:kern w:val="2"/>
        </w:rPr>
        <w:t>智能化改造数字化转型全面加速，两年半</w:t>
      </w:r>
      <w:r>
        <w:rPr>
          <w:rFonts w:hint="eastAsia" w:ascii="Times New Roman" w:hAnsi="Times New Roman" w:cs="Times New Roman"/>
          <w:kern w:val="2"/>
        </w:rPr>
        <w:t>以来</w:t>
      </w:r>
      <w:r>
        <w:rPr>
          <w:rFonts w:ascii="Times New Roman" w:hAnsi="Times New Roman" w:cs="Times New Roman"/>
          <w:kern w:val="2"/>
        </w:rPr>
        <w:t>，累计新增工业机器人1104台、智能化技改项目734个、上云企业43家，列入省未来工厂</w:t>
      </w:r>
      <w:r>
        <w:rPr>
          <w:rFonts w:ascii="Times New Roman" w:hAnsi="Times New Roman" w:cs="Times New Roman"/>
          <w:kern w:val="2"/>
          <w:lang w:val="en"/>
        </w:rPr>
        <w:t>1</w:t>
      </w:r>
      <w:r>
        <w:rPr>
          <w:rFonts w:ascii="Times New Roman" w:hAnsi="Times New Roman" w:cs="Times New Roman"/>
          <w:kern w:val="2"/>
        </w:rPr>
        <w:t>个、省智能工厂（数字化车间）</w:t>
      </w:r>
      <w:r>
        <w:rPr>
          <w:rFonts w:ascii="Times New Roman" w:hAnsi="Times New Roman" w:cs="Times New Roman"/>
          <w:kern w:val="2"/>
          <w:lang w:val="en"/>
        </w:rPr>
        <w:t>9</w:t>
      </w:r>
      <w:r>
        <w:rPr>
          <w:rFonts w:ascii="Times New Roman" w:hAnsi="Times New Roman" w:cs="Times New Roman"/>
          <w:kern w:val="2"/>
        </w:rPr>
        <w:t>家，通过浙江省国家两化深度融合示范区验收，入选省汽车零部件中小企业数字化改造试点、全省中小企业数字化改造财政专项激励、汽车及零部件省级新智造产业集群试点。2022年两化融合发展总指数为112.34，创历史新高。深入实施“数字经济三年翻番、五年三倍增”计划，两年半集聚省级工业互联网平台2个、</w:t>
      </w:r>
      <w:r>
        <w:rPr>
          <w:rFonts w:hint="eastAsia" w:ascii="Times New Roman" w:hAnsi="Times New Roman" w:cs="Times New Roman"/>
          <w:kern w:val="2"/>
        </w:rPr>
        <w:t>数字经济企业88</w:t>
      </w:r>
      <w:r>
        <w:rPr>
          <w:rFonts w:ascii="Times New Roman" w:hAnsi="Times New Roman" w:cs="Times New Roman"/>
          <w:kern w:val="2"/>
        </w:rPr>
        <w:t>家。大力开展“5G+”十百千行动，推广华峰、瑞立、嘉利特、瑞明等“5G+制造”典型应用场景。两年半</w:t>
      </w:r>
      <w:r>
        <w:rPr>
          <w:rFonts w:hint="eastAsia" w:ascii="Times New Roman" w:hAnsi="Times New Roman" w:cs="Times New Roman"/>
          <w:kern w:val="2"/>
        </w:rPr>
        <w:t>以来</w:t>
      </w:r>
      <w:r>
        <w:rPr>
          <w:rFonts w:ascii="Times New Roman" w:hAnsi="Times New Roman" w:cs="Times New Roman"/>
          <w:kern w:val="2"/>
        </w:rPr>
        <w:t>，新建5G铁塔基站251个、改造5G基站1121个。</w:t>
      </w:r>
    </w:p>
    <w:p w14:paraId="5B080FC9">
      <w:pPr>
        <w:ind w:firstLine="643" w:firstLineChars="200"/>
        <w:rPr>
          <w:rFonts w:ascii="Times New Roman" w:hAnsi="Times New Roman" w:cs="Times New Roman"/>
        </w:rPr>
      </w:pPr>
      <w:r>
        <w:rPr>
          <w:rFonts w:ascii="Times New Roman" w:hAnsi="Times New Roman" w:cs="Times New Roman"/>
          <w:b/>
          <w:bCs/>
        </w:rPr>
        <w:t>先进制造业</w:t>
      </w:r>
      <w:r>
        <w:rPr>
          <w:rFonts w:ascii="Times New Roman" w:hAnsi="Times New Roman" w:cs="Times New Roman"/>
        </w:rPr>
        <w:fldChar w:fldCharType="begin"/>
      </w:r>
      <w:r>
        <w:rPr>
          <w:rFonts w:ascii="Times New Roman" w:hAnsi="Times New Roman" w:cs="Times New Roman"/>
        </w:rPr>
        <w:instrText xml:space="preserve"> HYPERLINK "http://www.baidu.com/link?url=PmFcFwH7WCwoW0qvtqOMWRdyeQfHQfMpxazV1pU3pPqGJ01B2MTlJQaeJqYXVRQX4rKP4aMfqWNXjmlQ3jOVzaqV6u7UwJjtaQK6qVLg7mR18-3U5q_PQGZnC_awRKvRFPZ-NzuIz11_irUagkk99cBmym57jEEjLuH7tTHE1iC" \t "https://www.baidu.com/_blank" </w:instrText>
      </w:r>
      <w:r>
        <w:rPr>
          <w:rFonts w:ascii="Times New Roman" w:hAnsi="Times New Roman" w:cs="Times New Roman"/>
        </w:rPr>
        <w:fldChar w:fldCharType="separate"/>
      </w:r>
      <w:r>
        <w:rPr>
          <w:rFonts w:ascii="Times New Roman" w:hAnsi="Times New Roman" w:cs="Times New Roman"/>
          <w:b/>
          <w:bCs/>
        </w:rPr>
        <w:t>加速聚链成群。</w:t>
      </w:r>
      <w:r>
        <w:rPr>
          <w:rFonts w:ascii="Times New Roman" w:hAnsi="Times New Roman" w:cs="Times New Roman"/>
        </w:rPr>
        <w:t>节能与新能源汽车及零部件产业集群、精细化工产业集群入选“浙江制造”省级特色产业集群协同区创建对象。制定出台九大重点产业链链长制工作方案，成立瑞安市产业链链长制“总链办”。深化企业培育梯度，两年半新增国家单项冠军企业1家、专精特新“小巨人”企业</w:t>
      </w:r>
      <w:r>
        <w:rPr>
          <w:rFonts w:ascii="Times New Roman" w:hAnsi="Times New Roman" w:cs="Times New Roman"/>
          <w:lang w:val="en"/>
        </w:rPr>
        <w:t>18</w:t>
      </w:r>
      <w:r>
        <w:rPr>
          <w:rFonts w:ascii="Times New Roman" w:hAnsi="Times New Roman" w:cs="Times New Roman"/>
        </w:rPr>
        <w:t>家、专精特新重点“小巨人”企业</w:t>
      </w:r>
      <w:r>
        <w:rPr>
          <w:rFonts w:ascii="Times New Roman" w:hAnsi="Times New Roman" w:cs="Times New Roman"/>
          <w:lang w:val="en"/>
        </w:rPr>
        <w:t>5</w:t>
      </w:r>
      <w:r>
        <w:rPr>
          <w:rFonts w:ascii="Times New Roman" w:hAnsi="Times New Roman" w:cs="Times New Roman"/>
        </w:rPr>
        <w:t>家，新增省级隐形冠军企业</w:t>
      </w:r>
      <w:r>
        <w:rPr>
          <w:rFonts w:ascii="Times New Roman" w:hAnsi="Times New Roman" w:cs="Times New Roman"/>
          <w:lang w:val="en"/>
        </w:rPr>
        <w:t>2</w:t>
      </w:r>
      <w:r>
        <w:rPr>
          <w:rFonts w:ascii="Times New Roman" w:hAnsi="Times New Roman" w:cs="Times New Roman"/>
        </w:rPr>
        <w:t>家、专精特新中小企业</w:t>
      </w:r>
      <w:r>
        <w:rPr>
          <w:rFonts w:ascii="Times New Roman" w:hAnsi="Times New Roman" w:cs="Times New Roman"/>
          <w:lang w:val="en"/>
        </w:rPr>
        <w:t>132</w:t>
      </w:r>
      <w:r>
        <w:rPr>
          <w:rFonts w:ascii="Times New Roman" w:hAnsi="Times New Roman" w:cs="Times New Roman"/>
        </w:rPr>
        <w:t>家，新增上市企业3家、报会1家。质量品牌建设稳步推进，两年半新增“品字标”品牌认证102个，引导企业主导或参与国家和行业标准制订49项、主导制订“浙江制造”团体标准21项。</w:t>
      </w:r>
    </w:p>
    <w:p w14:paraId="1D952AFC">
      <w:pPr>
        <w:pStyle w:val="9"/>
        <w:ind w:firstLine="0"/>
        <w:rPr>
          <w:rFonts w:ascii="Times New Roman" w:hAnsi="Times New Roman" w:cs="Times New Roman"/>
          <w:kern w:val="2"/>
        </w:rPr>
      </w:pP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b/>
          <w:bCs/>
          <w:kern w:val="2"/>
        </w:rPr>
        <w:t>现代服务业加快转型突破。</w:t>
      </w:r>
      <w:r>
        <w:rPr>
          <w:rFonts w:ascii="Times New Roman" w:hAnsi="Times New Roman" w:cs="Times New Roman"/>
          <w:kern w:val="2"/>
        </w:rPr>
        <w:t>在全省服务业高质量发展“百千万”工程动员部署会作县级代表交流发言，侨贸物流创新发展区、数贸金融港创新发展获批省现代服务业创新发展区，出台《进一步加快现代服务业高质量发展的若干政策意见》《服务业“2+X”产业链链长制实施方案》，</w:t>
      </w:r>
      <w:r>
        <w:rPr>
          <w:rFonts w:ascii="Times New Roman" w:hAnsi="Times New Roman" w:cs="Times New Roman"/>
        </w:rPr>
        <w:t>2022年服务业增加值626.07亿元、占全市GDP比重提升至52.26%</w:t>
      </w:r>
      <w:r>
        <w:rPr>
          <w:rFonts w:ascii="Times New Roman" w:hAnsi="Times New Roman" w:cs="Times New Roman"/>
          <w:kern w:val="2"/>
        </w:rPr>
        <w:t>。生产性服务业“强翼行动”全面开展，入选省级现代服务业与先进制造业深度融合试点、省级物流枢纽经济发展创新试点</w:t>
      </w:r>
      <w:r>
        <w:rPr>
          <w:rFonts w:ascii="Times New Roman" w:hAnsi="Times New Roman" w:cs="Times New Roman"/>
        </w:rPr>
        <w:t>。</w:t>
      </w:r>
      <w:r>
        <w:rPr>
          <w:rFonts w:ascii="Times New Roman" w:hAnsi="Times New Roman" w:cs="Times New Roman"/>
          <w:kern w:val="2"/>
        </w:rPr>
        <w:t>生活性服务业品质化发展，网络约车、远程教育、在线医疗、电子商务等与数字技术深度融合的新业态快速发展，安阳、玉海、滨海、塘下、江南五大商圈</w:t>
      </w:r>
      <w:r>
        <w:rPr>
          <w:rFonts w:ascii="Times New Roman" w:hAnsi="Times New Roman" w:cs="Times New Roman"/>
        </w:rPr>
        <w:t>加快建设，</w:t>
      </w:r>
      <w:r>
        <w:rPr>
          <w:rFonts w:ascii="Times New Roman" w:hAnsi="Times New Roman" w:cs="Times New Roman"/>
          <w:kern w:val="2"/>
        </w:rPr>
        <w:t>入选省数字生活新服务样板县</w:t>
      </w:r>
      <w:r>
        <w:rPr>
          <w:rFonts w:ascii="Times New Roman" w:hAnsi="Times New Roman" w:cs="Times New Roman"/>
        </w:rPr>
        <w:t>。</w:t>
      </w:r>
    </w:p>
    <w:p w14:paraId="033A1C01">
      <w:pPr>
        <w:pStyle w:val="9"/>
        <w:rPr>
          <w:rFonts w:ascii="Times New Roman" w:hAnsi="Times New Roman" w:cs="Times New Roman"/>
        </w:rPr>
      </w:pPr>
      <w:r>
        <w:rPr>
          <w:rFonts w:ascii="Times New Roman" w:hAnsi="Times New Roman" w:cs="Times New Roman"/>
          <w:b/>
          <w:bCs/>
        </w:rPr>
        <w:t>产业平台体系建设成效显著。</w:t>
      </w:r>
      <w:r>
        <w:rPr>
          <w:rFonts w:ascii="Times New Roman" w:hAnsi="Times New Roman" w:cs="Times New Roman"/>
        </w:rPr>
        <w:t>瑞安经济开发区综合实力持续提升，列入浙江省制造业星级园区（四星级）名单，获评“省数字化示范园区”称号，2022年整合提升后区域总面积调整为101.12平方公里，实现规上工业总产值1022.11亿元。塘下新区着力打造“一心两轴三城两园”发展格局，两年半完成固定资产投资223.6亿元，两年规上工业产值年均增速达16.5%。智能汽车关键零部件“万亩千亿”平台排名跻身全省前六，两年半累计共引进落地亿元以上项目7个、其中省重大项目5个，2022年实现工业总产值217亿元、主导产业集聚度达95%。特色小镇建设成果丰硕，</w:t>
      </w:r>
      <w:r>
        <w:rPr>
          <w:rFonts w:hint="eastAsia" w:ascii="Times New Roman" w:hAnsi="Times New Roman" w:cs="Times New Roman"/>
        </w:rPr>
        <w:t>智控装备小镇、汽车智配小镇获2021年度省级特色小镇年度考核优秀，数量居温州各县(市、区)首位</w:t>
      </w:r>
      <w:r>
        <w:rPr>
          <w:rFonts w:ascii="Times New Roman" w:hAnsi="Times New Roman" w:cs="Times New Roman"/>
        </w:rPr>
        <w:t>。小微园加快提档升级，获省财政专项激励考评优秀，两年半累计新开工小微园</w:t>
      </w:r>
      <w:r>
        <w:rPr>
          <w:rFonts w:ascii="Times New Roman" w:hAnsi="Times New Roman" w:cs="Times New Roman"/>
          <w:kern w:val="2"/>
        </w:rPr>
        <w:t>7</w:t>
      </w:r>
      <w:r>
        <w:rPr>
          <w:rFonts w:ascii="Times New Roman" w:hAnsi="Times New Roman" w:cs="Times New Roman"/>
        </w:rPr>
        <w:t>个、竣工</w:t>
      </w:r>
      <w:r>
        <w:rPr>
          <w:rFonts w:ascii="Times New Roman" w:hAnsi="Times New Roman" w:cs="Times New Roman"/>
          <w:kern w:val="2"/>
        </w:rPr>
        <w:t>8</w:t>
      </w:r>
      <w:r>
        <w:rPr>
          <w:rFonts w:ascii="Times New Roman" w:hAnsi="Times New Roman" w:cs="Times New Roman"/>
        </w:rPr>
        <w:t>个，建成四星级小微园2个、五星级小微园1个。老旧工业区改造步伐加快，两年半</w:t>
      </w:r>
      <w:r>
        <w:rPr>
          <w:rFonts w:hint="eastAsia" w:ascii="Times New Roman" w:hAnsi="Times New Roman" w:cs="Times New Roman"/>
        </w:rPr>
        <w:t>累计</w:t>
      </w:r>
      <w:r>
        <w:rPr>
          <w:rFonts w:ascii="Times New Roman" w:hAnsi="Times New Roman" w:cs="Times New Roman"/>
        </w:rPr>
        <w:t>实施老旧工业区改造</w:t>
      </w:r>
      <w:r>
        <w:rPr>
          <w:rFonts w:ascii="Times New Roman" w:hAnsi="Times New Roman" w:cs="Times New Roman"/>
          <w:kern w:val="2"/>
        </w:rPr>
        <w:t>54</w:t>
      </w:r>
      <w:r>
        <w:rPr>
          <w:rFonts w:ascii="Times New Roman" w:hAnsi="Times New Roman" w:cs="Times New Roman"/>
        </w:rPr>
        <w:t>个，完成低效整治企业</w:t>
      </w:r>
      <w:r>
        <w:rPr>
          <w:rFonts w:ascii="Times New Roman" w:hAnsi="Times New Roman" w:cs="Times New Roman"/>
          <w:kern w:val="2"/>
        </w:rPr>
        <w:t>424</w:t>
      </w:r>
      <w:r>
        <w:rPr>
          <w:rFonts w:ascii="Times New Roman" w:hAnsi="Times New Roman" w:cs="Times New Roman"/>
        </w:rPr>
        <w:t>家、面积</w:t>
      </w:r>
      <w:r>
        <w:rPr>
          <w:rFonts w:ascii="Times New Roman" w:hAnsi="Times New Roman" w:cs="Times New Roman"/>
          <w:kern w:val="2"/>
        </w:rPr>
        <w:t>6221.1</w:t>
      </w:r>
      <w:r>
        <w:rPr>
          <w:rFonts w:ascii="Times New Roman" w:hAnsi="Times New Roman" w:cs="Times New Roman"/>
        </w:rPr>
        <w:t>亩。</w:t>
      </w:r>
    </w:p>
    <w:p w14:paraId="7DA50F04">
      <w:pPr>
        <w:pStyle w:val="10"/>
        <w:ind w:left="0" w:leftChars="0" w:firstLine="643" w:firstLineChars="200"/>
        <w:outlineLvl w:val="1"/>
        <w:rPr>
          <w:rFonts w:ascii="Times New Roman" w:hAnsi="Times New Roman" w:cs="Times New Roman"/>
          <w:b/>
          <w:bCs/>
          <w:kern w:val="0"/>
          <w:szCs w:val="32"/>
        </w:rPr>
      </w:pPr>
      <w:bookmarkStart w:id="16" w:name="_Toc11475"/>
      <w:bookmarkStart w:id="17" w:name="_Toc6067"/>
      <w:bookmarkStart w:id="18" w:name="_Toc11701"/>
      <w:r>
        <w:rPr>
          <w:rFonts w:hint="eastAsia" w:ascii="Times New Roman" w:hAnsi="Times New Roman" w:cs="Times New Roman"/>
          <w:b/>
          <w:bCs/>
          <w:szCs w:val="32"/>
        </w:rPr>
        <w:t>（四）</w:t>
      </w:r>
      <w:r>
        <w:rPr>
          <w:rFonts w:ascii="Times New Roman" w:hAnsi="Times New Roman" w:cs="Times New Roman"/>
          <w:b/>
          <w:bCs/>
          <w:kern w:val="0"/>
          <w:szCs w:val="32"/>
        </w:rPr>
        <w:t>乡村振兴建设全域推进</w:t>
      </w:r>
      <w:bookmarkEnd w:id="16"/>
      <w:bookmarkEnd w:id="17"/>
    </w:p>
    <w:p w14:paraId="2FC2F6C9">
      <w:pPr>
        <w:pStyle w:val="9"/>
        <w:spacing w:line="600" w:lineRule="exact"/>
        <w:ind w:firstLine="640" w:firstLineChars="200"/>
        <w:rPr>
          <w:rFonts w:ascii="Times New Roman" w:hAnsi="Times New Roman" w:cs="Times New Roman"/>
          <w:bCs/>
          <w:kern w:val="2"/>
          <w:lang w:bidi="ar"/>
        </w:rPr>
      </w:pPr>
      <w:r>
        <w:rPr>
          <w:rFonts w:ascii="Times New Roman" w:hAnsi="Times New Roman" w:cs="Times New Roman"/>
          <w:bCs/>
          <w:kern w:val="2"/>
          <w:lang w:bidi="ar"/>
        </w:rPr>
        <w:t>围绕“十四五”规划纲要提出的“塑造乡村振兴发展新形象”规划目标，把握城乡发展格局发生重要变化的机遇，</w:t>
      </w:r>
      <w:r>
        <w:rPr>
          <w:rFonts w:hint="eastAsia" w:ascii="Times New Roman" w:hAnsi="Times New Roman" w:cs="Times New Roman"/>
          <w:bCs/>
          <w:kern w:val="2"/>
          <w:lang w:bidi="ar"/>
        </w:rPr>
        <w:t>全力推进</w:t>
      </w:r>
      <w:r>
        <w:rPr>
          <w:rFonts w:ascii="Times New Roman" w:hAnsi="Times New Roman" w:cs="Times New Roman"/>
          <w:bCs/>
          <w:kern w:val="2"/>
          <w:lang w:bidi="ar"/>
        </w:rPr>
        <w:t>农业增效、农民增收、农村增美</w:t>
      </w:r>
      <w:r>
        <w:rPr>
          <w:rFonts w:hint="eastAsia" w:ascii="Times New Roman" w:hAnsi="Times New Roman" w:cs="Times New Roman"/>
          <w:bCs/>
          <w:kern w:val="2"/>
          <w:lang w:bidi="ar"/>
        </w:rPr>
        <w:t>，</w:t>
      </w:r>
      <w:r>
        <w:rPr>
          <w:rFonts w:ascii="Times New Roman" w:hAnsi="Times New Roman" w:cs="Times New Roman"/>
          <w:b/>
          <w:bCs/>
        </w:rPr>
        <w:t>乡村振兴获省政府督查激励</w:t>
      </w:r>
      <w:r>
        <w:rPr>
          <w:rFonts w:hint="eastAsia" w:ascii="Times New Roman" w:hAnsi="Times New Roman" w:cs="Times New Roman"/>
          <w:b/>
          <w:bCs/>
        </w:rPr>
        <w:t>，</w:t>
      </w:r>
      <w:r>
        <w:rPr>
          <w:rFonts w:ascii="Times New Roman" w:hAnsi="Times New Roman" w:cs="Times New Roman"/>
          <w:b/>
          <w:bCs/>
          <w:kern w:val="2"/>
          <w:lang w:bidi="ar"/>
        </w:rPr>
        <w:t>创成省新时代美丽乡村示范市</w:t>
      </w:r>
      <w:r>
        <w:rPr>
          <w:rFonts w:hint="eastAsia" w:ascii="Times New Roman" w:hAnsi="Times New Roman" w:cs="Times New Roman"/>
          <w:b/>
          <w:bCs/>
          <w:kern w:val="2"/>
          <w:lang w:bidi="ar"/>
        </w:rPr>
        <w:t>，农村“三位一体”改革获省改革突破奖铜奖，</w:t>
      </w:r>
      <w:r>
        <w:rPr>
          <w:rFonts w:ascii="Times New Roman" w:hAnsi="Times New Roman" w:cs="Times New Roman"/>
          <w:b/>
          <w:bCs/>
        </w:rPr>
        <w:t>新型城镇化质量排名居全国百强县市第16位</w:t>
      </w:r>
      <w:r>
        <w:rPr>
          <w:rFonts w:hint="eastAsia" w:ascii="Times New Roman" w:hAnsi="Times New Roman" w:cs="Times New Roman"/>
          <w:bCs/>
          <w:kern w:val="2"/>
          <w:lang w:bidi="ar"/>
        </w:rPr>
        <w:t>。</w:t>
      </w:r>
    </w:p>
    <w:p w14:paraId="7E3BD9D4">
      <w:pPr>
        <w:pStyle w:val="10"/>
        <w:ind w:left="0" w:leftChars="0" w:firstLine="643" w:firstLineChars="200"/>
        <w:rPr>
          <w:rFonts w:ascii="Times New Roman" w:hAnsi="Times New Roman" w:cs="Times New Roman"/>
        </w:rPr>
      </w:pPr>
      <w:r>
        <w:rPr>
          <w:rFonts w:ascii="Times New Roman" w:hAnsi="Times New Roman" w:cs="Times New Roman"/>
          <w:b/>
          <w:bCs/>
        </w:rPr>
        <w:t>现代乡村产业体系加快构建。</w:t>
      </w:r>
      <w:r>
        <w:rPr>
          <w:rFonts w:hint="eastAsia" w:ascii="Times New Roman" w:hAnsi="Times New Roman" w:cs="Times New Roman"/>
        </w:rPr>
        <w:t>两年半</w:t>
      </w:r>
      <w:r>
        <w:rPr>
          <w:rFonts w:ascii="Times New Roman" w:hAnsi="Times New Roman" w:cs="Times New Roman"/>
        </w:rPr>
        <w:t>，创成国家现代农业产业园1家、国家现代农业特色强镇1家，连续多年入选全国唯一丁香鱼专项捕捞试点单位，北麂岛海洋牧场入选国家级海洋牧场示范区</w:t>
      </w:r>
      <w:r>
        <w:rPr>
          <w:rFonts w:hint="eastAsia" w:ascii="Times New Roman" w:hAnsi="Times New Roman" w:cs="Times New Roman"/>
        </w:rPr>
        <w:t>，</w:t>
      </w:r>
      <w:r>
        <w:rPr>
          <w:rFonts w:ascii="Times New Roman" w:hAnsi="Times New Roman" w:cs="Times New Roman"/>
        </w:rPr>
        <w:t>2022年粮食生产综合贡献率居温州第一。深化农业“双强”行动，获评省综合性农业“机器换人”高质量发展先行县，“数字畜牧”“数字农机”入选省农业农村厅第一批多跨应用场景先行先试项目。优势农业资源加快集聚，引进亚太中商集团等龙头企业，两年半创成国家级示范合作社2家、省级示范合作社4家，培训合作社负责人、家庭农场负责人、乡村振兴带头人、专职干部等2563人次。打造区域公用品牌“云江丰味”，两年半确定授权单位50家，新增绿色食品4个、地理标志1个、全国名特优新农产品名录2个。</w:t>
      </w:r>
    </w:p>
    <w:p w14:paraId="1D6C8CFD">
      <w:pPr>
        <w:pStyle w:val="10"/>
        <w:ind w:left="0" w:leftChars="0" w:firstLine="643" w:firstLineChars="200"/>
        <w:rPr>
          <w:rFonts w:ascii="Times New Roman" w:hAnsi="Times New Roman" w:cs="Times New Roman"/>
        </w:rPr>
      </w:pPr>
      <w:r>
        <w:rPr>
          <w:rFonts w:ascii="Times New Roman" w:hAnsi="Times New Roman" w:cs="Times New Roman"/>
          <w:b/>
          <w:bCs/>
        </w:rPr>
        <w:t>“三位一体”综合改革迭代深化。</w:t>
      </w:r>
      <w:r>
        <w:rPr>
          <w:rFonts w:ascii="Times New Roman" w:hAnsi="Times New Roman" w:cs="Times New Roman"/>
        </w:rPr>
        <w:t>农村“三位一体”改革实效显著，入选全省共同富裕示范区第二批试点名单，建成全国首家“三位一体+MAP”中心，举办全省农村“三位一体”改革研讨会，两年半创成“三位一体”示范带1条、农事服务中心11家。村级集体经济发展量质齐升，入选第二批省新时代乡村集成改革试点、省强村富民乡村集成改革实践试点，创新租赁、合作、转让等方式盘活利用农村闲置农房。“三权分置”改革纵深推进，入选全国海洋捕捞渔船“拆大建小”管理试点，启动农村土地承包经营权信息应用平台建设，陶山镇惠丰村、曹村镇魏岙村等5个村创成温州市承包经营权流转示范村（社），数量居温州首位。</w:t>
      </w:r>
    </w:p>
    <w:p w14:paraId="1A78FFFA">
      <w:pPr>
        <w:pStyle w:val="10"/>
        <w:ind w:left="0" w:leftChars="0" w:firstLine="643" w:firstLineChars="200"/>
        <w:rPr>
          <w:rFonts w:ascii="Times New Roman" w:hAnsi="Times New Roman" w:cs="Times New Roman"/>
        </w:rPr>
      </w:pPr>
      <w:r>
        <w:rPr>
          <w:rFonts w:ascii="Times New Roman" w:hAnsi="Times New Roman" w:cs="Times New Roman"/>
          <w:b/>
          <w:bCs/>
        </w:rPr>
        <w:t>乡村风貌实现美丽“蝶变”。</w:t>
      </w:r>
      <w:r>
        <w:rPr>
          <w:rFonts w:ascii="Times New Roman" w:hAnsi="Times New Roman" w:cs="Times New Roman"/>
        </w:rPr>
        <w:t>获评全省深化“千万工程”建设新时代美丽乡村（农村人居环境提升）工作优胜县，两年半建成省美丽乡村示范乡镇5个、省美丽乡村特色精品村12个。深入开展农村人居环境“微改造、精提升”，美丽田园网格化常态治理体系进一步完善，引入村社综合环境红黑榜比拼机制，</w:t>
      </w:r>
      <w:r>
        <w:rPr>
          <w:rFonts w:hint="eastAsia" w:ascii="Times New Roman" w:hAnsi="Times New Roman" w:cs="Times New Roman"/>
          <w:lang w:eastAsia="zh-CN"/>
        </w:rPr>
        <w:t>常态化开展</w:t>
      </w:r>
      <w:r>
        <w:rPr>
          <w:rFonts w:ascii="Times New Roman" w:hAnsi="Times New Roman" w:cs="Times New Roman"/>
        </w:rPr>
        <w:t>“最脏村社”“最美村社”评选，农村生活垃圾分类建制村覆盖率100%。</w:t>
      </w:r>
      <w:r>
        <w:rPr>
          <w:rFonts w:hint="eastAsia" w:ascii="Times New Roman" w:hAnsi="Times New Roman" w:cs="Times New Roman"/>
        </w:rPr>
        <w:t>深入</w:t>
      </w:r>
      <w:r>
        <w:rPr>
          <w:rFonts w:ascii="Times New Roman" w:hAnsi="Times New Roman" w:cs="Times New Roman"/>
        </w:rPr>
        <w:t>实施未来乡村“一镇一试点”行动，授牌成立瑞安市未来乡村研究院，组建省市县三级“专家库”，两年半创成省“未来乡村”试点5个、入选创建名单3个。</w:t>
      </w:r>
    </w:p>
    <w:p w14:paraId="329A3F19">
      <w:pPr>
        <w:pStyle w:val="10"/>
        <w:ind w:left="0" w:leftChars="0" w:firstLine="643" w:firstLineChars="200"/>
        <w:rPr>
          <w:rFonts w:ascii="Times New Roman" w:hAnsi="Times New Roman" w:cs="Times New Roman"/>
        </w:rPr>
      </w:pPr>
      <w:r>
        <w:rPr>
          <w:rFonts w:ascii="Times New Roman" w:hAnsi="Times New Roman" w:cs="Times New Roman"/>
          <w:b/>
          <w:bCs/>
        </w:rPr>
        <w:t>城乡融合发展高水平推进。</w:t>
      </w:r>
      <w:r>
        <w:rPr>
          <w:rFonts w:ascii="Times New Roman" w:hAnsi="Times New Roman" w:cs="Times New Roman"/>
        </w:rPr>
        <w:t>列入以县城为重要载体的城镇化建设省级试点名单。“两进两回”机制深化建设，两年半建设乡村人才创新创业示范基地10个，创成省农创客示范基地3家，累计培育农创客588名，落实科技帮扶项目15项，创建科技特派员示范点18个。积极推进农村合作经济体系建设，兴民农村保险互助社弥补传统农业保险“缺位”，打造“智农共富”APP平台，建成乡村振兴示范带12条。</w:t>
      </w:r>
      <w:r>
        <w:rPr>
          <w:rFonts w:hint="eastAsia" w:ascii="Times New Roman" w:hAnsi="Times New Roman" w:cs="Times New Roman"/>
        </w:rPr>
        <w:t>马屿省级小城市、陶山城郊型现代化城镇建设稳步推进，乡镇基础设施和公共服务水平持续提升。</w:t>
      </w:r>
      <w:bookmarkEnd w:id="18"/>
    </w:p>
    <w:p w14:paraId="5630C329">
      <w:pPr>
        <w:pStyle w:val="10"/>
        <w:ind w:left="0" w:leftChars="0" w:firstLine="643" w:firstLineChars="200"/>
        <w:outlineLvl w:val="1"/>
        <w:rPr>
          <w:rFonts w:ascii="Times New Roman" w:hAnsi="Times New Roman" w:cs="Times New Roman"/>
          <w:b/>
          <w:bCs/>
        </w:rPr>
      </w:pPr>
      <w:bookmarkStart w:id="19" w:name="_Toc30858"/>
      <w:bookmarkStart w:id="20" w:name="_Toc32312"/>
      <w:bookmarkStart w:id="21" w:name="_Toc4134"/>
      <w:bookmarkStart w:id="22" w:name="_Toc1330"/>
      <w:bookmarkStart w:id="23" w:name="_Toc6712"/>
      <w:bookmarkStart w:id="24" w:name="_Toc13368"/>
      <w:bookmarkStart w:id="25" w:name="_Toc26666"/>
      <w:bookmarkStart w:id="26" w:name="_Toc7307"/>
      <w:bookmarkStart w:id="27" w:name="_Toc23524"/>
      <w:bookmarkStart w:id="28" w:name="_Toc13509"/>
      <w:bookmarkStart w:id="29" w:name="_Toc7865"/>
      <w:r>
        <w:rPr>
          <w:rFonts w:hint="eastAsia" w:ascii="Times New Roman" w:hAnsi="Times New Roman" w:cs="Times New Roman"/>
          <w:b/>
          <w:bCs/>
          <w:szCs w:val="32"/>
        </w:rPr>
        <w:t>（五）</w:t>
      </w:r>
      <w:r>
        <w:rPr>
          <w:rFonts w:ascii="Times New Roman" w:hAnsi="Times New Roman" w:cs="Times New Roman"/>
          <w:b/>
          <w:bCs/>
        </w:rPr>
        <w:t>民营经济稳步迈向高质量</w:t>
      </w:r>
      <w:bookmarkEnd w:id="19"/>
      <w:bookmarkEnd w:id="20"/>
    </w:p>
    <w:p w14:paraId="725846F7">
      <w:pPr>
        <w:pStyle w:val="10"/>
        <w:ind w:left="0" w:leftChars="0" w:firstLine="640" w:firstLineChars="200"/>
        <w:rPr>
          <w:rFonts w:ascii="Times New Roman" w:hAnsi="Times New Roman" w:cs="Times New Roman"/>
          <w:bCs/>
          <w:szCs w:val="32"/>
          <w:lang w:bidi="ar"/>
        </w:rPr>
      </w:pPr>
      <w:r>
        <w:rPr>
          <w:rFonts w:ascii="Times New Roman" w:hAnsi="Times New Roman" w:cs="Times New Roman"/>
          <w:bCs/>
          <w:szCs w:val="32"/>
          <w:lang w:bidi="ar"/>
        </w:rPr>
        <w:t>围绕“十四五”规划纲要提出的“再创民营经济发展新优势”规划目标，持续迭代新时代“两个健康”先行区建设，充分激发市场主体活力，推动各项改革向制度更加成熟、更加定型靠拢，</w:t>
      </w:r>
      <w:r>
        <w:rPr>
          <w:rFonts w:ascii="Times New Roman" w:hAnsi="Times New Roman" w:cs="Times New Roman"/>
          <w:b/>
          <w:szCs w:val="32"/>
          <w:lang w:bidi="ar"/>
        </w:rPr>
        <w:t>连</w:t>
      </w:r>
      <w:r>
        <w:rPr>
          <w:rFonts w:hint="eastAsia" w:ascii="Times New Roman" w:hAnsi="Times New Roman" w:cs="Times New Roman"/>
          <w:b/>
          <w:szCs w:val="32"/>
          <w:lang w:bidi="ar"/>
        </w:rPr>
        <w:t>续4年获省全面深化改革考评优秀，营商环境评价2022年排名跻身全省20强、温州第</w:t>
      </w:r>
      <w:r>
        <w:rPr>
          <w:rFonts w:hint="eastAsia" w:ascii="仿宋_GB2312" w:hAnsi="仿宋_GB2312" w:cs="仿宋_GB2312"/>
          <w:b/>
          <w:sz w:val="28"/>
          <w:szCs w:val="28"/>
        </w:rPr>
        <w:t>1</w:t>
      </w:r>
      <w:r>
        <w:rPr>
          <w:rFonts w:hint="eastAsia" w:ascii="Times New Roman" w:hAnsi="Times New Roman" w:cs="Times New Roman"/>
          <w:bCs/>
          <w:szCs w:val="32"/>
          <w:lang w:bidi="ar"/>
        </w:rPr>
        <w:t>。</w:t>
      </w:r>
    </w:p>
    <w:p w14:paraId="71026B2C">
      <w:pPr>
        <w:ind w:firstLine="643" w:firstLineChars="200"/>
        <w:jc w:val="left"/>
        <w:rPr>
          <w:rFonts w:ascii="Times New Roman" w:hAnsi="Times New Roman" w:cs="Times New Roman"/>
          <w:bCs/>
          <w:szCs w:val="32"/>
          <w:lang w:bidi="ar"/>
        </w:rPr>
      </w:pPr>
      <w:r>
        <w:rPr>
          <w:rFonts w:ascii="Times New Roman" w:hAnsi="Times New Roman" w:cs="Times New Roman"/>
          <w:b/>
          <w:szCs w:val="32"/>
          <w:lang w:bidi="ar"/>
        </w:rPr>
        <w:t>营商环境不断优化提升。</w:t>
      </w:r>
      <w:r>
        <w:rPr>
          <w:rFonts w:ascii="Times New Roman" w:hAnsi="Times New Roman" w:cs="Times New Roman"/>
          <w:bCs/>
          <w:szCs w:val="32"/>
          <w:lang w:bidi="ar"/>
        </w:rPr>
        <w:t>住房公积金贷款抵押预转现“一件事”获全省推广，企业投资项目促产“一件事”改革实现“拿地即开工”“预验即试产”“竣工即领证”，乡镇便民服务中心实现全覆盖，“一网通办”率达98%</w:t>
      </w:r>
      <w:r>
        <w:rPr>
          <w:rFonts w:ascii="Times New Roman" w:hAnsi="Times New Roman" w:cs="Times New Roman"/>
        </w:rPr>
        <w:t>、线下窗口收件率达93.36%</w:t>
      </w:r>
      <w:r>
        <w:rPr>
          <w:rFonts w:ascii="Times New Roman" w:hAnsi="Times New Roman" w:cs="Times New Roman"/>
          <w:bCs/>
          <w:szCs w:val="32"/>
          <w:lang w:bidi="ar"/>
        </w:rPr>
        <w:t>。“放管服”改革扎实推进，“大综合一体化”改革实现综合执法事项全部划转，组建温州首支镇级综合行政执法队。常态化开展助企服务，两年半排摸收集企业诉求</w:t>
      </w:r>
      <w:r>
        <w:rPr>
          <w:rFonts w:ascii="Times New Roman" w:hAnsi="Times New Roman" w:cs="Times New Roman"/>
          <w:bCs/>
          <w:szCs w:val="32"/>
          <w:lang w:val="en" w:bidi="ar"/>
        </w:rPr>
        <w:t>2187</w:t>
      </w:r>
      <w:r>
        <w:rPr>
          <w:rFonts w:ascii="Times New Roman" w:hAnsi="Times New Roman" w:cs="Times New Roman"/>
          <w:bCs/>
          <w:szCs w:val="32"/>
          <w:lang w:bidi="ar"/>
        </w:rPr>
        <w:t>个，化解率达</w:t>
      </w:r>
      <w:r>
        <w:rPr>
          <w:rFonts w:ascii="Times New Roman" w:hAnsi="Times New Roman" w:cs="Times New Roman"/>
          <w:bCs/>
          <w:szCs w:val="32"/>
          <w:lang w:val="en" w:bidi="ar"/>
        </w:rPr>
        <w:t>100</w:t>
      </w:r>
      <w:r>
        <w:rPr>
          <w:rFonts w:ascii="Times New Roman" w:hAnsi="Times New Roman" w:cs="Times New Roman"/>
          <w:bCs/>
          <w:szCs w:val="32"/>
          <w:lang w:bidi="ar"/>
        </w:rPr>
        <w:t>%，累计为企业减负降本67.9亿元，累计对企业补助支出约28亿元。</w:t>
      </w:r>
    </w:p>
    <w:p w14:paraId="2B4C2664">
      <w:pPr>
        <w:pStyle w:val="10"/>
        <w:ind w:left="0" w:leftChars="0" w:firstLine="643" w:firstLineChars="200"/>
        <w:rPr>
          <w:rFonts w:ascii="Times New Roman" w:hAnsi="Times New Roman" w:cs="Times New Roman"/>
          <w:bCs/>
          <w:szCs w:val="32"/>
          <w:lang w:bidi="ar"/>
        </w:rPr>
      </w:pPr>
      <w:r>
        <w:rPr>
          <w:rFonts w:ascii="Times New Roman" w:hAnsi="Times New Roman" w:cs="Times New Roman"/>
          <w:b/>
          <w:szCs w:val="32"/>
          <w:lang w:bidi="ar"/>
        </w:rPr>
        <w:t>市场经济活力加速迸发。</w:t>
      </w:r>
      <w:r>
        <w:rPr>
          <w:rFonts w:ascii="Times New Roman" w:hAnsi="Times New Roman" w:cs="Times New Roman"/>
          <w:bCs/>
          <w:szCs w:val="32"/>
          <w:lang w:bidi="ar"/>
        </w:rPr>
        <w:t>金融综合改革稳步推进，出台“先租后让”工业用地厂房融资方案，推动政策性融资担保公司范围从工业企业扩展至全行业，创新建立抽贷、压贷、断贷报备制度，常态化开展银企业对接会。要素市场化配置数字化改革入选省级重大应用试点，出台《瑞安市资本要素市场化配置改革行动方案》，“绿色金融”改革项目成功纳入温州改革试点，创新“机械上楼”模式有效破解智能装备产业用地瓶颈获登《浙江政务信息》，创新“亩均论英雄”七大要素差别化政策，政府机关、医疗、景区三大领域基本贯通数字人民币应用。积极推广社会力量投资模式，</w:t>
      </w:r>
      <w:r>
        <w:rPr>
          <w:rFonts w:hint="eastAsia" w:ascii="Times New Roman" w:hAnsi="Times New Roman" w:cs="Times New Roman"/>
          <w:bCs/>
          <w:szCs w:val="32"/>
          <w:lang w:bidi="ar"/>
        </w:rPr>
        <w:t>两年半新增22家体育社会组织</w:t>
      </w:r>
      <w:r>
        <w:rPr>
          <w:rFonts w:ascii="Times New Roman" w:hAnsi="Times New Roman" w:cs="Times New Roman"/>
          <w:bCs/>
          <w:szCs w:val="32"/>
          <w:lang w:bidi="ar"/>
        </w:rPr>
        <w:t>。</w:t>
      </w:r>
    </w:p>
    <w:p w14:paraId="153DFB7B">
      <w:pPr>
        <w:ind w:firstLine="643" w:firstLineChars="200"/>
        <w:jc w:val="left"/>
        <w:rPr>
          <w:rFonts w:ascii="Times New Roman" w:hAnsi="Times New Roman" w:cs="Times New Roman"/>
          <w:color w:val="FF0000"/>
          <w:szCs w:val="28"/>
          <w:lang w:bidi="ar"/>
        </w:rPr>
      </w:pPr>
      <w:r>
        <w:rPr>
          <w:rFonts w:ascii="Times New Roman" w:hAnsi="Times New Roman" w:cs="Times New Roman"/>
          <w:b/>
          <w:szCs w:val="32"/>
          <w:lang w:bidi="ar"/>
        </w:rPr>
        <w:t>信用体系建设逐步完善。</w:t>
      </w:r>
      <w:r>
        <w:rPr>
          <w:rFonts w:ascii="Times New Roman" w:hAnsi="Times New Roman" w:cs="Times New Roman"/>
          <w:szCs w:val="32"/>
        </w:rPr>
        <w:t>推广开展数智信用，上线信用中国（浙江温州）网站“信用修复一件事”办理模块，实现公共信用修复全流程线上“一网通办”。大力开展“守合同重信用”活动，</w:t>
      </w:r>
      <w:r>
        <w:rPr>
          <w:rFonts w:hint="eastAsia" w:ascii="Times New Roman" w:hAnsi="Times New Roman" w:cs="Times New Roman"/>
          <w:szCs w:val="32"/>
        </w:rPr>
        <w:t>两年半</w:t>
      </w:r>
      <w:r>
        <w:rPr>
          <w:rFonts w:ascii="Times New Roman" w:hAnsi="Times New Roman" w:cs="Times New Roman"/>
          <w:szCs w:val="32"/>
        </w:rPr>
        <w:t>创成公示守重企业AAA级33家、AA级43家、A级29家</w:t>
      </w:r>
      <w:r>
        <w:rPr>
          <w:rFonts w:hint="eastAsia" w:ascii="Times New Roman" w:hAnsi="Times New Roman" w:cs="Times New Roman"/>
          <w:szCs w:val="32"/>
        </w:rPr>
        <w:t>，浙江省信用管理示范企业数16家、温州市信用管理示范企业数23家</w:t>
      </w:r>
      <w:r>
        <w:rPr>
          <w:rFonts w:ascii="Times New Roman" w:hAnsi="Times New Roman" w:cs="Times New Roman"/>
          <w:szCs w:val="32"/>
        </w:rPr>
        <w:t>。</w:t>
      </w:r>
      <w:r>
        <w:rPr>
          <w:rFonts w:ascii="Times New Roman" w:hAnsi="Times New Roman" w:cs="Times New Roman"/>
          <w:bCs/>
          <w:szCs w:val="32"/>
          <w:lang w:bidi="ar"/>
        </w:rPr>
        <w:t>“三信”评定成果深化应用，出台《瑞安市信用户、信用村(社区)、信用镇（街道）评定暂行办法》《关于推进瑞安市“三信”评定成果支持新型农业经营主体的指导意见》等政策，辖内省级信用村整村授信实现全覆盖</w:t>
      </w:r>
      <w:r>
        <w:rPr>
          <w:rFonts w:ascii="Times New Roman" w:hAnsi="Times New Roman" w:cs="Times New Roman"/>
          <w:szCs w:val="32"/>
          <w:lang w:bidi="ar"/>
        </w:rPr>
        <w:t>。</w:t>
      </w:r>
    </w:p>
    <w:p w14:paraId="23C7A389">
      <w:pPr>
        <w:pStyle w:val="10"/>
        <w:ind w:left="0" w:leftChars="0" w:firstLine="643" w:firstLineChars="200"/>
        <w:rPr>
          <w:rFonts w:ascii="Times New Roman" w:hAnsi="Times New Roman" w:cs="Times New Roman"/>
          <w:b/>
          <w:szCs w:val="32"/>
          <w:lang w:bidi="ar"/>
        </w:rPr>
      </w:pPr>
      <w:r>
        <w:rPr>
          <w:rFonts w:ascii="Times New Roman" w:hAnsi="Times New Roman" w:cs="Times New Roman"/>
          <w:b/>
          <w:szCs w:val="32"/>
          <w:lang w:bidi="ar"/>
        </w:rPr>
        <w:t>投融资体制改革全面提速。</w:t>
      </w:r>
      <w:r>
        <w:rPr>
          <w:rFonts w:ascii="Times New Roman" w:hAnsi="Times New Roman" w:cs="Times New Roman"/>
          <w:bCs/>
          <w:szCs w:val="32"/>
          <w:lang w:bidi="ar"/>
        </w:rPr>
        <w:t>两年半以来，成立政府参股基金累计6只，总规模累计45.5亿元，完成投资额（瑞安政府实缴出资）累计6.5亿元，落地本地项目6个；累计发行政府投资项目专项债券资金205.81亿元，位居全省各县市区前列；累计实施PPP项目4个，涉及社会资本投资21.25亿元。财政管理工作获省政府督查激励，振兴实体经济城市建设、环境提升支出、乡村振兴及农林水支出等重点领域支出逐年稳步增长。国企改革稳步推进，构建市国投集团、市城发集团、市产发集团、市国发集团四大集团框架，市经开区公司、市工业公司获得AA企业主体信用评级，两年半完成15家国有融资平台公司市场化转型，累计盘活国有资产160.89亿元。</w:t>
      </w:r>
    </w:p>
    <w:p w14:paraId="205E221F">
      <w:pPr>
        <w:pStyle w:val="10"/>
        <w:ind w:left="0" w:leftChars="0" w:firstLine="643" w:firstLineChars="200"/>
        <w:outlineLvl w:val="1"/>
        <w:rPr>
          <w:rFonts w:ascii="Times New Roman" w:hAnsi="Times New Roman" w:cs="Times New Roman"/>
          <w:b/>
          <w:bCs/>
        </w:rPr>
      </w:pPr>
      <w:bookmarkStart w:id="30" w:name="_Toc28688"/>
      <w:bookmarkStart w:id="31" w:name="_Toc12928"/>
      <w:r>
        <w:rPr>
          <w:rFonts w:hint="eastAsia" w:ascii="Times New Roman" w:hAnsi="Times New Roman" w:cs="Times New Roman"/>
          <w:b/>
          <w:bCs/>
          <w:szCs w:val="32"/>
        </w:rPr>
        <w:t>（六）</w:t>
      </w:r>
      <w:r>
        <w:rPr>
          <w:rFonts w:ascii="Times New Roman" w:hAnsi="Times New Roman" w:cs="Times New Roman"/>
          <w:b/>
          <w:bCs/>
        </w:rPr>
        <w:t>双循环开放格局逐步构建</w:t>
      </w:r>
      <w:bookmarkEnd w:id="30"/>
      <w:bookmarkEnd w:id="31"/>
    </w:p>
    <w:p w14:paraId="00A9C005">
      <w:pPr>
        <w:pStyle w:val="10"/>
        <w:ind w:left="0" w:leftChars="0" w:firstLine="640" w:firstLineChars="200"/>
        <w:rPr>
          <w:rFonts w:ascii="Times New Roman" w:hAnsi="Times New Roman" w:cs="Times New Roman"/>
          <w:bCs/>
          <w:szCs w:val="32"/>
          <w:lang w:bidi="ar"/>
        </w:rPr>
      </w:pPr>
      <w:r>
        <w:rPr>
          <w:rFonts w:ascii="Times New Roman" w:hAnsi="Times New Roman" w:cs="Times New Roman"/>
          <w:bCs/>
          <w:szCs w:val="32"/>
          <w:lang w:bidi="ar"/>
        </w:rPr>
        <w:t>围绕“十四五”规划纲要提出的“融入双循环发展新格局”规划目标，高位融入一体化要素市场与制度体系建设，</w:t>
      </w:r>
      <w:r>
        <w:rPr>
          <w:rFonts w:hint="eastAsia" w:ascii="Times New Roman" w:hAnsi="Times New Roman" w:cs="Times New Roman"/>
          <w:bCs/>
          <w:szCs w:val="32"/>
          <w:lang w:bidi="ar"/>
        </w:rPr>
        <w:t>积极</w:t>
      </w:r>
      <w:r>
        <w:rPr>
          <w:rFonts w:ascii="Times New Roman" w:hAnsi="Times New Roman" w:cs="Times New Roman"/>
          <w:bCs/>
          <w:szCs w:val="32"/>
          <w:lang w:bidi="ar"/>
        </w:rPr>
        <w:t>融入国内大循环，深度参与国际经济循环，</w:t>
      </w:r>
      <w:r>
        <w:rPr>
          <w:rFonts w:ascii="Times New Roman" w:hAnsi="Times New Roman" w:cs="Times New Roman"/>
          <w:b/>
          <w:bCs/>
        </w:rPr>
        <w:t>温州南部区域性消费中心</w:t>
      </w:r>
      <w:r>
        <w:rPr>
          <w:rFonts w:hint="eastAsia" w:ascii="Times New Roman" w:hAnsi="Times New Roman" w:cs="Times New Roman"/>
          <w:b/>
          <w:bCs/>
        </w:rPr>
        <w:t>支撑功能基本完善</w:t>
      </w:r>
      <w:r>
        <w:rPr>
          <w:rFonts w:ascii="Times New Roman" w:hAnsi="Times New Roman" w:cs="Times New Roman"/>
          <w:b/>
          <w:bCs/>
          <w:szCs w:val="32"/>
          <w:lang w:bidi="ar"/>
        </w:rPr>
        <w:t>，对口扶贫与山海协作</w:t>
      </w:r>
      <w:r>
        <w:rPr>
          <w:rFonts w:hint="eastAsia" w:ascii="Times New Roman" w:hAnsi="Times New Roman" w:cs="Times New Roman"/>
          <w:b/>
          <w:bCs/>
          <w:szCs w:val="32"/>
          <w:lang w:bidi="ar"/>
        </w:rPr>
        <w:t>亮点频出，固定资产投资总量破千亿，对外开放大通道建设全面升级，</w:t>
      </w:r>
      <w:r>
        <w:rPr>
          <w:rFonts w:hint="eastAsia" w:ascii="Times New Roman" w:hAnsi="Times New Roman" w:cs="Times New Roman"/>
          <w:bCs/>
          <w:szCs w:val="32"/>
          <w:lang w:bidi="ar"/>
        </w:rPr>
        <w:t>全力</w:t>
      </w:r>
      <w:r>
        <w:rPr>
          <w:rFonts w:ascii="Times New Roman" w:hAnsi="Times New Roman" w:cs="Times New Roman"/>
          <w:bCs/>
          <w:szCs w:val="32"/>
          <w:lang w:bidi="ar"/>
        </w:rPr>
        <w:t>打造构建新发展格局的重要节点城市</w:t>
      </w:r>
      <w:r>
        <w:rPr>
          <w:rFonts w:hint="eastAsia" w:ascii="Times New Roman" w:hAnsi="Times New Roman" w:cs="Times New Roman"/>
          <w:b/>
          <w:bCs/>
          <w:szCs w:val="32"/>
          <w:lang w:bidi="ar"/>
        </w:rPr>
        <w:t>。</w:t>
      </w:r>
    </w:p>
    <w:p w14:paraId="3A0D8A92">
      <w:pPr>
        <w:pStyle w:val="10"/>
        <w:ind w:left="0" w:leftChars="0" w:firstLine="643" w:firstLineChars="200"/>
        <w:rPr>
          <w:rFonts w:ascii="Times New Roman" w:hAnsi="Times New Roman" w:cs="Times New Roman"/>
          <w:szCs w:val="32"/>
        </w:rPr>
      </w:pPr>
      <w:r>
        <w:rPr>
          <w:rFonts w:ascii="Times New Roman" w:hAnsi="Times New Roman" w:cs="Times New Roman"/>
          <w:b/>
          <w:bCs/>
        </w:rPr>
        <w:t>市场要素合理自由流动。</w:t>
      </w:r>
      <w:r>
        <w:rPr>
          <w:rFonts w:ascii="Times New Roman" w:hAnsi="Times New Roman" w:cs="Times New Roman"/>
          <w:szCs w:val="32"/>
        </w:rPr>
        <w:t>入选省供应链创新和应用试点城市，</w:t>
      </w:r>
      <w:r>
        <w:rPr>
          <w:rFonts w:hint="eastAsia" w:ascii="仿宋_GB2312" w:hAnsi="仿宋_GB2312" w:cs="仿宋_GB2312"/>
          <w:szCs w:val="32"/>
        </w:rPr>
        <w:t>通过省物流示范市综合改革创新试点验收，成功招引京东、普洛斯等世界500强物流企业，</w:t>
      </w:r>
      <w:r>
        <w:rPr>
          <w:rFonts w:hint="eastAsia" w:ascii="仿宋_GB2312" w:hAnsi="仿宋_GB2312" w:cs="仿宋_GB2312"/>
        </w:rPr>
        <w:t>普洛斯、云达、易达、碧山物流园、易瑞供应链等项目落地投产，</w:t>
      </w:r>
      <w:r>
        <w:rPr>
          <w:rFonts w:hint="eastAsia" w:ascii="仿宋_GB2312" w:hAnsi="仿宋_GB2312" w:cs="仿宋_GB2312"/>
          <w:szCs w:val="32"/>
        </w:rPr>
        <w:t>集聚物流企业超500家，</w:t>
      </w:r>
      <w:r>
        <w:rPr>
          <w:rFonts w:ascii="Times New Roman" w:hAnsi="Times New Roman" w:cs="Times New Roman"/>
          <w:szCs w:val="32"/>
        </w:rPr>
        <w:t>侨贸国际鞋城、瑞安商城、瑞安水产城、瑞安汽摩配城等流通市场年均交易额突破亿元。发展农村电子商务拓宽农产品销售渠道工作获国务院督查激励，两年半</w:t>
      </w:r>
      <w:r>
        <w:rPr>
          <w:rFonts w:ascii="Times New Roman" w:hAnsi="Times New Roman" w:cs="Times New Roman"/>
          <w:szCs w:val="40"/>
        </w:rPr>
        <w:t>创成省级电商村90个、电商镇10个</w:t>
      </w:r>
      <w:r>
        <w:rPr>
          <w:rFonts w:ascii="Times New Roman" w:hAnsi="Times New Roman" w:cs="Times New Roman"/>
          <w:szCs w:val="32"/>
          <w:lang w:bidi="ar"/>
        </w:rPr>
        <w:t>。</w:t>
      </w:r>
      <w:r>
        <w:rPr>
          <w:rFonts w:ascii="Times New Roman" w:hAnsi="Times New Roman" w:cs="Times New Roman"/>
          <w:szCs w:val="40"/>
        </w:rPr>
        <w:t>推进直播“十百万千”工程，</w:t>
      </w:r>
      <w:r>
        <w:rPr>
          <w:rFonts w:hint="eastAsia" w:ascii="Times New Roman" w:hAnsi="Times New Roman" w:cs="Times New Roman"/>
          <w:szCs w:val="40"/>
        </w:rPr>
        <w:t>累计</w:t>
      </w:r>
      <w:r>
        <w:rPr>
          <w:rFonts w:ascii="Times New Roman" w:hAnsi="Times New Roman" w:cs="Times New Roman"/>
          <w:szCs w:val="40"/>
        </w:rPr>
        <w:t>举办超百场直播活动，2022年网络零售额311.4亿元、直播零售额20.28亿元，参与直播商品数达5.98万种、居温州第一。开展百企出海抢订单行动，积极组织本地企业参加中国国际消费品博览会、中东欧博览会</w:t>
      </w:r>
      <w:r>
        <w:rPr>
          <w:rFonts w:ascii="Times New Roman" w:hAnsi="Times New Roman" w:cs="Times New Roman"/>
          <w:szCs w:val="32"/>
        </w:rPr>
        <w:t>等展会。</w:t>
      </w:r>
    </w:p>
    <w:p w14:paraId="79D40E10">
      <w:pPr>
        <w:pStyle w:val="10"/>
        <w:ind w:left="0" w:leftChars="0" w:firstLine="643" w:firstLineChars="200"/>
        <w:rPr>
          <w:rFonts w:ascii="Times New Roman" w:hAnsi="Times New Roman" w:cs="Times New Roman"/>
        </w:rPr>
      </w:pPr>
      <w:r>
        <w:rPr>
          <w:rFonts w:ascii="Times New Roman" w:hAnsi="Times New Roman" w:cs="Times New Roman"/>
          <w:b/>
          <w:bCs/>
        </w:rPr>
        <w:t>温州南部区域性消费中心加快形成。</w:t>
      </w:r>
      <w:r>
        <w:rPr>
          <w:rFonts w:ascii="Times New Roman" w:hAnsi="Times New Roman" w:cs="Times New Roman"/>
          <w:szCs w:val="40"/>
        </w:rPr>
        <w:t>高品质消费供给不断丰富，忠义街成功创建省级高品质步行街，滨江大道、第吾大道成功创建温州市著名街区，</w:t>
      </w:r>
      <w:r>
        <w:rPr>
          <w:rFonts w:ascii="Times New Roman" w:hAnsi="Times New Roman" w:cs="Times New Roman"/>
        </w:rPr>
        <w:t>玉海商圈列入省级示范智慧商圈创建培育名单，</w:t>
      </w:r>
      <w:r>
        <w:rPr>
          <w:rFonts w:ascii="Times New Roman" w:hAnsi="Times New Roman" w:cs="Times New Roman"/>
          <w:szCs w:val="40"/>
        </w:rPr>
        <w:t>开展“虎力全开·悦享瑞安”等促消费活动</w:t>
      </w:r>
      <w:r>
        <w:rPr>
          <w:rFonts w:ascii="Times New Roman" w:hAnsi="Times New Roman" w:cs="Times New Roman"/>
        </w:rPr>
        <w:t>。</w:t>
      </w:r>
      <w:r>
        <w:rPr>
          <w:rFonts w:ascii="Times New Roman" w:hAnsi="Times New Roman" w:cs="Times New Roman"/>
          <w:szCs w:val="40"/>
        </w:rPr>
        <w:t>创成</w:t>
      </w:r>
      <w:r>
        <w:rPr>
          <w:rFonts w:ascii="Times New Roman" w:hAnsi="Times New Roman" w:cs="Times New Roman"/>
          <w:szCs w:val="32"/>
        </w:rPr>
        <w:t>浙江省夜间经济样板城市，“温瑞塘河休闲文化商业带”“环万松山运动休闲”“飞云江北岸夜间消费特色街”三座夜坐标建设稳步推进。</w:t>
      </w:r>
      <w:r>
        <w:rPr>
          <w:rFonts w:ascii="Times New Roman" w:hAnsi="Times New Roman" w:cs="Times New Roman"/>
        </w:rPr>
        <w:t>“放心消费”工程落实落细，两年半建成放心消费单位3763家、放心工厂582家，放心消费商圈（街区）8个</w:t>
      </w:r>
      <w:r>
        <w:rPr>
          <w:rFonts w:hint="eastAsia" w:ascii="Times New Roman" w:hAnsi="Times New Roman" w:cs="Times New Roman"/>
        </w:rPr>
        <w:t>，</w:t>
      </w:r>
      <w:r>
        <w:rPr>
          <w:rFonts w:ascii="Times New Roman" w:hAnsi="Times New Roman" w:cs="Times New Roman"/>
        </w:rPr>
        <w:t>25家农贸市场创成全链条追溯农贸市场。</w:t>
      </w:r>
    </w:p>
    <w:p w14:paraId="780029B4">
      <w:pPr>
        <w:pStyle w:val="10"/>
        <w:ind w:left="0" w:leftChars="0" w:firstLine="643" w:firstLineChars="200"/>
        <w:rPr>
          <w:rFonts w:ascii="黑体" w:hAnsi="黑体" w:eastAsia="黑体" w:cs="黑体"/>
          <w:sz w:val="28"/>
          <w:szCs w:val="22"/>
          <w:shd w:val="clear" w:color="auto" w:fill="FFFFFF" w:themeFill="background1"/>
        </w:rPr>
      </w:pPr>
      <w:r>
        <w:rPr>
          <w:rFonts w:ascii="Times New Roman" w:hAnsi="Times New Roman" w:cs="Times New Roman"/>
          <w:b/>
          <w:bCs/>
        </w:rPr>
        <w:t>有效投资</w:t>
      </w:r>
      <w:r>
        <w:rPr>
          <w:rFonts w:hint="eastAsia" w:ascii="Times New Roman" w:hAnsi="Times New Roman" w:cs="Times New Roman"/>
          <w:b/>
          <w:bCs/>
        </w:rPr>
        <w:t>力度和重点项目建设</w:t>
      </w:r>
      <w:r>
        <w:rPr>
          <w:rFonts w:ascii="Times New Roman" w:hAnsi="Times New Roman" w:cs="Times New Roman"/>
          <w:b/>
          <w:bCs/>
        </w:rPr>
        <w:t>持续加码。</w:t>
      </w:r>
      <w:r>
        <w:rPr>
          <w:rFonts w:ascii="Times New Roman" w:hAnsi="Times New Roman" w:cs="Times New Roman"/>
        </w:rPr>
        <w:t>两年半以来，围绕规划纲要提出的交通能源、农林水利、社会发展、城市建设及基础设施、工业发展、现代服务业六大领域共计289个重大项目，累计完成投资526.86亿元，其中完工47个、正在实施144个。“十四五”后半期，围绕高水平打造“青春都市·幸福瑞安”，持续跟踪重点片区开发、山区跨越式发展等实际需求，谋划推进新增一批具有较强带动力的产业链群、基础设施、公共事业、城市提升等项目。经前期征集汇总，拟增补79个项目纳入“十四五”规划，</w:t>
      </w:r>
      <w:r>
        <w:rPr>
          <w:rFonts w:hint="eastAsia" w:ascii="Times New Roman" w:hAnsi="Times New Roman" w:cs="Times New Roman"/>
        </w:rPr>
        <w:t>包括交通能源项目10个、农林水利项目6个、社会发展项目7个、城市建设及基础设施项目24个、工业项目22个、现代服务业及其他项目10个</w:t>
      </w:r>
      <w:r>
        <w:rPr>
          <w:rFonts w:ascii="Times New Roman" w:hAnsi="Times New Roman" w:cs="Times New Roman"/>
        </w:rPr>
        <w:t>。“一盘棋”招商引资工作格局逐步完善，成立“1+5+6+N”招商专班，推出“云招商”平台系统，绘制汽车产业链、高端机械、新材料三张招商图谱，实现重大项目全周期管理服务，制定“促签约”“促开工”“促竣工”清单。</w:t>
      </w:r>
    </w:p>
    <w:p w14:paraId="21DD46D6">
      <w:pPr>
        <w:pStyle w:val="10"/>
        <w:ind w:left="0" w:leftChars="0"/>
        <w:jc w:val="center"/>
        <w:rPr>
          <w:rFonts w:ascii="Times New Roman" w:hAnsi="Times New Roman" w:cs="Times New Roman"/>
          <w:szCs w:val="32"/>
          <w:shd w:val="clear" w:color="auto" w:fill="FFFFFF"/>
        </w:rPr>
      </w:pPr>
      <w:r>
        <w:rPr>
          <w:rFonts w:hint="eastAsia" w:ascii="黑体" w:hAnsi="黑体" w:eastAsia="黑体" w:cs="黑体"/>
          <w:sz w:val="28"/>
          <w:szCs w:val="22"/>
          <w:shd w:val="clear" w:color="auto" w:fill="FFFFFF" w:themeFill="background1"/>
        </w:rPr>
        <w:t>表 两年半重大项目完成情况汇总</w:t>
      </w:r>
    </w:p>
    <w:tbl>
      <w:tblPr>
        <w:tblStyle w:val="1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0"/>
        <w:gridCol w:w="1991"/>
        <w:gridCol w:w="1704"/>
        <w:gridCol w:w="1105"/>
        <w:gridCol w:w="1169"/>
      </w:tblGrid>
      <w:tr w14:paraId="4923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4981" w:type="dxa"/>
            <w:gridSpan w:val="2"/>
            <w:vAlign w:val="center"/>
          </w:tcPr>
          <w:p w14:paraId="7FC3310E">
            <w:pPr>
              <w:pStyle w:val="10"/>
              <w:spacing w:line="300" w:lineRule="exact"/>
              <w:ind w:left="0" w:leftChars="0"/>
              <w:jc w:val="center"/>
              <w:rPr>
                <w:rFonts w:ascii="Times New Roman" w:hAnsi="Times New Roman" w:cs="Times New Roman"/>
                <w:b/>
                <w:bCs/>
                <w:sz w:val="28"/>
                <w:szCs w:val="28"/>
                <w:shd w:val="clear" w:color="auto" w:fill="FFFFFF"/>
              </w:rPr>
            </w:pPr>
            <w:r>
              <w:rPr>
                <w:rFonts w:hint="eastAsia" w:ascii="Times New Roman" w:hAnsi="Times New Roman" w:cs="Times New Roman"/>
                <w:b/>
                <w:bCs/>
                <w:sz w:val="28"/>
                <w:szCs w:val="28"/>
                <w:shd w:val="clear" w:color="auto" w:fill="FFFFFF"/>
              </w:rPr>
              <w:t>纲要规划内容</w:t>
            </w:r>
          </w:p>
        </w:tc>
        <w:tc>
          <w:tcPr>
            <w:tcW w:w="3978" w:type="dxa"/>
            <w:gridSpan w:val="3"/>
            <w:vAlign w:val="center"/>
          </w:tcPr>
          <w:p w14:paraId="63FA8567">
            <w:pPr>
              <w:pStyle w:val="10"/>
              <w:spacing w:line="300" w:lineRule="exact"/>
              <w:ind w:left="0" w:leftChars="0"/>
              <w:jc w:val="center"/>
              <w:rPr>
                <w:rFonts w:ascii="Times New Roman" w:hAnsi="Times New Roman" w:cs="Times New Roman"/>
                <w:b/>
                <w:bCs/>
                <w:sz w:val="28"/>
                <w:szCs w:val="28"/>
                <w:shd w:val="clear" w:color="auto" w:fill="FFFFFF"/>
              </w:rPr>
            </w:pPr>
            <w:r>
              <w:rPr>
                <w:rFonts w:hint="eastAsia" w:ascii="Times New Roman" w:hAnsi="Times New Roman" w:cs="Times New Roman"/>
                <w:b/>
                <w:bCs/>
                <w:sz w:val="28"/>
                <w:szCs w:val="28"/>
                <w:shd w:val="clear" w:color="auto" w:fill="FFFFFF"/>
              </w:rPr>
              <w:t>“十四五”前半期实施情况</w:t>
            </w:r>
          </w:p>
        </w:tc>
      </w:tr>
      <w:tr w14:paraId="1987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blHeader/>
          <w:jc w:val="center"/>
        </w:trPr>
        <w:tc>
          <w:tcPr>
            <w:tcW w:w="2990" w:type="dxa"/>
            <w:vAlign w:val="center"/>
          </w:tcPr>
          <w:p w14:paraId="6F60BEB0">
            <w:pPr>
              <w:pStyle w:val="10"/>
              <w:spacing w:line="300" w:lineRule="exact"/>
              <w:ind w:left="0" w:leftChars="0"/>
              <w:rPr>
                <w:rFonts w:ascii="Times New Roman" w:hAnsi="Times New Roman" w:cs="Times New Roman"/>
                <w:b/>
                <w:bCs/>
                <w:sz w:val="28"/>
                <w:szCs w:val="28"/>
                <w:shd w:val="clear" w:color="auto" w:fill="FFFFFF"/>
              </w:rPr>
            </w:pPr>
            <w:r>
              <w:rPr>
                <w:rFonts w:hint="eastAsia" w:ascii="Times New Roman" w:hAnsi="Times New Roman" w:cs="Times New Roman"/>
                <w:b/>
                <w:bCs/>
                <w:sz w:val="28"/>
                <w:szCs w:val="28"/>
                <w:shd w:val="clear" w:color="auto" w:fill="FFFFFF"/>
              </w:rPr>
              <w:t>项目类型</w:t>
            </w:r>
          </w:p>
        </w:tc>
        <w:tc>
          <w:tcPr>
            <w:tcW w:w="1991" w:type="dxa"/>
            <w:vAlign w:val="center"/>
          </w:tcPr>
          <w:p w14:paraId="68342136">
            <w:pPr>
              <w:pStyle w:val="10"/>
              <w:spacing w:line="300" w:lineRule="exact"/>
              <w:ind w:left="0" w:leftChars="0"/>
              <w:rPr>
                <w:rFonts w:ascii="Times New Roman" w:hAnsi="Times New Roman" w:cs="Times New Roman"/>
                <w:b/>
                <w:bCs/>
                <w:sz w:val="28"/>
                <w:szCs w:val="28"/>
                <w:shd w:val="clear" w:color="auto" w:fill="FFFFFF"/>
              </w:rPr>
            </w:pPr>
            <w:r>
              <w:rPr>
                <w:rFonts w:hint="eastAsia" w:ascii="Times New Roman" w:hAnsi="Times New Roman" w:cs="Times New Roman"/>
                <w:b/>
                <w:bCs/>
                <w:sz w:val="28"/>
                <w:szCs w:val="28"/>
                <w:shd w:val="clear" w:color="auto" w:fill="FFFFFF"/>
              </w:rPr>
              <w:t>“十四五”计划投资（万元）</w:t>
            </w:r>
          </w:p>
        </w:tc>
        <w:tc>
          <w:tcPr>
            <w:tcW w:w="1704" w:type="dxa"/>
            <w:vAlign w:val="center"/>
          </w:tcPr>
          <w:p w14:paraId="2B91EE42">
            <w:pPr>
              <w:pStyle w:val="10"/>
              <w:spacing w:line="300" w:lineRule="exact"/>
              <w:ind w:left="0" w:leftChars="0"/>
              <w:rPr>
                <w:rFonts w:ascii="Times New Roman" w:hAnsi="Times New Roman" w:cs="Times New Roman"/>
                <w:b/>
                <w:bCs/>
                <w:sz w:val="28"/>
                <w:szCs w:val="28"/>
                <w:shd w:val="clear" w:color="auto" w:fill="FFFFFF"/>
              </w:rPr>
            </w:pPr>
            <w:r>
              <w:rPr>
                <w:rFonts w:hint="eastAsia" w:ascii="Times New Roman" w:hAnsi="Times New Roman" w:cs="Times New Roman"/>
                <w:b/>
                <w:bCs/>
                <w:sz w:val="28"/>
                <w:szCs w:val="28"/>
                <w:shd w:val="clear" w:color="auto" w:fill="FFFFFF"/>
              </w:rPr>
              <w:t>两年半投资额（万元）</w:t>
            </w:r>
          </w:p>
        </w:tc>
        <w:tc>
          <w:tcPr>
            <w:tcW w:w="1105" w:type="dxa"/>
            <w:vAlign w:val="center"/>
          </w:tcPr>
          <w:p w14:paraId="6D879CD9">
            <w:pPr>
              <w:pStyle w:val="10"/>
              <w:spacing w:line="300" w:lineRule="exact"/>
              <w:ind w:left="0" w:leftChars="0"/>
              <w:rPr>
                <w:rFonts w:ascii="Times New Roman" w:hAnsi="Times New Roman" w:cs="Times New Roman"/>
                <w:b/>
                <w:bCs/>
                <w:sz w:val="28"/>
                <w:szCs w:val="28"/>
                <w:shd w:val="clear" w:color="auto" w:fill="FFFFFF"/>
              </w:rPr>
            </w:pPr>
            <w:r>
              <w:rPr>
                <w:rFonts w:hint="eastAsia" w:ascii="Times New Roman" w:hAnsi="Times New Roman" w:cs="Times New Roman"/>
                <w:b/>
                <w:bCs/>
                <w:sz w:val="28"/>
                <w:szCs w:val="28"/>
                <w:shd w:val="clear" w:color="auto" w:fill="FFFFFF"/>
              </w:rPr>
              <w:t>完工（个）</w:t>
            </w:r>
          </w:p>
        </w:tc>
        <w:tc>
          <w:tcPr>
            <w:tcW w:w="1169" w:type="dxa"/>
            <w:vAlign w:val="center"/>
          </w:tcPr>
          <w:p w14:paraId="5398FF89">
            <w:pPr>
              <w:pStyle w:val="10"/>
              <w:spacing w:line="300" w:lineRule="exact"/>
              <w:ind w:left="0" w:leftChars="0"/>
              <w:rPr>
                <w:rFonts w:ascii="Times New Roman" w:hAnsi="Times New Roman" w:cs="Times New Roman"/>
                <w:b/>
                <w:bCs/>
                <w:sz w:val="28"/>
                <w:szCs w:val="28"/>
                <w:shd w:val="clear" w:color="auto" w:fill="FFFFFF"/>
              </w:rPr>
            </w:pPr>
            <w:r>
              <w:rPr>
                <w:rFonts w:hint="eastAsia" w:ascii="Times New Roman" w:hAnsi="Times New Roman" w:cs="Times New Roman"/>
                <w:b/>
                <w:bCs/>
                <w:sz w:val="28"/>
                <w:szCs w:val="28"/>
                <w:shd w:val="clear" w:color="auto" w:fill="FFFFFF"/>
              </w:rPr>
              <w:t>正在实施（个）</w:t>
            </w:r>
          </w:p>
        </w:tc>
      </w:tr>
      <w:tr w14:paraId="72E8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0" w:type="dxa"/>
            <w:vAlign w:val="center"/>
          </w:tcPr>
          <w:p w14:paraId="45CBD90B">
            <w:pPr>
              <w:pStyle w:val="10"/>
              <w:spacing w:line="300" w:lineRule="exact"/>
              <w:ind w:left="0" w:leftChars="0"/>
              <w:rPr>
                <w:rFonts w:ascii="Times New Roman" w:hAnsi="Times New Roman" w:cs="Times New Roman"/>
                <w:sz w:val="28"/>
                <w:szCs w:val="28"/>
                <w:shd w:val="clear" w:color="auto" w:fill="FFFFFF"/>
              </w:rPr>
            </w:pPr>
            <w:r>
              <w:rPr>
                <w:rFonts w:hint="eastAsia" w:ascii="Times New Roman" w:hAnsi="Times New Roman" w:cs="Times New Roman"/>
                <w:sz w:val="28"/>
                <w:szCs w:val="28"/>
                <w:shd w:val="clear" w:color="auto" w:fill="FFFFFF"/>
              </w:rPr>
              <w:t>交通能源项目（50个）</w:t>
            </w:r>
          </w:p>
        </w:tc>
        <w:tc>
          <w:tcPr>
            <w:tcW w:w="1991" w:type="dxa"/>
            <w:vAlign w:val="center"/>
          </w:tcPr>
          <w:p w14:paraId="3FF95814">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2761008</w:t>
            </w:r>
          </w:p>
        </w:tc>
        <w:tc>
          <w:tcPr>
            <w:tcW w:w="1704" w:type="dxa"/>
            <w:vAlign w:val="center"/>
          </w:tcPr>
          <w:p w14:paraId="42EC51C9">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1034371</w:t>
            </w:r>
          </w:p>
        </w:tc>
        <w:tc>
          <w:tcPr>
            <w:tcW w:w="1105" w:type="dxa"/>
            <w:vAlign w:val="center"/>
          </w:tcPr>
          <w:p w14:paraId="23092F3D">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5</w:t>
            </w:r>
          </w:p>
        </w:tc>
        <w:tc>
          <w:tcPr>
            <w:tcW w:w="1169" w:type="dxa"/>
            <w:vAlign w:val="center"/>
          </w:tcPr>
          <w:p w14:paraId="7D1C73C2">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34</w:t>
            </w:r>
          </w:p>
        </w:tc>
      </w:tr>
      <w:tr w14:paraId="6E5B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0" w:type="dxa"/>
            <w:vAlign w:val="center"/>
          </w:tcPr>
          <w:p w14:paraId="399525D3">
            <w:pPr>
              <w:pStyle w:val="10"/>
              <w:spacing w:line="300" w:lineRule="exact"/>
              <w:ind w:left="0" w:leftChars="0"/>
              <w:rPr>
                <w:rFonts w:ascii="Times New Roman" w:hAnsi="Times New Roman" w:cs="Times New Roman"/>
                <w:sz w:val="28"/>
                <w:szCs w:val="28"/>
                <w:shd w:val="clear" w:color="auto" w:fill="FFFFFF"/>
              </w:rPr>
            </w:pPr>
            <w:r>
              <w:rPr>
                <w:rFonts w:hint="eastAsia" w:ascii="Times New Roman" w:hAnsi="Times New Roman" w:cs="Times New Roman"/>
                <w:sz w:val="28"/>
                <w:szCs w:val="28"/>
                <w:shd w:val="clear" w:color="auto" w:fill="FFFFFF"/>
              </w:rPr>
              <w:t>农林水利项目（29个）</w:t>
            </w:r>
          </w:p>
        </w:tc>
        <w:tc>
          <w:tcPr>
            <w:tcW w:w="1991" w:type="dxa"/>
            <w:vAlign w:val="center"/>
          </w:tcPr>
          <w:p w14:paraId="2088CACF">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597779</w:t>
            </w:r>
          </w:p>
        </w:tc>
        <w:tc>
          <w:tcPr>
            <w:tcW w:w="1704" w:type="dxa"/>
            <w:vAlign w:val="center"/>
          </w:tcPr>
          <w:p w14:paraId="72123D6D">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81325</w:t>
            </w:r>
          </w:p>
        </w:tc>
        <w:tc>
          <w:tcPr>
            <w:tcW w:w="1105" w:type="dxa"/>
            <w:vAlign w:val="center"/>
          </w:tcPr>
          <w:p w14:paraId="33784F40">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2</w:t>
            </w:r>
          </w:p>
        </w:tc>
        <w:tc>
          <w:tcPr>
            <w:tcW w:w="1169" w:type="dxa"/>
            <w:vAlign w:val="center"/>
          </w:tcPr>
          <w:p w14:paraId="2E4DFBC5">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15</w:t>
            </w:r>
          </w:p>
        </w:tc>
      </w:tr>
      <w:tr w14:paraId="619A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0" w:type="dxa"/>
            <w:vAlign w:val="center"/>
          </w:tcPr>
          <w:p w14:paraId="0AC04380">
            <w:pPr>
              <w:pStyle w:val="10"/>
              <w:spacing w:line="300" w:lineRule="exact"/>
              <w:ind w:left="0" w:leftChars="0"/>
              <w:rPr>
                <w:rFonts w:ascii="Times New Roman" w:hAnsi="Times New Roman" w:cs="Times New Roman"/>
                <w:sz w:val="28"/>
                <w:szCs w:val="28"/>
                <w:shd w:val="clear" w:color="auto" w:fill="FFFFFF"/>
              </w:rPr>
            </w:pPr>
            <w:r>
              <w:rPr>
                <w:rFonts w:hint="eastAsia" w:ascii="Times New Roman" w:hAnsi="Times New Roman" w:cs="Times New Roman"/>
                <w:sz w:val="28"/>
                <w:szCs w:val="28"/>
                <w:shd w:val="clear" w:color="auto" w:fill="FFFFFF"/>
              </w:rPr>
              <w:t>社会发展项目（34个）</w:t>
            </w:r>
          </w:p>
        </w:tc>
        <w:tc>
          <w:tcPr>
            <w:tcW w:w="1991" w:type="dxa"/>
            <w:vAlign w:val="center"/>
          </w:tcPr>
          <w:p w14:paraId="4BE6E40D">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1166342</w:t>
            </w:r>
          </w:p>
        </w:tc>
        <w:tc>
          <w:tcPr>
            <w:tcW w:w="1704" w:type="dxa"/>
            <w:vAlign w:val="center"/>
          </w:tcPr>
          <w:p w14:paraId="2C5BF192">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408708</w:t>
            </w:r>
          </w:p>
        </w:tc>
        <w:tc>
          <w:tcPr>
            <w:tcW w:w="1105" w:type="dxa"/>
            <w:vAlign w:val="center"/>
          </w:tcPr>
          <w:p w14:paraId="56F92A05">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5</w:t>
            </w:r>
          </w:p>
        </w:tc>
        <w:tc>
          <w:tcPr>
            <w:tcW w:w="1169" w:type="dxa"/>
            <w:vAlign w:val="center"/>
          </w:tcPr>
          <w:p w14:paraId="59152297">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23</w:t>
            </w:r>
          </w:p>
        </w:tc>
      </w:tr>
      <w:tr w14:paraId="4C01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990" w:type="dxa"/>
            <w:vAlign w:val="center"/>
          </w:tcPr>
          <w:p w14:paraId="3A242537">
            <w:pPr>
              <w:pStyle w:val="10"/>
              <w:spacing w:line="300" w:lineRule="exact"/>
              <w:ind w:left="0" w:leftChars="0"/>
              <w:jc w:val="center"/>
              <w:rPr>
                <w:rFonts w:ascii="Times New Roman" w:hAnsi="Times New Roman" w:cs="Times New Roman"/>
                <w:sz w:val="28"/>
                <w:szCs w:val="28"/>
                <w:shd w:val="clear" w:color="auto" w:fill="FFFFFF"/>
              </w:rPr>
            </w:pPr>
            <w:r>
              <w:rPr>
                <w:rFonts w:hint="eastAsia" w:ascii="Times New Roman" w:hAnsi="Times New Roman" w:cs="Times New Roman"/>
                <w:sz w:val="28"/>
                <w:szCs w:val="28"/>
                <w:shd w:val="clear" w:color="auto" w:fill="FFFFFF"/>
              </w:rPr>
              <w:t>城市建设及基础设施项目（59个）</w:t>
            </w:r>
          </w:p>
        </w:tc>
        <w:tc>
          <w:tcPr>
            <w:tcW w:w="1991" w:type="dxa"/>
            <w:vAlign w:val="center"/>
          </w:tcPr>
          <w:p w14:paraId="2F8E8248">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5412983</w:t>
            </w:r>
          </w:p>
        </w:tc>
        <w:tc>
          <w:tcPr>
            <w:tcW w:w="1704" w:type="dxa"/>
            <w:vAlign w:val="center"/>
          </w:tcPr>
          <w:p w14:paraId="6ECF3DBB">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1685046</w:t>
            </w:r>
          </w:p>
        </w:tc>
        <w:tc>
          <w:tcPr>
            <w:tcW w:w="1105" w:type="dxa"/>
            <w:vAlign w:val="center"/>
          </w:tcPr>
          <w:p w14:paraId="3B55C396">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8</w:t>
            </w:r>
          </w:p>
        </w:tc>
        <w:tc>
          <w:tcPr>
            <w:tcW w:w="1169" w:type="dxa"/>
            <w:vAlign w:val="center"/>
          </w:tcPr>
          <w:p w14:paraId="0F6A53A8">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33</w:t>
            </w:r>
          </w:p>
        </w:tc>
      </w:tr>
      <w:tr w14:paraId="5583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0" w:type="dxa"/>
            <w:vAlign w:val="center"/>
          </w:tcPr>
          <w:p w14:paraId="3DE5CA7B">
            <w:pPr>
              <w:pStyle w:val="10"/>
              <w:spacing w:line="300" w:lineRule="exact"/>
              <w:ind w:left="0" w:leftChars="0"/>
              <w:jc w:val="center"/>
              <w:rPr>
                <w:rFonts w:ascii="Times New Roman" w:hAnsi="Times New Roman" w:cs="Times New Roman"/>
                <w:sz w:val="28"/>
                <w:szCs w:val="28"/>
                <w:shd w:val="clear" w:color="auto" w:fill="FFFFFF"/>
              </w:rPr>
            </w:pPr>
            <w:r>
              <w:rPr>
                <w:rFonts w:hint="eastAsia" w:ascii="Times New Roman" w:hAnsi="Times New Roman" w:cs="Times New Roman"/>
                <w:sz w:val="28"/>
                <w:szCs w:val="28"/>
                <w:shd w:val="clear" w:color="auto" w:fill="FFFFFF"/>
              </w:rPr>
              <w:t>工业项目（61个）</w:t>
            </w:r>
          </w:p>
        </w:tc>
        <w:tc>
          <w:tcPr>
            <w:tcW w:w="1991" w:type="dxa"/>
            <w:vAlign w:val="center"/>
          </w:tcPr>
          <w:p w14:paraId="402CFB3E">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9666753</w:t>
            </w:r>
          </w:p>
        </w:tc>
        <w:tc>
          <w:tcPr>
            <w:tcW w:w="1704" w:type="dxa"/>
            <w:vAlign w:val="center"/>
          </w:tcPr>
          <w:p w14:paraId="6C8C7AE4">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1006616</w:t>
            </w:r>
          </w:p>
        </w:tc>
        <w:tc>
          <w:tcPr>
            <w:tcW w:w="1105" w:type="dxa"/>
            <w:vAlign w:val="center"/>
          </w:tcPr>
          <w:p w14:paraId="6C5F98B3">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21</w:t>
            </w:r>
          </w:p>
        </w:tc>
        <w:tc>
          <w:tcPr>
            <w:tcW w:w="1169" w:type="dxa"/>
            <w:vAlign w:val="center"/>
          </w:tcPr>
          <w:p w14:paraId="7500244C">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14</w:t>
            </w:r>
          </w:p>
        </w:tc>
      </w:tr>
      <w:tr w14:paraId="3A9A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990" w:type="dxa"/>
            <w:vAlign w:val="center"/>
          </w:tcPr>
          <w:p w14:paraId="2A5E9B1A">
            <w:pPr>
              <w:pStyle w:val="10"/>
              <w:spacing w:line="300" w:lineRule="exact"/>
              <w:ind w:left="0" w:leftChars="0"/>
              <w:jc w:val="center"/>
              <w:rPr>
                <w:rFonts w:ascii="Times New Roman" w:hAnsi="Times New Roman" w:cs="Times New Roman"/>
                <w:sz w:val="28"/>
                <w:szCs w:val="28"/>
                <w:shd w:val="clear" w:color="auto" w:fill="FFFFFF"/>
              </w:rPr>
            </w:pPr>
            <w:r>
              <w:rPr>
                <w:rFonts w:hint="eastAsia" w:ascii="Times New Roman" w:hAnsi="Times New Roman" w:cs="Times New Roman"/>
                <w:sz w:val="28"/>
                <w:szCs w:val="28"/>
                <w:shd w:val="clear" w:color="auto" w:fill="FFFFFF"/>
              </w:rPr>
              <w:t>现代服务业及其他项目（56个）</w:t>
            </w:r>
          </w:p>
        </w:tc>
        <w:tc>
          <w:tcPr>
            <w:tcW w:w="1991" w:type="dxa"/>
            <w:vAlign w:val="center"/>
          </w:tcPr>
          <w:p w14:paraId="3C4BEA76">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3853586</w:t>
            </w:r>
          </w:p>
        </w:tc>
        <w:tc>
          <w:tcPr>
            <w:tcW w:w="1704" w:type="dxa"/>
            <w:vAlign w:val="center"/>
          </w:tcPr>
          <w:p w14:paraId="04064C0D">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1052530</w:t>
            </w:r>
          </w:p>
        </w:tc>
        <w:tc>
          <w:tcPr>
            <w:tcW w:w="1105" w:type="dxa"/>
            <w:vAlign w:val="center"/>
          </w:tcPr>
          <w:p w14:paraId="628DAC3B">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6</w:t>
            </w:r>
          </w:p>
        </w:tc>
        <w:tc>
          <w:tcPr>
            <w:tcW w:w="1169" w:type="dxa"/>
            <w:vAlign w:val="center"/>
          </w:tcPr>
          <w:p w14:paraId="4C03D76A">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25</w:t>
            </w:r>
          </w:p>
        </w:tc>
      </w:tr>
      <w:tr w14:paraId="6931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90" w:type="dxa"/>
            <w:vAlign w:val="center"/>
          </w:tcPr>
          <w:p w14:paraId="42370707">
            <w:pPr>
              <w:pStyle w:val="10"/>
              <w:spacing w:line="300" w:lineRule="exact"/>
              <w:ind w:left="0" w:leftChars="0"/>
              <w:jc w:val="center"/>
              <w:rPr>
                <w:rFonts w:ascii="Times New Roman" w:hAnsi="Times New Roman" w:cs="Times New Roman"/>
                <w:sz w:val="28"/>
                <w:szCs w:val="28"/>
                <w:shd w:val="clear" w:color="auto" w:fill="FFFFFF"/>
              </w:rPr>
            </w:pPr>
            <w:r>
              <w:rPr>
                <w:rFonts w:hint="eastAsia" w:ascii="Times New Roman" w:hAnsi="Times New Roman" w:cs="Times New Roman"/>
                <w:b/>
                <w:bCs/>
                <w:sz w:val="28"/>
                <w:szCs w:val="28"/>
                <w:shd w:val="clear" w:color="auto" w:fill="FFFFFF"/>
              </w:rPr>
              <w:t>合计（289个）</w:t>
            </w:r>
          </w:p>
        </w:tc>
        <w:tc>
          <w:tcPr>
            <w:tcW w:w="1991" w:type="dxa"/>
            <w:vAlign w:val="center"/>
          </w:tcPr>
          <w:p w14:paraId="511E4827">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23458451</w:t>
            </w:r>
          </w:p>
        </w:tc>
        <w:tc>
          <w:tcPr>
            <w:tcW w:w="1704" w:type="dxa"/>
            <w:vAlign w:val="center"/>
          </w:tcPr>
          <w:p w14:paraId="5AC86F49">
            <w:pPr>
              <w:pStyle w:val="10"/>
              <w:spacing w:line="300" w:lineRule="exact"/>
              <w:ind w:left="0" w:leftChars="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5268596</w:t>
            </w:r>
          </w:p>
        </w:tc>
        <w:tc>
          <w:tcPr>
            <w:tcW w:w="1105" w:type="dxa"/>
            <w:vAlign w:val="center"/>
          </w:tcPr>
          <w:p w14:paraId="27E06BB2">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47</w:t>
            </w:r>
          </w:p>
        </w:tc>
        <w:tc>
          <w:tcPr>
            <w:tcW w:w="1169" w:type="dxa"/>
            <w:vAlign w:val="center"/>
          </w:tcPr>
          <w:p w14:paraId="537333E9">
            <w:pPr>
              <w:pStyle w:val="10"/>
              <w:spacing w:line="300" w:lineRule="exact"/>
              <w:ind w:left="0" w:leftChars="0"/>
              <w:jc w:val="center"/>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Times New Roman" w:hAnsi="Times New Roman" w:cs="Times New Roman"/>
                <w:color w:val="000000" w:themeColor="text1"/>
                <w:sz w:val="28"/>
                <w:szCs w:val="28"/>
                <w:shd w:val="clear" w:color="auto" w:fill="FFFFFF"/>
                <w14:textFill>
                  <w14:solidFill>
                    <w14:schemeClr w14:val="tx1"/>
                  </w14:solidFill>
                </w14:textFill>
              </w:rPr>
              <w:t>144</w:t>
            </w:r>
          </w:p>
        </w:tc>
      </w:tr>
    </w:tbl>
    <w:p w14:paraId="03FBD09F">
      <w:pPr>
        <w:pStyle w:val="10"/>
        <w:ind w:left="0" w:leftChars="0" w:firstLine="643" w:firstLineChars="200"/>
        <w:rPr>
          <w:rFonts w:ascii="Times New Roman" w:hAnsi="Times New Roman" w:cs="Times New Roman"/>
        </w:rPr>
      </w:pPr>
      <w:r>
        <w:rPr>
          <w:rFonts w:ascii="Times New Roman" w:hAnsi="Times New Roman" w:cs="Times New Roman"/>
          <w:b/>
          <w:bCs/>
        </w:rPr>
        <w:t>区域协同效应充分显现</w:t>
      </w:r>
      <w:r>
        <w:rPr>
          <w:rFonts w:ascii="Times New Roman" w:hAnsi="Times New Roman" w:cs="Times New Roman"/>
        </w:rPr>
        <w:t>。东西部协作有序推进，高标准推进浙川东西部协作产业园、瑞安产业园、晚熟柑橘产业园建设，创新实施东西协作技术精英“骄傲蓝”培育工程，探索东西协作“职业教育+”模式</w:t>
      </w:r>
      <w:r>
        <w:rPr>
          <w:rFonts w:hint="eastAsia" w:ascii="Times New Roman" w:hAnsi="Times New Roman" w:cs="Times New Roman"/>
        </w:rPr>
        <w:t>，</w:t>
      </w:r>
      <w:r>
        <w:rPr>
          <w:rFonts w:ascii="Times New Roman" w:hAnsi="Times New Roman" w:cs="Times New Roman"/>
        </w:rPr>
        <w:t>两年半来</w:t>
      </w:r>
      <w:r>
        <w:rPr>
          <w:rFonts w:hint="eastAsia" w:ascii="Times New Roman" w:hAnsi="Times New Roman" w:cs="Times New Roman"/>
        </w:rPr>
        <w:t>，</w:t>
      </w:r>
      <w:r>
        <w:rPr>
          <w:rFonts w:ascii="Times New Roman" w:hAnsi="Times New Roman" w:cs="Times New Roman"/>
        </w:rPr>
        <w:t>落实计划内财政资金6945万元，社会帮扶资金1650万元，实施援建项目47个。山海协作亮点频出，瑞安文成“双向飞地”建设列入《浙川东西部协作、省域山海协作典型案例》，两地联合成功申报省制造业高质量发展结对促共富示范，获得3年3亿元的财政专项激励，开工建设全省山海协作单体投资额最大的项目-文瑞山海客厅等。主动接轨长三角一体化</w:t>
      </w:r>
      <w:r>
        <w:rPr>
          <w:rFonts w:hint="eastAsia" w:ascii="Times New Roman" w:hAnsi="Times New Roman" w:cs="Times New Roman"/>
        </w:rPr>
        <w:t>，</w:t>
      </w:r>
      <w:r>
        <w:rPr>
          <w:rFonts w:ascii="Times New Roman" w:hAnsi="Times New Roman" w:cs="Times New Roman"/>
        </w:rPr>
        <w:t>在重点头部城市驻点招商，做强云江基金港平台，深化“基金招商”模式，落地和阳智能电梯部件产业化项目等。</w:t>
      </w:r>
    </w:p>
    <w:p w14:paraId="793F906A">
      <w:pPr>
        <w:pStyle w:val="10"/>
        <w:ind w:left="0" w:leftChars="0" w:firstLine="643" w:firstLineChars="200"/>
        <w:rPr>
          <w:rFonts w:ascii="Times New Roman" w:hAnsi="Times New Roman" w:cs="Times New Roman"/>
        </w:rPr>
      </w:pPr>
      <w:r>
        <w:rPr>
          <w:rFonts w:ascii="Times New Roman" w:hAnsi="Times New Roman" w:cs="Times New Roman"/>
          <w:b/>
          <w:bCs/>
        </w:rPr>
        <w:t>开放型经济稳中向好。</w:t>
      </w:r>
      <w:r>
        <w:rPr>
          <w:rFonts w:ascii="Times New Roman" w:hAnsi="Times New Roman" w:cs="Times New Roman"/>
        </w:rPr>
        <w:t>推进</w:t>
      </w:r>
      <w:r>
        <w:rPr>
          <w:rFonts w:ascii="Times New Roman" w:hAnsi="Times New Roman" w:cs="Times New Roman"/>
          <w:szCs w:val="40"/>
        </w:rPr>
        <w:t>内外贸一体化建设，签发全省县级首张RCEP原产地证、落地全省首个镇级自主打印服务点，瑞安市汽车及零部件产业基地获评浙江省内外贸一体化改革试点培育产业基地，</w:t>
      </w:r>
      <w:r>
        <w:rPr>
          <w:rFonts w:ascii="Times New Roman" w:hAnsi="Times New Roman" w:cs="Times New Roman"/>
          <w:szCs w:val="40"/>
          <w:lang w:val="en"/>
        </w:rPr>
        <w:t>7</w:t>
      </w:r>
      <w:r>
        <w:rPr>
          <w:rFonts w:ascii="Times New Roman" w:hAnsi="Times New Roman" w:cs="Times New Roman"/>
          <w:szCs w:val="40"/>
        </w:rPr>
        <w:t>家企业入选全省内外贸一体化“领跑者”培育企业。高水平打造市场采购重要节点，出台市场采购及组货拼箱政策，</w:t>
      </w:r>
      <w:r>
        <w:rPr>
          <w:rFonts w:ascii="Times New Roman" w:hAnsi="Times New Roman" w:cs="Times New Roman"/>
          <w:szCs w:val="32"/>
        </w:rPr>
        <w:t>建成浙南跨境货物公共集拼中心，</w:t>
      </w:r>
      <w:r>
        <w:rPr>
          <w:rFonts w:ascii="Times New Roman" w:hAnsi="Times New Roman" w:cs="Times New Roman"/>
          <w:szCs w:val="40"/>
        </w:rPr>
        <w:t>2022年市场采购贸易额达6.7亿美元、同比增长62%。跨境电商加快发展，获评省级产业集群跨境电商发展试点A级试点县，投运瑞安跨境电商公共服务中心平台。</w:t>
      </w:r>
      <w:r>
        <w:rPr>
          <w:rFonts w:ascii="Times New Roman" w:hAnsi="Times New Roman" w:cs="Times New Roman"/>
        </w:rPr>
        <w:t>荣获浙江国际投资“单一窗口”应用试点。</w:t>
      </w:r>
    </w:p>
    <w:p w14:paraId="54141A84">
      <w:pPr>
        <w:pStyle w:val="10"/>
        <w:ind w:left="0" w:leftChars="0" w:firstLine="643" w:firstLineChars="200"/>
        <w:rPr>
          <w:rFonts w:ascii="Times New Roman" w:hAnsi="Times New Roman" w:cs="Times New Roman"/>
        </w:rPr>
      </w:pPr>
      <w:r>
        <w:rPr>
          <w:rFonts w:ascii="Times New Roman" w:hAnsi="Times New Roman" w:cs="Times New Roman"/>
          <w:b/>
          <w:bCs/>
        </w:rPr>
        <w:t>瑞商融合优势愈加</w:t>
      </w:r>
      <w:r>
        <w:rPr>
          <w:rFonts w:hint="eastAsia" w:ascii="Times New Roman" w:hAnsi="Times New Roman" w:cs="Times New Roman"/>
          <w:b/>
          <w:bCs/>
        </w:rPr>
        <w:t>凸</w:t>
      </w:r>
      <w:r>
        <w:rPr>
          <w:rFonts w:ascii="Times New Roman" w:hAnsi="Times New Roman" w:cs="Times New Roman"/>
          <w:b/>
          <w:bCs/>
        </w:rPr>
        <w:t>显。</w:t>
      </w:r>
      <w:r>
        <w:rPr>
          <w:rFonts w:ascii="Times New Roman" w:hAnsi="Times New Roman" w:cs="Times New Roman"/>
        </w:rPr>
        <w:t>两年半引进总部回归项目38个，实现总部回归税收7.34亿元。吸引全国各地瑞安商会回瑞考察，推动文旅、养老等一批项目落地。为侨服务水平不断增强，成立浙江省侨联法律顾问委员会瑞安分站，投用全省首家县级涉侨主题历史博物馆，指导</w:t>
      </w:r>
      <w:r>
        <w:rPr>
          <w:rFonts w:hint="eastAsia" w:ascii="Times New Roman" w:hAnsi="Times New Roman" w:cs="Times New Roman"/>
        </w:rPr>
        <w:t>上海、</w:t>
      </w:r>
      <w:r>
        <w:rPr>
          <w:rFonts w:ascii="Times New Roman" w:hAnsi="Times New Roman" w:cs="Times New Roman"/>
        </w:rPr>
        <w:t>深圳、佛山、</w:t>
      </w:r>
      <w:r>
        <w:rPr>
          <w:rFonts w:hint="eastAsia" w:ascii="Times New Roman" w:hAnsi="Times New Roman" w:cs="Times New Roman"/>
        </w:rPr>
        <w:t>沈阳、海口</w:t>
      </w:r>
      <w:r>
        <w:rPr>
          <w:rFonts w:ascii="Times New Roman" w:hAnsi="Times New Roman" w:cs="Times New Roman"/>
        </w:rPr>
        <w:t>等地瑞安商会成立筹建，两年半创成浙江省星级“侨胞之家”20家。成功举办2022全球留学青年创业抢位赛欧洲分站赛、2023瑞商大会</w:t>
      </w:r>
      <w:r>
        <w:rPr>
          <w:rFonts w:hint="eastAsia" w:ascii="Times New Roman" w:hAnsi="Times New Roman" w:cs="Times New Roman"/>
        </w:rPr>
        <w:t>、瑞安市在外新生代瑞安联谊会等活动</w:t>
      </w:r>
      <w:r>
        <w:rPr>
          <w:rFonts w:ascii="Times New Roman" w:hAnsi="Times New Roman" w:cs="Times New Roman"/>
        </w:rPr>
        <w:t>，承办2023年省“侨助共富”推进会暨“乡村侨舍”现场会，瑞安日报刊出俄罗斯瑞安商会、波兰瑞安同乡会、潘世锦、郑品海等侨团侨领事迹106期。</w:t>
      </w:r>
    </w:p>
    <w:p w14:paraId="0CE06954">
      <w:pPr>
        <w:pStyle w:val="10"/>
        <w:ind w:left="0" w:leftChars="0" w:firstLine="643" w:firstLineChars="200"/>
        <w:outlineLvl w:val="1"/>
        <w:rPr>
          <w:rFonts w:ascii="Times New Roman" w:hAnsi="Times New Roman" w:cs="Times New Roman"/>
          <w:b/>
          <w:bCs/>
        </w:rPr>
      </w:pPr>
      <w:bookmarkStart w:id="32" w:name="_Toc26980"/>
      <w:bookmarkStart w:id="33" w:name="_Toc27554"/>
      <w:r>
        <w:rPr>
          <w:rFonts w:hint="eastAsia" w:ascii="Times New Roman" w:hAnsi="Times New Roman" w:cs="Times New Roman"/>
          <w:b/>
          <w:bCs/>
        </w:rPr>
        <w:t>（七）</w:t>
      </w:r>
      <w:r>
        <w:rPr>
          <w:rFonts w:ascii="Times New Roman" w:hAnsi="Times New Roman" w:cs="Times New Roman"/>
          <w:b/>
          <w:bCs/>
        </w:rPr>
        <w:t>瓯越文化魅力充分彰显</w:t>
      </w:r>
      <w:bookmarkEnd w:id="32"/>
      <w:bookmarkEnd w:id="33"/>
    </w:p>
    <w:p w14:paraId="759FF4F3">
      <w:pPr>
        <w:pStyle w:val="10"/>
        <w:ind w:left="0" w:leftChars="0" w:firstLine="640" w:firstLineChars="200"/>
        <w:rPr>
          <w:rFonts w:ascii="Times New Roman" w:hAnsi="Times New Roman" w:cs="Times New Roman"/>
          <w:bCs/>
          <w:szCs w:val="32"/>
          <w:lang w:bidi="ar"/>
        </w:rPr>
      </w:pPr>
      <w:r>
        <w:rPr>
          <w:rFonts w:ascii="Times New Roman" w:hAnsi="Times New Roman" w:cs="Times New Roman"/>
          <w:bCs/>
          <w:szCs w:val="32"/>
          <w:lang w:bidi="ar"/>
        </w:rPr>
        <w:t>围绕“十四五”规划纲要提出的“彰显千年瓯越文化新魅”规划目标，统筹历史文化保护传承利用，树立崇德向善的社会风气，推动文化和旅游深度融合，</w:t>
      </w:r>
      <w:r>
        <w:rPr>
          <w:rFonts w:hint="eastAsia" w:ascii="Times New Roman" w:hAnsi="Times New Roman" w:cs="Times New Roman"/>
          <w:bCs/>
          <w:szCs w:val="32"/>
          <w:lang w:bidi="ar"/>
        </w:rPr>
        <w:t>充分</w:t>
      </w:r>
      <w:r>
        <w:rPr>
          <w:rFonts w:ascii="Times New Roman" w:hAnsi="Times New Roman" w:cs="Times New Roman"/>
          <w:bCs/>
          <w:szCs w:val="32"/>
          <w:lang w:bidi="ar"/>
        </w:rPr>
        <w:t>展现千年瓯越文化魅力和时代风采</w:t>
      </w:r>
      <w:r>
        <w:rPr>
          <w:rFonts w:hint="eastAsia" w:ascii="Times New Roman" w:hAnsi="Times New Roman" w:cs="Times New Roman"/>
          <w:bCs/>
          <w:szCs w:val="32"/>
          <w:lang w:bidi="ar"/>
        </w:rPr>
        <w:t>，</w:t>
      </w:r>
      <w:r>
        <w:rPr>
          <w:rFonts w:hint="eastAsia" w:ascii="Times New Roman" w:hAnsi="Times New Roman" w:cs="Times New Roman"/>
          <w:b/>
          <w:szCs w:val="32"/>
          <w:lang w:bidi="ar"/>
        </w:rPr>
        <w:t>创成全温州唯一县级全国文明城市，</w:t>
      </w:r>
      <w:r>
        <w:rPr>
          <w:rFonts w:hint="eastAsia" w:ascii="Times New Roman" w:hAnsi="Times New Roman" w:cs="Times New Roman"/>
          <w:b/>
          <w:szCs w:val="32"/>
        </w:rPr>
        <w:t>入选温州唯一</w:t>
      </w:r>
      <w:r>
        <w:rPr>
          <w:rFonts w:ascii="Times New Roman" w:hAnsi="Times New Roman" w:cs="Times New Roman"/>
          <w:b/>
          <w:szCs w:val="32"/>
        </w:rPr>
        <w:t>国家级文化产业赋能乡村振兴试点</w:t>
      </w:r>
      <w:r>
        <w:rPr>
          <w:rFonts w:hint="eastAsia" w:ascii="Times New Roman" w:hAnsi="Times New Roman" w:cs="Times New Roman"/>
          <w:szCs w:val="32"/>
        </w:rPr>
        <w:t>。</w:t>
      </w:r>
    </w:p>
    <w:p w14:paraId="0B68DFAE">
      <w:pPr>
        <w:pStyle w:val="10"/>
        <w:ind w:left="0" w:leftChars="0" w:firstLine="643" w:firstLineChars="200"/>
        <w:rPr>
          <w:rFonts w:ascii="Times New Roman" w:hAnsi="Times New Roman" w:cs="Times New Roman"/>
          <w:b/>
          <w:szCs w:val="32"/>
          <w:lang w:bidi="ar"/>
        </w:rPr>
      </w:pPr>
      <w:r>
        <w:rPr>
          <w:rFonts w:ascii="Times New Roman" w:hAnsi="Times New Roman" w:cs="Times New Roman"/>
          <w:b/>
          <w:szCs w:val="32"/>
          <w:lang w:bidi="ar"/>
        </w:rPr>
        <w:t>国家历史文化名城加快建设。</w:t>
      </w:r>
      <w:r>
        <w:rPr>
          <w:rFonts w:ascii="Times New Roman" w:hAnsi="Times New Roman" w:cs="Times New Roman"/>
          <w:bCs/>
          <w:szCs w:val="32"/>
          <w:lang w:bidi="ar"/>
        </w:rPr>
        <w:t>“千年古城”文化品牌全面打响，“重现玉海楼”系列展陈项目、南戏故里文化品牌项目加快建设</w:t>
      </w:r>
      <w:r>
        <w:rPr>
          <w:rFonts w:ascii="Times New Roman" w:hAnsi="Times New Roman" w:cs="Times New Roman"/>
          <w:szCs w:val="32"/>
        </w:rPr>
        <w:t>。优秀传统文化活化传承，温州鼓词入选“中国民间文化艺术之乡”全国典型案例，《永嘉学派丛书》作为首个县级古籍项目入选浙江文化研究工程，蓝夹缬成功创建浙江省级非遗工坊，桐浦百艺列入浙江省级非遗工坊创建名单，东梨文旅产业园项目获评浙江省首批文化基因解码成果转化利用示范项目</w:t>
      </w:r>
      <w:r>
        <w:rPr>
          <w:rFonts w:hint="eastAsia" w:ascii="Times New Roman" w:hAnsi="Times New Roman" w:cs="Times New Roman"/>
          <w:szCs w:val="32"/>
        </w:rPr>
        <w:t>，</w:t>
      </w:r>
      <w:r>
        <w:rPr>
          <w:rFonts w:ascii="Times New Roman" w:hAnsi="Times New Roman" w:cs="Times New Roman"/>
          <w:szCs w:val="32"/>
        </w:rPr>
        <w:t>“文化基因解码工程”解码成果获全省优秀。海内外文化交流广泛开展，输送木活字印刷技术、温州鼓词等非遗项目参加央视《乡村大舞台》录制、央视直播间展示以及各大博览会，《琵琶记》献演第五届中国越剧艺术节；</w:t>
      </w:r>
      <w:r>
        <w:rPr>
          <w:rFonts w:ascii="Times New Roman" w:hAnsi="Times New Roman" w:cs="Times New Roman"/>
          <w:color w:val="000000" w:themeColor="text1"/>
          <w:spacing w:val="-6"/>
          <w:szCs w:val="32"/>
          <w14:textFill>
            <w14:solidFill>
              <w14:schemeClr w14:val="tx1"/>
            </w14:solidFill>
          </w14:textFill>
        </w:rPr>
        <w:t>举办2021“讲好中国故事”创意传播大赛温州分站赛、2022浙江·温州鼓词精英汇活动等活动；</w:t>
      </w:r>
      <w:r>
        <w:rPr>
          <w:rFonts w:ascii="Times New Roman" w:hAnsi="Times New Roman" w:cs="Times New Roman"/>
          <w:szCs w:val="32"/>
        </w:rPr>
        <w:t>打造公益联盟大课堂，两年半举办各类公益培训1157场，培训学员34914人。</w:t>
      </w:r>
    </w:p>
    <w:p w14:paraId="55C51333">
      <w:pPr>
        <w:pStyle w:val="10"/>
        <w:ind w:left="0" w:leftChars="0" w:firstLine="643" w:firstLineChars="200"/>
        <w:rPr>
          <w:rFonts w:ascii="Times New Roman" w:hAnsi="Times New Roman" w:cs="Times New Roman"/>
          <w:szCs w:val="32"/>
        </w:rPr>
      </w:pPr>
      <w:r>
        <w:rPr>
          <w:rFonts w:ascii="Times New Roman" w:hAnsi="Times New Roman" w:cs="Times New Roman"/>
          <w:b/>
          <w:szCs w:val="32"/>
          <w:lang w:bidi="ar"/>
        </w:rPr>
        <w:t>新时代文明实践蔚然成风。</w:t>
      </w:r>
      <w:r>
        <w:rPr>
          <w:rFonts w:ascii="Times New Roman" w:hAnsi="Times New Roman" w:cs="Times New Roman"/>
          <w:bCs/>
          <w:szCs w:val="32"/>
          <w:lang w:bidi="ar"/>
        </w:rPr>
        <w:t>巩固全国文明城市创建成果，</w:t>
      </w:r>
      <w:r>
        <w:rPr>
          <w:rFonts w:ascii="Times New Roman" w:hAnsi="Times New Roman" w:cs="Times New Roman"/>
          <w:kern w:val="21"/>
        </w:rPr>
        <w:t>国家级试点新时代文明实践中心建成投用</w:t>
      </w:r>
      <w:r>
        <w:rPr>
          <w:rFonts w:hint="eastAsia" w:ascii="Times New Roman" w:hAnsi="Times New Roman" w:cs="Times New Roman"/>
          <w:kern w:val="21"/>
        </w:rPr>
        <w:t>；两年半，创成温州、瑞安市文明村61个，县级以上文明村比例达87.37%</w:t>
      </w:r>
      <w:r>
        <w:rPr>
          <w:rFonts w:ascii="Times New Roman" w:hAnsi="Times New Roman" w:cs="Times New Roman"/>
          <w:szCs w:val="32"/>
        </w:rPr>
        <w:t>。城市精细化管理水平不断提升，创成全省首批网络综合治理体系建设先行区，启动全域人居环境整治提升新三年行动。围绕“喜迎二十大”“建党100周年”等重大主题和活动，策划开展百场文艺、百场曲艺、百场展览、百场讲座、百场培训、百场阅读、百场红色电影展映。两年半新增国家级最美人物1例，最美浙江人3例，最美温州人4例。道德选树发挥积极示范，</w:t>
      </w:r>
      <w:r>
        <w:rPr>
          <w:rFonts w:ascii="Times New Roman" w:hAnsi="Times New Roman" w:cs="Times New Roman"/>
          <w:szCs w:val="32"/>
          <w:lang w:bidi="ar"/>
        </w:rPr>
        <w:t>两年半新增浙江好人13例，温州好人40例；温州市道德模范和提名奖3人，基本实现镇镇有好人、村村有标兵</w:t>
      </w:r>
      <w:r>
        <w:rPr>
          <w:rFonts w:ascii="Times New Roman" w:hAnsi="Times New Roman" w:cs="Times New Roman"/>
          <w:color w:val="000000" w:themeColor="text1"/>
          <w:szCs w:val="32"/>
          <w14:textFill>
            <w14:solidFill>
              <w14:schemeClr w14:val="tx1"/>
            </w14:solidFill>
          </w14:textFill>
        </w:rPr>
        <w:t>。</w:t>
      </w:r>
    </w:p>
    <w:p w14:paraId="2BD1F861">
      <w:pPr>
        <w:pStyle w:val="10"/>
        <w:ind w:left="0" w:leftChars="0" w:firstLine="643" w:firstLineChars="200"/>
        <w:rPr>
          <w:rFonts w:ascii="Times New Roman" w:hAnsi="Times New Roman" w:cs="Times New Roman"/>
          <w:szCs w:val="32"/>
        </w:rPr>
      </w:pPr>
      <w:r>
        <w:rPr>
          <w:rFonts w:ascii="Times New Roman" w:hAnsi="Times New Roman" w:cs="Times New Roman"/>
          <w:b/>
          <w:szCs w:val="32"/>
          <w:lang w:bidi="ar"/>
        </w:rPr>
        <w:t>公共文化服务体系日趋完善。</w:t>
      </w:r>
      <w:r>
        <w:rPr>
          <w:rFonts w:ascii="Times New Roman" w:hAnsi="Times New Roman" w:cs="Times New Roman"/>
          <w:bCs/>
          <w:szCs w:val="32"/>
          <w:lang w:bidi="ar"/>
        </w:rPr>
        <w:t>公共文化设施网络织密织深，市图书馆成功创建全省首批“满意图书馆”，建成全省首家寓言主题城市书房，南戏传承研究中心和一批乡镇级南戏演艺中心建成并对外开放，两年半建成”15分钟品质文化生活圈”190个，行政村（社区）文化活动中心和体育健身点覆盖率达100%。打造并应用全省首个版权作品登记申报服务系统，推出全省首批“农家云书屋”。文化资源下沉提质，两年半开展文艺送下乡3003场、送书下乡110.77万余册、展览讲座8528场、文艺培训470场。原创鼓词《带货姑娘》</w:t>
      </w:r>
      <w:r>
        <w:rPr>
          <w:rFonts w:hint="eastAsia" w:ascii="Times New Roman" w:hAnsi="Times New Roman" w:cs="Times New Roman"/>
          <w:bCs/>
          <w:szCs w:val="32"/>
          <w:lang w:bidi="ar"/>
        </w:rPr>
        <w:t>、</w:t>
      </w:r>
      <w:r>
        <w:rPr>
          <w:rFonts w:ascii="Times New Roman" w:hAnsi="Times New Roman" w:cs="Times New Roman"/>
          <w:bCs/>
          <w:szCs w:val="32"/>
          <w:lang w:bidi="ar"/>
        </w:rPr>
        <w:t>与央视合作电影《塘河保卫战》</w:t>
      </w:r>
      <w:r>
        <w:rPr>
          <w:rFonts w:hint="eastAsia" w:ascii="Times New Roman" w:hAnsi="Times New Roman" w:cs="Times New Roman"/>
          <w:bCs/>
          <w:szCs w:val="32"/>
          <w:lang w:bidi="ar"/>
        </w:rPr>
        <w:t>、</w:t>
      </w:r>
      <w:r>
        <w:rPr>
          <w:rFonts w:ascii="Times New Roman" w:hAnsi="Times New Roman" w:cs="Times New Roman"/>
          <w:bCs/>
          <w:szCs w:val="32"/>
          <w:lang w:bidi="ar"/>
        </w:rPr>
        <w:t>原创歌曲《那一天》</w:t>
      </w:r>
      <w:r>
        <w:rPr>
          <w:rFonts w:hint="eastAsia" w:ascii="Times New Roman" w:hAnsi="Times New Roman" w:cs="Times New Roman"/>
          <w:bCs/>
          <w:szCs w:val="32"/>
          <w:lang w:bidi="ar"/>
        </w:rPr>
        <w:t>等一批</w:t>
      </w:r>
      <w:r>
        <w:rPr>
          <w:rFonts w:ascii="Times New Roman" w:hAnsi="Times New Roman" w:cs="Times New Roman"/>
          <w:bCs/>
          <w:szCs w:val="32"/>
          <w:lang w:bidi="ar"/>
        </w:rPr>
        <w:t>文艺精品创频频涌现。</w:t>
      </w:r>
    </w:p>
    <w:p w14:paraId="1D784ADF">
      <w:pPr>
        <w:pStyle w:val="10"/>
        <w:ind w:left="0" w:leftChars="0" w:firstLine="643" w:firstLineChars="200"/>
        <w:rPr>
          <w:rFonts w:ascii="Times New Roman" w:hAnsi="Times New Roman" w:cs="Times New Roman"/>
          <w:szCs w:val="32"/>
        </w:rPr>
      </w:pPr>
      <w:r>
        <w:rPr>
          <w:rFonts w:ascii="Times New Roman" w:hAnsi="Times New Roman" w:cs="Times New Roman"/>
          <w:b/>
          <w:bCs/>
          <w:szCs w:val="32"/>
        </w:rPr>
        <w:t>文旅融合产业更具竞争力。</w:t>
      </w:r>
      <w:r>
        <w:rPr>
          <w:rFonts w:ascii="Times New Roman" w:hAnsi="Times New Roman" w:cs="Times New Roman"/>
          <w:szCs w:val="32"/>
        </w:rPr>
        <w:t>“云江悠境”“陶泉福地”“蓝海风情”三条文旅精品带提速打造，国家4A级景区城完成验收，马屿创成省4A级景区镇，陶山、桐浦创成省3A级景区镇，林川溪坦文创街区获评温州工业旅游新锐十景。乡村民宿集群化、精品化发展，两年半全市共培育浙江省级民宿3家、温州市侨家乐民宿4家。常态化开展研学基地（营地）年度综合评价考核，两年半创成省级研学基地1个、温州市级研学基地8个、瑞安市级研学基地10个。打造瑞安十大文旅品牌节庆、十大文旅品牌市集、十大瑞安文创品（旅游商品）、十大乡镇特色宴席、十条精品旅游线路，培育省级文化和旅游IP1个、文旅特色街区3个、百县千碗体验店3家、示范店1家。</w:t>
      </w:r>
    </w:p>
    <w:p w14:paraId="282DA7FF">
      <w:pPr>
        <w:pStyle w:val="10"/>
        <w:ind w:left="0" w:leftChars="0" w:firstLine="643" w:firstLineChars="200"/>
        <w:outlineLvl w:val="1"/>
        <w:rPr>
          <w:rFonts w:ascii="Times New Roman" w:hAnsi="Times New Roman" w:cs="Times New Roman"/>
          <w:b/>
          <w:bCs/>
          <w:szCs w:val="32"/>
        </w:rPr>
      </w:pPr>
      <w:bookmarkStart w:id="34" w:name="_Toc15372"/>
      <w:bookmarkStart w:id="35" w:name="_Toc26583"/>
      <w:r>
        <w:rPr>
          <w:rFonts w:hint="eastAsia" w:ascii="Times New Roman" w:hAnsi="Times New Roman" w:cs="Times New Roman"/>
          <w:b/>
          <w:bCs/>
          <w:szCs w:val="32"/>
        </w:rPr>
        <w:t>（八）</w:t>
      </w:r>
      <w:r>
        <w:rPr>
          <w:rFonts w:ascii="Times New Roman" w:hAnsi="Times New Roman" w:cs="Times New Roman"/>
          <w:b/>
          <w:bCs/>
          <w:szCs w:val="32"/>
        </w:rPr>
        <w:t>生态文明建设步入快车道</w:t>
      </w:r>
      <w:bookmarkEnd w:id="34"/>
      <w:bookmarkEnd w:id="35"/>
    </w:p>
    <w:p w14:paraId="56D82F44">
      <w:pPr>
        <w:widowControl/>
        <w:ind w:firstLine="640" w:firstLineChars="200"/>
        <w:rPr>
          <w:rFonts w:ascii="Times New Roman" w:hAnsi="Times New Roman" w:cs="Times New Roman"/>
          <w:color w:val="000000"/>
          <w:kern w:val="0"/>
          <w:szCs w:val="32"/>
          <w:lang w:bidi="ar"/>
        </w:rPr>
      </w:pPr>
      <w:r>
        <w:rPr>
          <w:rFonts w:ascii="Times New Roman" w:hAnsi="Times New Roman" w:cs="Times New Roman"/>
          <w:kern w:val="0"/>
          <w:szCs w:val="32"/>
          <w:lang w:bidi="ar"/>
        </w:rPr>
        <w:t>围绕</w:t>
      </w:r>
      <w:r>
        <w:rPr>
          <w:rFonts w:ascii="Times New Roman" w:hAnsi="Times New Roman" w:cs="Times New Roman"/>
          <w:szCs w:val="32"/>
          <w:lang w:bidi="ar"/>
        </w:rPr>
        <w:t>“十四五”规划纲要提出的</w:t>
      </w:r>
      <w:r>
        <w:rPr>
          <w:rFonts w:ascii="Times New Roman" w:hAnsi="Times New Roman" w:cs="Times New Roman"/>
          <w:kern w:val="0"/>
          <w:szCs w:val="32"/>
          <w:lang w:bidi="ar"/>
        </w:rPr>
        <w:t>“建设全域美丽生态文明新样板”的目标，以规划赋能实现空间增值，以实现减污降碳协同增效为抓手，统筹污染治理、生态保护、应对气候变化，</w:t>
      </w:r>
      <w:r>
        <w:rPr>
          <w:rFonts w:ascii="Times New Roman" w:hAnsi="Times New Roman" w:cs="Times New Roman"/>
          <w:color w:val="000000"/>
          <w:kern w:val="0"/>
          <w:szCs w:val="32"/>
          <w:lang w:bidi="ar"/>
        </w:rPr>
        <w:t>深入打好污染防治攻坚战，</w:t>
      </w:r>
      <w:r>
        <w:rPr>
          <w:rFonts w:hint="eastAsia" w:ascii="Times New Roman" w:hAnsi="Times New Roman" w:cs="Times New Roman"/>
          <w:b/>
          <w:bCs/>
          <w:color w:val="000000"/>
          <w:kern w:val="0"/>
          <w:szCs w:val="32"/>
          <w:lang w:bidi="ar"/>
        </w:rPr>
        <w:t>获评</w:t>
      </w:r>
      <w:r>
        <w:rPr>
          <w:rFonts w:ascii="Times New Roman" w:hAnsi="Times New Roman" w:cs="Times New Roman"/>
          <w:b/>
          <w:bCs/>
          <w:color w:val="000000"/>
          <w:szCs w:val="32"/>
        </w:rPr>
        <w:t>全国第四批节水型社会建设达标县</w:t>
      </w:r>
      <w:r>
        <w:rPr>
          <w:rFonts w:hint="eastAsia" w:ascii="Times New Roman" w:hAnsi="Times New Roman" w:cs="Times New Roman"/>
          <w:b/>
          <w:bCs/>
          <w:color w:val="000000"/>
          <w:szCs w:val="32"/>
        </w:rPr>
        <w:t>、</w:t>
      </w:r>
      <w:r>
        <w:rPr>
          <w:rFonts w:ascii="Times New Roman" w:hAnsi="Times New Roman" w:cs="Times New Roman"/>
          <w:b/>
          <w:bCs/>
          <w:color w:val="000000"/>
          <w:kern w:val="0"/>
          <w:szCs w:val="32"/>
          <w:lang w:bidi="ar"/>
        </w:rPr>
        <w:t>省级生态文明建设示范区</w:t>
      </w:r>
      <w:r>
        <w:rPr>
          <w:rFonts w:hint="eastAsia" w:ascii="Times New Roman" w:hAnsi="Times New Roman" w:cs="Times New Roman"/>
          <w:b/>
          <w:bCs/>
          <w:color w:val="000000"/>
          <w:kern w:val="0"/>
          <w:szCs w:val="32"/>
          <w:lang w:bidi="ar"/>
        </w:rPr>
        <w:t>、</w:t>
      </w:r>
      <w:r>
        <w:rPr>
          <w:rFonts w:ascii="Times New Roman" w:hAnsi="Times New Roman" w:cs="Times New Roman"/>
          <w:b/>
          <w:bCs/>
          <w:color w:val="000000"/>
          <w:szCs w:val="32"/>
        </w:rPr>
        <w:t>全省清新空气示范区，入选全国自然资源节约集约示范县（市）</w:t>
      </w:r>
      <w:r>
        <w:rPr>
          <w:rFonts w:hint="eastAsia" w:ascii="Times New Roman" w:hAnsi="Times New Roman" w:cs="Times New Roman"/>
          <w:color w:val="000000"/>
          <w:kern w:val="0"/>
          <w:szCs w:val="32"/>
          <w:lang w:bidi="ar"/>
        </w:rPr>
        <w:t>。</w:t>
      </w:r>
    </w:p>
    <w:p w14:paraId="1B62118B">
      <w:pPr>
        <w:widowControl/>
        <w:ind w:firstLine="643" w:firstLineChars="200"/>
        <w:rPr>
          <w:rFonts w:ascii="Times New Roman" w:hAnsi="Times New Roman" w:cs="Times New Roman"/>
          <w:szCs w:val="32"/>
        </w:rPr>
      </w:pPr>
      <w:r>
        <w:rPr>
          <w:rFonts w:ascii="Times New Roman" w:hAnsi="Times New Roman" w:cs="Times New Roman"/>
          <w:b/>
          <w:bCs/>
          <w:color w:val="000000"/>
          <w:kern w:val="0"/>
          <w:szCs w:val="32"/>
          <w:lang w:bidi="ar"/>
        </w:rPr>
        <w:t>国土空间治理现代化稳步推进。</w:t>
      </w:r>
      <w:r>
        <w:rPr>
          <w:rFonts w:ascii="Times New Roman" w:hAnsi="Times New Roman" w:cs="Times New Roman"/>
          <w:bCs/>
          <w:szCs w:val="32"/>
        </w:rPr>
        <w:t>完成“三区三线”划定，</w:t>
      </w:r>
      <w:r>
        <w:rPr>
          <w:rFonts w:hint="eastAsia" w:ascii="Times New Roman" w:hAnsi="Times New Roman" w:cs="Times New Roman"/>
          <w:bCs/>
          <w:szCs w:val="32"/>
        </w:rPr>
        <w:t>两年半以来</w:t>
      </w:r>
      <w:r>
        <w:rPr>
          <w:rFonts w:ascii="Times New Roman" w:hAnsi="Times New Roman" w:cs="Times New Roman"/>
          <w:bCs/>
          <w:szCs w:val="32"/>
        </w:rPr>
        <w:t>，争取到新增建设用地计划指标7672亩</w:t>
      </w:r>
      <w:r>
        <w:rPr>
          <w:rFonts w:hint="eastAsia" w:ascii="Times New Roman" w:hAnsi="Times New Roman" w:cs="Times New Roman"/>
          <w:bCs/>
          <w:szCs w:val="32"/>
        </w:rPr>
        <w:t>、</w:t>
      </w:r>
      <w:r>
        <w:rPr>
          <w:rFonts w:ascii="Times New Roman" w:hAnsi="Times New Roman" w:cs="Times New Roman"/>
          <w:bCs/>
          <w:szCs w:val="32"/>
        </w:rPr>
        <w:t>居全省前列</w:t>
      </w:r>
      <w:r>
        <w:rPr>
          <w:rFonts w:hint="eastAsia" w:ascii="Times New Roman" w:hAnsi="Times New Roman" w:cs="Times New Roman"/>
          <w:bCs/>
          <w:color w:val="000000"/>
          <w:szCs w:val="32"/>
        </w:rPr>
        <w:t>。</w:t>
      </w:r>
      <w:r>
        <w:rPr>
          <w:rFonts w:ascii="Times New Roman" w:hAnsi="Times New Roman" w:cs="Times New Roman"/>
          <w:bCs/>
          <w:szCs w:val="32"/>
        </w:rPr>
        <w:t>海洋综合开发利用工作获市长批示肯定，丁山三期6205亩围填海历史遗留问题处置方案顺利通过自然资源部备案，获得全省首例“交海即办证”不动产登记证书、办理全省首宗海域使用共有产权。“一张图”国土空间治理体系基本构建，“浙地智用”获评省域国土空间治理“最优场景”。</w:t>
      </w:r>
      <w:r>
        <w:rPr>
          <w:rFonts w:hint="eastAsia" w:ascii="Times New Roman" w:hAnsi="Times New Roman" w:cs="Times New Roman"/>
          <w:bCs/>
          <w:szCs w:val="32"/>
        </w:rPr>
        <w:t>实施“万亩更新，千亩垦造”行动，实行土地整治与新增建设用地指标分配、奖励相挂钩，提高乡镇街、村集体垦造积极性。</w:t>
      </w:r>
    </w:p>
    <w:p w14:paraId="0DEE5261">
      <w:pPr>
        <w:pStyle w:val="6"/>
        <w:ind w:firstLine="643"/>
        <w:rPr>
          <w:rFonts w:ascii="Times New Roman" w:hAnsi="Times New Roman" w:cs="Times New Roman"/>
          <w:color w:val="000000"/>
          <w:szCs w:val="32"/>
        </w:rPr>
      </w:pPr>
      <w:r>
        <w:rPr>
          <w:rFonts w:ascii="Times New Roman" w:hAnsi="Times New Roman" w:cs="Times New Roman"/>
          <w:b/>
          <w:bCs/>
          <w:color w:val="000000"/>
          <w:kern w:val="0"/>
          <w:szCs w:val="32"/>
          <w:lang w:bidi="ar"/>
        </w:rPr>
        <w:t>蓝绿交织的生态屏障基本成型。</w:t>
      </w:r>
      <w:r>
        <w:rPr>
          <w:rFonts w:hint="eastAsia" w:ascii="Times New Roman" w:hAnsi="Times New Roman" w:cs="Times New Roman"/>
          <w:color w:val="000000"/>
          <w:szCs w:val="32"/>
        </w:rPr>
        <w:t>启动</w:t>
      </w:r>
      <w:r>
        <w:rPr>
          <w:rFonts w:ascii="Times New Roman" w:hAnsi="Times New Roman" w:cs="Times New Roman"/>
          <w:color w:val="000000"/>
          <w:szCs w:val="32"/>
        </w:rPr>
        <w:t>国家森林城市创建和南北麂列岛国家公园创建，列入全省第一批林业增汇试点县，</w:t>
      </w:r>
      <w:r>
        <w:rPr>
          <w:rFonts w:ascii="Times New Roman" w:hAnsi="Times New Roman" w:cs="Times New Roman"/>
          <w:szCs w:val="32"/>
        </w:rPr>
        <w:t>松材线虫病防治、疫木除治均超额完成省定任务，“林长+检察长”森林病虫害防治监管体系受上级部门高度肯定，福泉林场获评全国绿化先进集体。</w:t>
      </w:r>
      <w:r>
        <w:rPr>
          <w:rFonts w:hint="eastAsia" w:ascii="Times New Roman" w:hAnsi="Times New Roman" w:cs="Times New Roman"/>
          <w:color w:val="000000"/>
          <w:szCs w:val="32"/>
        </w:rPr>
        <w:t>推动</w:t>
      </w:r>
      <w:r>
        <w:rPr>
          <w:rFonts w:ascii="Times New Roman" w:hAnsi="Times New Roman" w:cs="Times New Roman"/>
          <w:color w:val="000000"/>
          <w:szCs w:val="32"/>
        </w:rPr>
        <w:t>全市绿化质量提升，实现森林面积、森林覆盖率、林木蓄积量“三增长”。推进海洋生态修复，瑞安市海岸带保护修复工程完工，</w:t>
      </w:r>
      <w:r>
        <w:rPr>
          <w:rFonts w:ascii="Times New Roman" w:hAnsi="Times New Roman" w:cs="Times New Roman"/>
          <w:szCs w:val="32"/>
        </w:rPr>
        <w:t>“菜鱼共生”“稻虾共生”“稻鳖共生”等稻田养殖模式全面推广。开展近岸海域海洋环境监测，编制《瑞安市海洋生态环境公报》。</w:t>
      </w:r>
    </w:p>
    <w:p w14:paraId="45191C7D">
      <w:pPr>
        <w:pStyle w:val="10"/>
        <w:ind w:left="0" w:leftChars="0" w:firstLine="643" w:firstLineChars="200"/>
        <w:rPr>
          <w:rFonts w:ascii="Times New Roman" w:hAnsi="Times New Roman" w:cs="Times New Roman"/>
          <w:color w:val="000000"/>
          <w:szCs w:val="32"/>
        </w:rPr>
      </w:pPr>
      <w:r>
        <w:rPr>
          <w:rFonts w:ascii="Times New Roman" w:hAnsi="Times New Roman" w:cs="Times New Roman"/>
          <w:b/>
          <w:bCs/>
          <w:color w:val="000000"/>
          <w:kern w:val="0"/>
          <w:szCs w:val="32"/>
          <w:lang w:bidi="ar"/>
        </w:rPr>
        <w:t>蓝天碧水净土清废保卫战卓有成效。</w:t>
      </w:r>
      <w:r>
        <w:rPr>
          <w:rFonts w:ascii="Times New Roman" w:hAnsi="Times New Roman" w:cs="Times New Roman"/>
          <w:color w:val="000000"/>
          <w:szCs w:val="32"/>
        </w:rPr>
        <w:t>打好蓝天保卫战，落实PM2.5和臭氧浓度“双控双减”，美丽浙江建设考核优秀。打好碧水保卫战，投用江北污水处理厂清洁技术改造工程，城镇污水处理全部达到省清洁排放标准，实现“污水零直排区”全域覆盖，污水日处理能力居温州第一。打好净土保卫战，</w:t>
      </w:r>
      <w:r>
        <w:rPr>
          <w:rFonts w:ascii="Times New Roman" w:hAnsi="Times New Roman" w:cs="Times New Roman"/>
          <w:color w:val="000000" w:themeColor="text1"/>
          <w:szCs w:val="32"/>
          <w14:textFill>
            <w14:solidFill>
              <w14:schemeClr w14:val="tx1"/>
            </w14:solidFill>
          </w14:textFill>
        </w:rPr>
        <w:t>投运工业固废智能处置中心</w:t>
      </w:r>
      <w:r>
        <w:rPr>
          <w:rFonts w:hint="eastAsia" w:ascii="Times New Roman" w:hAnsi="Times New Roman" w:cs="Times New Roman"/>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小微企业危废收运签约率和转运率均达100%，签约和转运企业数量列温州首位。</w:t>
      </w:r>
      <w:r>
        <w:rPr>
          <w:rFonts w:ascii="Times New Roman" w:hAnsi="Times New Roman" w:cs="Times New Roman"/>
          <w:color w:val="000000"/>
          <w:szCs w:val="32"/>
        </w:rPr>
        <w:t>深入推进省级全域无废城市创建，完成垃圾填埋场建设，投用温州首个县域餐厨废弃物处置中心，</w:t>
      </w:r>
      <w:r>
        <w:rPr>
          <w:rFonts w:ascii="Times New Roman" w:hAnsi="Times New Roman" w:cs="Times New Roman"/>
          <w:kern w:val="21"/>
        </w:rPr>
        <w:t>基本完成无废细胞创建工作</w:t>
      </w:r>
      <w:r>
        <w:rPr>
          <w:rFonts w:ascii="Times New Roman" w:hAnsi="Times New Roman" w:cs="Times New Roman"/>
          <w:color w:val="000000"/>
          <w:szCs w:val="32"/>
        </w:rPr>
        <w:t>，获评省农村生活垃圾分类处理工作优胜县。</w:t>
      </w:r>
    </w:p>
    <w:p w14:paraId="6843F1EA">
      <w:pPr>
        <w:widowControl/>
        <w:ind w:firstLine="643" w:firstLineChars="200"/>
        <w:rPr>
          <w:rFonts w:ascii="Times New Roman" w:hAnsi="Times New Roman" w:cs="Times New Roman"/>
          <w:color w:val="000000"/>
          <w:szCs w:val="32"/>
        </w:rPr>
      </w:pPr>
      <w:r>
        <w:rPr>
          <w:rFonts w:ascii="Times New Roman" w:hAnsi="Times New Roman" w:cs="Times New Roman"/>
          <w:b/>
          <w:bCs/>
          <w:color w:val="000000"/>
          <w:szCs w:val="32"/>
        </w:rPr>
        <w:t>水利设施建设持续夯实。</w:t>
      </w:r>
      <w:r>
        <w:rPr>
          <w:rFonts w:ascii="Times New Roman" w:hAnsi="Times New Roman" w:cs="Times New Roman"/>
          <w:color w:val="000000"/>
          <w:szCs w:val="32"/>
        </w:rPr>
        <w:t>水旱灾害防御得到新提升，持续开展全域山洪灾害调查工作，建立“三张清单一张图一方案”并动态复核管理；通过声光电及数字化手段显著提升监测预报预警能力，完成全市水旱灾害风险普查，绘制山丘区中小河流淹没图，深入开展群测群防体系建设。水资源管理持续深化，规范执行取水许可制度和审批程序，全面推行取水许可电子证照；两年半创成省级节水型单位2个，省级节水标杆单位11个，省级节水型小区11个。</w:t>
      </w:r>
      <w:r>
        <w:rPr>
          <w:rFonts w:hint="eastAsia" w:ascii="Times New Roman" w:hAnsi="Times New Roman" w:cs="Times New Roman"/>
          <w:color w:val="000000"/>
          <w:szCs w:val="32"/>
        </w:rPr>
        <w:t>两年半以来，创成</w:t>
      </w:r>
      <w:r>
        <w:rPr>
          <w:rFonts w:ascii="Times New Roman" w:hAnsi="Times New Roman" w:cs="Times New Roman"/>
          <w:color w:val="000000"/>
          <w:szCs w:val="32"/>
        </w:rPr>
        <w:t>省级美丽河湖</w:t>
      </w:r>
      <w:r>
        <w:rPr>
          <w:rFonts w:hint="eastAsia" w:ascii="Times New Roman" w:hAnsi="Times New Roman" w:cs="Times New Roman"/>
          <w:color w:val="000000"/>
          <w:szCs w:val="32"/>
        </w:rPr>
        <w:t>2个、市级</w:t>
      </w:r>
      <w:r>
        <w:rPr>
          <w:rFonts w:ascii="Times New Roman" w:hAnsi="Times New Roman" w:cs="Times New Roman"/>
          <w:color w:val="000000"/>
          <w:szCs w:val="32"/>
        </w:rPr>
        <w:t>水美乡镇</w:t>
      </w:r>
      <w:r>
        <w:rPr>
          <w:rFonts w:hint="eastAsia" w:ascii="Times New Roman" w:hAnsi="Times New Roman" w:cs="Times New Roman"/>
          <w:color w:val="000000"/>
          <w:szCs w:val="32"/>
        </w:rPr>
        <w:t>3个、市级</w:t>
      </w:r>
      <w:r>
        <w:rPr>
          <w:rFonts w:ascii="Times New Roman" w:hAnsi="Times New Roman" w:cs="Times New Roman"/>
          <w:color w:val="000000"/>
          <w:szCs w:val="32"/>
        </w:rPr>
        <w:t>美丽河湖水上碧道</w:t>
      </w:r>
      <w:r>
        <w:rPr>
          <w:rFonts w:hint="eastAsia" w:ascii="Times New Roman" w:hAnsi="Times New Roman" w:cs="Times New Roman"/>
          <w:color w:val="000000"/>
          <w:szCs w:val="32"/>
        </w:rPr>
        <w:t>3条。</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B80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522" w:type="dxa"/>
          </w:tcPr>
          <w:p w14:paraId="39E3E6B6">
            <w:pPr>
              <w:widowControl/>
              <w:spacing w:line="400" w:lineRule="exact"/>
              <w:jc w:val="center"/>
              <w:rPr>
                <w:rFonts w:ascii="Times New Roman" w:hAnsi="Times New Roman" w:cs="Times New Roman"/>
                <w:b/>
                <w:bCs/>
                <w:color w:val="000000"/>
                <w:kern w:val="0"/>
                <w:sz w:val="28"/>
                <w:szCs w:val="28"/>
                <w:lang w:bidi="ar"/>
              </w:rPr>
            </w:pPr>
            <w:r>
              <w:rPr>
                <w:rFonts w:ascii="Times New Roman" w:hAnsi="Times New Roman" w:cs="Times New Roman"/>
                <w:b/>
                <w:bCs/>
                <w:color w:val="000000"/>
                <w:kern w:val="0"/>
                <w:sz w:val="28"/>
                <w:szCs w:val="28"/>
                <w:lang w:bidi="ar"/>
              </w:rPr>
              <w:t>专栏：重大防洪减灾工程完成情况</w:t>
            </w:r>
          </w:p>
          <w:p w14:paraId="3A452EC5">
            <w:pPr>
              <w:widowControl/>
              <w:spacing w:line="400" w:lineRule="exact"/>
              <w:ind w:firstLine="562" w:firstLineChars="200"/>
              <w:jc w:val="left"/>
              <w:rPr>
                <w:rFonts w:ascii="Times New Roman" w:hAnsi="Times New Roman" w:cs="Times New Roman"/>
                <w:sz w:val="28"/>
                <w:szCs w:val="28"/>
              </w:rPr>
            </w:pPr>
            <w:r>
              <w:rPr>
                <w:rFonts w:ascii="Times New Roman" w:hAnsi="Times New Roman" w:cs="Times New Roman"/>
                <w:b/>
                <w:bCs/>
                <w:color w:val="000000"/>
                <w:kern w:val="0"/>
                <w:sz w:val="28"/>
                <w:szCs w:val="28"/>
                <w:lang w:bidi="ar"/>
              </w:rPr>
              <w:t>江河治理骨干工程：</w:t>
            </w:r>
            <w:r>
              <w:rPr>
                <w:rFonts w:ascii="Times New Roman" w:hAnsi="Times New Roman" w:cs="Times New Roman"/>
                <w:color w:val="000000"/>
                <w:sz w:val="28"/>
                <w:szCs w:val="28"/>
              </w:rPr>
              <w:t>飞云江二期工程（桐田段）1.88公里开工建设，目前已完成工程主体部分。</w:t>
            </w:r>
          </w:p>
          <w:p w14:paraId="4320CBDD">
            <w:pPr>
              <w:widowControl/>
              <w:spacing w:line="400" w:lineRule="exact"/>
              <w:ind w:firstLine="562" w:firstLineChars="200"/>
              <w:jc w:val="left"/>
              <w:rPr>
                <w:rFonts w:ascii="Times New Roman" w:hAnsi="Times New Roman" w:cs="Times New Roman"/>
                <w:color w:val="000000"/>
                <w:sz w:val="28"/>
                <w:szCs w:val="28"/>
              </w:rPr>
            </w:pPr>
            <w:r>
              <w:rPr>
                <w:rFonts w:ascii="Times New Roman" w:hAnsi="Times New Roman" w:cs="Times New Roman"/>
                <w:b/>
                <w:bCs/>
                <w:color w:val="000000"/>
                <w:kern w:val="0"/>
                <w:sz w:val="28"/>
                <w:szCs w:val="28"/>
                <w:lang w:bidi="ar"/>
              </w:rPr>
              <w:t>平原排涝工程：</w:t>
            </w:r>
            <w:r>
              <w:rPr>
                <w:rFonts w:ascii="Times New Roman" w:hAnsi="Times New Roman" w:cs="Times New Roman"/>
                <w:color w:val="000000"/>
                <w:sz w:val="28"/>
                <w:szCs w:val="28"/>
              </w:rPr>
              <w:t>温瑞平原南部排涝一期工程已基本完工，下埠泵闸、肖宅泵闸已投入试运行。</w:t>
            </w:r>
          </w:p>
          <w:p w14:paraId="251CDC88">
            <w:pPr>
              <w:widowControl/>
              <w:spacing w:line="400" w:lineRule="exact"/>
              <w:ind w:firstLine="562" w:firstLineChars="200"/>
              <w:jc w:val="left"/>
              <w:rPr>
                <w:rFonts w:ascii="Times New Roman" w:hAnsi="Times New Roman" w:cs="Times New Roman"/>
                <w:color w:val="000000"/>
                <w:sz w:val="28"/>
                <w:szCs w:val="28"/>
              </w:rPr>
            </w:pPr>
            <w:r>
              <w:rPr>
                <w:rFonts w:ascii="Times New Roman" w:hAnsi="Times New Roman" w:cs="Times New Roman"/>
                <w:b/>
                <w:bCs/>
                <w:color w:val="000000"/>
                <w:kern w:val="0"/>
                <w:sz w:val="28"/>
                <w:szCs w:val="28"/>
                <w:lang w:bidi="ar"/>
              </w:rPr>
              <w:t>水库工程：</w:t>
            </w:r>
            <w:r>
              <w:rPr>
                <w:rFonts w:ascii="Times New Roman" w:hAnsi="Times New Roman" w:cs="Times New Roman"/>
                <w:color w:val="000000"/>
                <w:sz w:val="28"/>
                <w:szCs w:val="28"/>
              </w:rPr>
              <w:t>林溪水库除险加固二期工程已开工建设，六科水库已完成可研编制。</w:t>
            </w:r>
          </w:p>
          <w:p w14:paraId="2763C5C3">
            <w:pPr>
              <w:widowControl/>
              <w:spacing w:line="400" w:lineRule="exact"/>
              <w:ind w:firstLine="562" w:firstLineChars="200"/>
              <w:jc w:val="left"/>
              <w:rPr>
                <w:rFonts w:ascii="Times New Roman" w:hAnsi="Times New Roman" w:cs="Times New Roman"/>
                <w:color w:val="000000"/>
                <w:sz w:val="28"/>
                <w:szCs w:val="28"/>
              </w:rPr>
            </w:pPr>
            <w:r>
              <w:rPr>
                <w:rFonts w:ascii="Times New Roman" w:hAnsi="Times New Roman" w:cs="Times New Roman"/>
                <w:b/>
                <w:bCs/>
                <w:color w:val="000000"/>
                <w:kern w:val="0"/>
                <w:sz w:val="28"/>
                <w:szCs w:val="28"/>
                <w:lang w:bidi="ar"/>
              </w:rPr>
              <w:t>生态河道建设：</w:t>
            </w:r>
            <w:r>
              <w:rPr>
                <w:rFonts w:ascii="Times New Roman" w:hAnsi="Times New Roman" w:cs="Times New Roman"/>
                <w:color w:val="000000"/>
                <w:sz w:val="28"/>
                <w:szCs w:val="28"/>
              </w:rPr>
              <w:t>完成建设生态河道9.4公里，河岸绿植面积17000平方米（25亩）。</w:t>
            </w:r>
          </w:p>
          <w:p w14:paraId="6B87ABA1">
            <w:pPr>
              <w:widowControl/>
              <w:spacing w:line="400" w:lineRule="exact"/>
              <w:ind w:firstLine="562" w:firstLineChars="200"/>
              <w:jc w:val="left"/>
              <w:rPr>
                <w:rFonts w:ascii="Times New Roman" w:hAnsi="Times New Roman" w:cs="Times New Roman"/>
                <w:b/>
                <w:bCs/>
                <w:color w:val="FF0000"/>
                <w:kern w:val="0"/>
                <w:sz w:val="28"/>
                <w:szCs w:val="28"/>
                <w:lang w:bidi="ar"/>
              </w:rPr>
            </w:pPr>
            <w:r>
              <w:rPr>
                <w:rFonts w:ascii="Times New Roman" w:hAnsi="Times New Roman" w:cs="Times New Roman"/>
                <w:b/>
                <w:bCs/>
                <w:color w:val="000000"/>
                <w:kern w:val="0"/>
                <w:sz w:val="28"/>
                <w:szCs w:val="28"/>
                <w:lang w:bidi="ar"/>
              </w:rPr>
              <w:t>海塘安澜安全+融合工程：</w:t>
            </w:r>
            <w:r>
              <w:rPr>
                <w:rFonts w:ascii="Times New Roman" w:hAnsi="Times New Roman" w:cs="Times New Roman"/>
                <w:color w:val="000000"/>
                <w:sz w:val="28"/>
                <w:szCs w:val="28"/>
              </w:rPr>
              <w:t>完成海塘安澜工程（东延伸A段海塘）建设，开工建设海塘安澜工程（丁山二期海塘）、海塘安澜工程（阁巷海塘）。</w:t>
            </w:r>
          </w:p>
        </w:tc>
      </w:tr>
    </w:tbl>
    <w:p w14:paraId="1648C220">
      <w:pPr>
        <w:pStyle w:val="7"/>
        <w:ind w:firstLine="643" w:firstLineChars="200"/>
        <w:jc w:val="both"/>
        <w:rPr>
          <w:rFonts w:ascii="Times New Roman" w:hAnsi="Times New Roman" w:cs="Times New Roman"/>
          <w:color w:val="000000"/>
          <w:szCs w:val="32"/>
        </w:rPr>
      </w:pPr>
      <w:r>
        <w:rPr>
          <w:rFonts w:ascii="Times New Roman" w:hAnsi="Times New Roman" w:cs="Times New Roman"/>
          <w:b/>
          <w:bCs/>
          <w:color w:val="000000"/>
          <w:kern w:val="0"/>
          <w:szCs w:val="32"/>
          <w:lang w:bidi="ar"/>
        </w:rPr>
        <w:t>绿色低碳转型初显成效。</w:t>
      </w:r>
      <w:r>
        <w:rPr>
          <w:rFonts w:ascii="Times New Roman" w:hAnsi="Times New Roman" w:cs="Times New Roman"/>
          <w:color w:val="000000"/>
          <w:kern w:val="0"/>
          <w:szCs w:val="32"/>
          <w:lang w:bidi="ar"/>
        </w:rPr>
        <w:t>抓好碳达峰碳中和工作，</w:t>
      </w:r>
      <w:r>
        <w:rPr>
          <w:rFonts w:ascii="Times New Roman" w:hAnsi="Times New Roman" w:cs="Times New Roman"/>
        </w:rPr>
        <w:t>贯通省能效倒逼“双碳”协同创新应用，马屿镇和东源村入选全省第二批低（零）碳试点。抓好能源保障供应，建成公用充电站67座、充电桩699台，</w:t>
      </w:r>
      <w:r>
        <w:rPr>
          <w:rFonts w:ascii="Times New Roman" w:hAnsi="Times New Roman" w:cs="Times New Roman"/>
          <w:color w:val="000000"/>
          <w:kern w:val="0"/>
          <w:szCs w:val="32"/>
          <w:lang w:bidi="ar"/>
        </w:rPr>
        <w:t>实现充换电设施“镇镇通”；</w:t>
      </w:r>
      <w:r>
        <w:rPr>
          <w:rFonts w:ascii="Times New Roman" w:hAnsi="Times New Roman" w:cs="Times New Roman"/>
        </w:rPr>
        <w:t>入选浙江省整县（市、区）推进分布式光伏规模化开发试点，</w:t>
      </w:r>
      <w:r>
        <w:rPr>
          <w:rFonts w:hint="eastAsia" w:ascii="Times New Roman" w:hAnsi="Times New Roman" w:cs="Times New Roman"/>
          <w:color w:val="000000"/>
          <w:kern w:val="0"/>
          <w:szCs w:val="32"/>
          <w:lang w:eastAsia="zh-CN" w:bidi="ar"/>
        </w:rPr>
        <w:t>截至2023年6月，</w:t>
      </w:r>
      <w:r>
        <w:rPr>
          <w:rFonts w:ascii="Times New Roman" w:hAnsi="Times New Roman" w:cs="Times New Roman"/>
          <w:color w:val="000000"/>
          <w:kern w:val="0"/>
          <w:szCs w:val="32"/>
          <w:lang w:bidi="ar"/>
        </w:rPr>
        <w:t>完成整县分布式光伏项目装机容量7.8万千瓦。</w:t>
      </w:r>
      <w:r>
        <w:rPr>
          <w:rFonts w:ascii="Times New Roman" w:hAnsi="Times New Roman" w:cs="Times New Roman"/>
        </w:rPr>
        <w:t>抓好能耗“双控”工作，遏制“两高”项目盲目发展</w:t>
      </w:r>
      <w:r>
        <w:rPr>
          <w:rFonts w:ascii="Times New Roman" w:hAnsi="Times New Roman" w:cs="Times New Roman"/>
          <w:color w:val="000000" w:themeColor="text1"/>
          <w:kern w:val="21"/>
          <w:szCs w:val="32"/>
          <w14:textFill>
            <w14:solidFill>
              <w14:schemeClr w14:val="tx1"/>
            </w14:solidFill>
          </w14:textFill>
        </w:rPr>
        <w:t>，2022年迎峰度夏期间日平均压降负荷达16万千瓦，压降总量居温州首位。抓好低碳循环经济，</w:t>
      </w:r>
      <w:r>
        <w:rPr>
          <w:rFonts w:ascii="Times New Roman" w:hAnsi="Times New Roman" w:cs="Times New Roman"/>
        </w:rPr>
        <w:t>通过省级资源循环利用示范城市试点终期验收，瑞安经开区通过省级园区循环化改造试点终期评估，</w:t>
      </w:r>
      <w:r>
        <w:rPr>
          <w:rFonts w:ascii="Times New Roman" w:hAnsi="Times New Roman" w:cs="Times New Roman"/>
          <w:color w:val="000000" w:themeColor="text1"/>
          <w:kern w:val="21"/>
          <w:szCs w:val="32"/>
          <w14:textFill>
            <w14:solidFill>
              <w14:schemeClr w14:val="tx1"/>
            </w14:solidFill>
          </w14:textFill>
        </w:rPr>
        <w:t>两年半创成国家级绿色工厂3家</w:t>
      </w:r>
      <w:r>
        <w:rPr>
          <w:rFonts w:hint="eastAsia" w:ascii="Times New Roman" w:hAnsi="Times New Roman" w:cs="Times New Roman"/>
          <w:color w:val="000000" w:themeColor="text1"/>
          <w:kern w:val="21"/>
          <w:szCs w:val="32"/>
          <w14:textFill>
            <w14:solidFill>
              <w14:schemeClr w14:val="tx1"/>
            </w14:solidFill>
          </w14:textFill>
        </w:rPr>
        <w:t>、</w:t>
      </w:r>
      <w:r>
        <w:rPr>
          <w:rFonts w:ascii="Times New Roman" w:hAnsi="Times New Roman" w:cs="Times New Roman"/>
          <w:color w:val="000000" w:themeColor="text1"/>
          <w:kern w:val="21"/>
          <w:szCs w:val="32"/>
          <w14:textFill>
            <w14:solidFill>
              <w14:schemeClr w14:val="tx1"/>
            </w14:solidFill>
          </w14:textFill>
        </w:rPr>
        <w:t>省级5家，</w:t>
      </w:r>
      <w:r>
        <w:rPr>
          <w:rFonts w:ascii="Times New Roman" w:hAnsi="Times New Roman" w:cs="Times New Roman"/>
          <w:color w:val="000000"/>
          <w:szCs w:val="32"/>
        </w:rPr>
        <w:t>整治提升高耗低效企业</w:t>
      </w:r>
      <w:r>
        <w:rPr>
          <w:rFonts w:ascii="Times New Roman" w:hAnsi="Times New Roman" w:cs="Times New Roman"/>
          <w:color w:val="000000" w:themeColor="text1"/>
          <w:kern w:val="21"/>
          <w:szCs w:val="32"/>
          <w14:textFill>
            <w14:solidFill>
              <w14:schemeClr w14:val="tx1"/>
            </w14:solidFill>
          </w14:textFill>
        </w:rPr>
        <w:t>496</w:t>
      </w:r>
      <w:r>
        <w:rPr>
          <w:rFonts w:ascii="Times New Roman" w:hAnsi="Times New Roman" w:cs="Times New Roman"/>
          <w:color w:val="000000"/>
          <w:szCs w:val="32"/>
        </w:rPr>
        <w:t>家，腾出用地2560.7亩、用能33234吨标煤</w:t>
      </w:r>
      <w:r>
        <w:rPr>
          <w:rFonts w:ascii="Times New Roman" w:hAnsi="Times New Roman" w:cs="Times New Roman"/>
        </w:rPr>
        <w:t>。</w:t>
      </w:r>
    </w:p>
    <w:p w14:paraId="3A6B1CF0">
      <w:pPr>
        <w:pStyle w:val="10"/>
        <w:ind w:left="0" w:leftChars="0" w:firstLine="643" w:firstLineChars="200"/>
        <w:outlineLvl w:val="1"/>
        <w:rPr>
          <w:rFonts w:ascii="Times New Roman" w:hAnsi="Times New Roman" w:cs="Times New Roman"/>
          <w:b/>
          <w:bCs/>
          <w:color w:val="000000"/>
          <w:szCs w:val="32"/>
        </w:rPr>
      </w:pPr>
      <w:bookmarkStart w:id="36" w:name="_Toc7710"/>
      <w:bookmarkStart w:id="37" w:name="_Toc20176"/>
      <w:r>
        <w:rPr>
          <w:rFonts w:hint="eastAsia" w:ascii="Times New Roman" w:hAnsi="Times New Roman" w:cs="Times New Roman"/>
          <w:b/>
          <w:bCs/>
          <w:color w:val="000000"/>
          <w:szCs w:val="32"/>
        </w:rPr>
        <w:t>（九）</w:t>
      </w:r>
      <w:r>
        <w:rPr>
          <w:rFonts w:ascii="Times New Roman" w:hAnsi="Times New Roman" w:cs="Times New Roman"/>
          <w:b/>
          <w:bCs/>
          <w:color w:val="000000"/>
          <w:szCs w:val="32"/>
        </w:rPr>
        <w:t>幸福城市底色持续擦亮</w:t>
      </w:r>
      <w:bookmarkEnd w:id="36"/>
      <w:bookmarkEnd w:id="37"/>
    </w:p>
    <w:p w14:paraId="76D2F8AA">
      <w:pPr>
        <w:pStyle w:val="10"/>
        <w:ind w:left="0" w:leftChars="0" w:firstLine="640" w:firstLineChars="200"/>
        <w:rPr>
          <w:rFonts w:ascii="Times New Roman" w:hAnsi="Times New Roman" w:cs="Times New Roman"/>
          <w:kern w:val="0"/>
          <w:szCs w:val="32"/>
          <w:lang w:bidi="ar"/>
        </w:rPr>
      </w:pPr>
      <w:r>
        <w:rPr>
          <w:rFonts w:ascii="Times New Roman" w:hAnsi="Times New Roman" w:cs="Times New Roman"/>
          <w:kern w:val="0"/>
          <w:szCs w:val="32"/>
          <w:lang w:bidi="ar"/>
        </w:rPr>
        <w:t>围绕“</w:t>
      </w:r>
      <w:r>
        <w:rPr>
          <w:rFonts w:ascii="Times New Roman" w:hAnsi="Times New Roman" w:cs="Times New Roman"/>
          <w:szCs w:val="32"/>
          <w:lang w:bidi="ar"/>
        </w:rPr>
        <w:t>十四五”规划纲要提出的</w:t>
      </w:r>
      <w:r>
        <w:rPr>
          <w:rFonts w:ascii="Times New Roman" w:hAnsi="Times New Roman" w:cs="Times New Roman"/>
          <w:kern w:val="0"/>
          <w:szCs w:val="32"/>
          <w:lang w:bidi="ar"/>
        </w:rPr>
        <w:t>“树立以人为本幸福城市新标杆”的目标，</w:t>
      </w:r>
      <w:r>
        <w:rPr>
          <w:rFonts w:hint="eastAsia" w:ascii="Times New Roman" w:hAnsi="Times New Roman" w:cs="Times New Roman"/>
          <w:kern w:val="0"/>
          <w:szCs w:val="32"/>
          <w:lang w:bidi="ar"/>
        </w:rPr>
        <w:t>聚焦人才的</w:t>
      </w:r>
      <w:r>
        <w:rPr>
          <w:rFonts w:ascii="Times New Roman" w:hAnsi="Times New Roman" w:cs="Times New Roman"/>
          <w:kern w:val="0"/>
          <w:szCs w:val="32"/>
          <w:lang w:bidi="ar"/>
        </w:rPr>
        <w:t>全生命周期需求，</w:t>
      </w:r>
      <w:r>
        <w:rPr>
          <w:rFonts w:ascii="Times New Roman" w:hAnsi="Times New Roman" w:cs="Times New Roman"/>
          <w:b/>
          <w:bCs/>
          <w:kern w:val="0"/>
          <w:szCs w:val="32"/>
          <w:lang w:bidi="ar"/>
        </w:rPr>
        <w:t>老年友好城市</w:t>
      </w:r>
      <w:r>
        <w:rPr>
          <w:rFonts w:hint="eastAsia" w:ascii="Times New Roman" w:hAnsi="Times New Roman" w:cs="Times New Roman"/>
          <w:b/>
          <w:bCs/>
          <w:kern w:val="0"/>
          <w:szCs w:val="32"/>
          <w:lang w:bidi="ar"/>
        </w:rPr>
        <w:t>、儿童友好城市建设加快推进</w:t>
      </w:r>
      <w:r>
        <w:rPr>
          <w:rFonts w:ascii="Times New Roman" w:hAnsi="Times New Roman" w:cs="Times New Roman"/>
          <w:b/>
          <w:bCs/>
          <w:kern w:val="0"/>
          <w:szCs w:val="32"/>
          <w:lang w:bidi="ar"/>
        </w:rPr>
        <w:t>，国家卫生城市</w:t>
      </w:r>
      <w:r>
        <w:rPr>
          <w:rFonts w:hint="eastAsia" w:ascii="Times New Roman" w:hAnsi="Times New Roman" w:cs="Times New Roman"/>
          <w:b/>
          <w:bCs/>
          <w:kern w:val="0"/>
          <w:szCs w:val="32"/>
          <w:lang w:bidi="ar"/>
        </w:rPr>
        <w:t>成果巩固提升，</w:t>
      </w:r>
      <w:r>
        <w:rPr>
          <w:rFonts w:ascii="Times New Roman" w:hAnsi="Times New Roman" w:cs="Times New Roman"/>
          <w:b/>
          <w:bCs/>
          <w:kern w:val="0"/>
          <w:szCs w:val="32"/>
          <w:lang w:bidi="ar"/>
        </w:rPr>
        <w:t>“瑞有安育”“瑞有安学”“瑞有安业”“瑞有安康”“瑞有安养”“瑞有安居”“瑞有安助”等“七优享”</w:t>
      </w:r>
      <w:r>
        <w:rPr>
          <w:rFonts w:hint="eastAsia" w:ascii="Times New Roman" w:hAnsi="Times New Roman" w:cs="Times New Roman"/>
          <w:b/>
          <w:bCs/>
          <w:kern w:val="0"/>
          <w:szCs w:val="32"/>
          <w:lang w:bidi="ar"/>
        </w:rPr>
        <w:t>品牌全力打响</w:t>
      </w:r>
      <w:r>
        <w:rPr>
          <w:rFonts w:hint="eastAsia" w:ascii="Times New Roman" w:hAnsi="Times New Roman" w:cs="Times New Roman"/>
          <w:kern w:val="0"/>
          <w:szCs w:val="32"/>
          <w:lang w:bidi="ar"/>
        </w:rPr>
        <w:t>。</w:t>
      </w:r>
    </w:p>
    <w:p w14:paraId="0DB2A0A2">
      <w:pPr>
        <w:pStyle w:val="10"/>
        <w:ind w:left="0" w:leftChars="0" w:firstLine="643" w:firstLineChars="200"/>
        <w:rPr>
          <w:rStyle w:val="40"/>
          <w:rFonts w:ascii="Times New Roman" w:hAnsi="Times New Roman" w:cs="Times New Roman"/>
          <w:kern w:val="0"/>
          <w:sz w:val="32"/>
          <w:szCs w:val="32"/>
        </w:rPr>
      </w:pPr>
      <w:r>
        <w:rPr>
          <w:rFonts w:ascii="Times New Roman" w:hAnsi="Times New Roman" w:cs="Times New Roman"/>
          <w:b/>
          <w:bCs/>
          <w:color w:val="000000"/>
          <w:kern w:val="0"/>
          <w:szCs w:val="32"/>
          <w:lang w:bidi="ar"/>
        </w:rPr>
        <w:t>教育现代化水平不断提升。</w:t>
      </w:r>
      <w:r>
        <w:rPr>
          <w:rFonts w:hint="eastAsia" w:ascii="Times New Roman" w:hAnsi="Times New Roman" w:cs="Times New Roman"/>
          <w:color w:val="000000"/>
          <w:kern w:val="0"/>
          <w:szCs w:val="32"/>
          <w:lang w:bidi="ar"/>
        </w:rPr>
        <w:t>多层次多样化教育供给扩容提质，</w:t>
      </w:r>
      <w:r>
        <w:rPr>
          <w:rFonts w:hint="eastAsia" w:ascii="Times New Roman" w:hAnsi="Times New Roman" w:cs="Times New Roman"/>
          <w:szCs w:val="32"/>
        </w:rPr>
        <w:t>深化</w:t>
      </w:r>
      <w:r>
        <w:rPr>
          <w:rFonts w:ascii="Times New Roman" w:hAnsi="Times New Roman" w:cs="Times New Roman"/>
          <w:szCs w:val="32"/>
        </w:rPr>
        <w:t>公办幼儿园办园体制改革配套政策试点、老年教育联盟省级试点建设，教共体结对学校义务教育阶段实现全覆盖，新居民子女入读公办义务教育学校实现同城待遇，省教育现代化发展水平监测排名全省第47，温州第6，两年半建成投用学校（幼儿园）25个、新增学位9900个。稳妥有序落实教育“双减”政策，全面推进学校课后托管服务和培训机构治理。深入推进智慧教育，中小学、幼儿园“智安校园”建设均实现全覆盖，列入国家智慧教育平台地方试点。全面打造“玉海名师”，两年半获温州市“三名”称号27人，获省特级教师称号6人，均创瑞安历史新高。积极开展教育领域改革创新，率全省之先通过政府购买服务方式打造一批与公办园“同级同质同价”的公益园，义务教育学校参与现代学校联盟实现全覆盖。</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1B2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3DA22C9D">
            <w:pPr>
              <w:spacing w:line="400" w:lineRule="exact"/>
              <w:jc w:val="center"/>
              <w:rPr>
                <w:rFonts w:ascii="Times New Roman" w:hAnsi="Times New Roman" w:cs="Times New Roman"/>
                <w:b/>
                <w:kern w:val="0"/>
                <w:sz w:val="28"/>
                <w:szCs w:val="28"/>
              </w:rPr>
            </w:pPr>
            <w:r>
              <w:rPr>
                <w:rFonts w:ascii="Times New Roman" w:hAnsi="Times New Roman" w:cs="Times New Roman"/>
                <w:b/>
                <w:kern w:val="0"/>
                <w:sz w:val="28"/>
                <w:szCs w:val="28"/>
              </w:rPr>
              <w:t>专栏：两年半教育设施建设情况</w:t>
            </w:r>
          </w:p>
          <w:p w14:paraId="1CE1752D">
            <w:pPr>
              <w:widowControl/>
              <w:spacing w:line="400" w:lineRule="exact"/>
              <w:ind w:firstLine="562" w:firstLineChars="200"/>
              <w:rPr>
                <w:rFonts w:ascii="Times New Roman" w:hAnsi="Times New Roman" w:cs="Times New Roman"/>
                <w:sz w:val="28"/>
                <w:szCs w:val="28"/>
              </w:rPr>
            </w:pPr>
            <w:r>
              <w:rPr>
                <w:rFonts w:ascii="Times New Roman" w:hAnsi="Times New Roman" w:cs="Times New Roman"/>
                <w:b/>
                <w:kern w:val="0"/>
                <w:sz w:val="28"/>
                <w:szCs w:val="28"/>
              </w:rPr>
              <w:t>建成投用</w:t>
            </w:r>
            <w:r>
              <w:rPr>
                <w:rFonts w:ascii="Times New Roman" w:hAnsi="Times New Roman" w:cs="Times New Roman"/>
                <w:bCs/>
                <w:kern w:val="0"/>
                <w:sz w:val="28"/>
                <w:szCs w:val="28"/>
              </w:rPr>
              <w:t>：</w:t>
            </w:r>
            <w:r>
              <w:rPr>
                <w:rFonts w:ascii="Times New Roman" w:hAnsi="Times New Roman" w:cs="Times New Roman"/>
                <w:sz w:val="28"/>
                <w:szCs w:val="28"/>
              </w:rPr>
              <w:t>共投用25个建设项目，其中幼儿园13个项目，完成建筑面积36.55万平方米，总投资19.07亿元。</w:t>
            </w:r>
          </w:p>
          <w:p w14:paraId="25F8717D">
            <w:pPr>
              <w:spacing w:line="400" w:lineRule="exact"/>
              <w:ind w:firstLine="562" w:firstLineChars="200"/>
              <w:rPr>
                <w:rFonts w:ascii="Times New Roman" w:hAnsi="Times New Roman" w:cs="Times New Roman"/>
                <w:bCs/>
                <w:kern w:val="0"/>
                <w:szCs w:val="32"/>
              </w:rPr>
            </w:pPr>
            <w:r>
              <w:rPr>
                <w:rFonts w:ascii="Times New Roman" w:hAnsi="Times New Roman" w:cs="Times New Roman"/>
                <w:b/>
                <w:bCs/>
                <w:sz w:val="28"/>
                <w:szCs w:val="28"/>
              </w:rPr>
              <w:t>正在建设：</w:t>
            </w:r>
            <w:r>
              <w:rPr>
                <w:rFonts w:ascii="Times New Roman" w:hAnsi="Times New Roman" w:cs="Times New Roman"/>
                <w:sz w:val="28"/>
                <w:szCs w:val="28"/>
              </w:rPr>
              <w:t>在建项目共13个，项目前期审批阶段11个。</w:t>
            </w:r>
          </w:p>
        </w:tc>
      </w:tr>
    </w:tbl>
    <w:p w14:paraId="1D1E8EC3">
      <w:pPr>
        <w:spacing w:line="560" w:lineRule="exact"/>
        <w:ind w:firstLine="643" w:firstLineChars="200"/>
        <w:rPr>
          <w:rStyle w:val="40"/>
          <w:rFonts w:ascii="Times New Roman" w:hAnsi="Times New Roman" w:cs="Times New Roman"/>
          <w:kern w:val="0"/>
          <w:sz w:val="32"/>
          <w:szCs w:val="32"/>
        </w:rPr>
      </w:pPr>
      <w:r>
        <w:rPr>
          <w:rStyle w:val="40"/>
          <w:rFonts w:ascii="Times New Roman" w:hAnsi="Times New Roman" w:cs="Times New Roman"/>
          <w:b/>
          <w:bCs/>
          <w:kern w:val="0"/>
          <w:sz w:val="32"/>
          <w:szCs w:val="32"/>
        </w:rPr>
        <w:t>卫生健康事业蓬勃发展</w:t>
      </w:r>
      <w:r>
        <w:rPr>
          <w:rStyle w:val="40"/>
          <w:rFonts w:ascii="Times New Roman" w:hAnsi="Times New Roman" w:cs="Times New Roman"/>
          <w:kern w:val="0"/>
          <w:sz w:val="32"/>
          <w:szCs w:val="32"/>
        </w:rPr>
        <w:t>。优质医疗资源提质扩容，市人民医院创成全省首批县级“三甲”医院，公立医院综合改革评价居全省第三，乡镇卫生院实现中医馆全覆盖，通过国家卫生城市复审。深化省“三医联动、六医统筹”集成改革试点建设，落实点数付费改革及医疗服务项目价格调整，市级医院均实现收支平衡。加大公共卫生保障力度，率全省之先打造瑞安急救云台账系统，日最大核酸检测能力居温州各县（市、区）之首，18岁以上人群加强针接种率超过温州全市平均水平。中医药事业稳步发展，</w:t>
      </w:r>
      <w:r>
        <w:rPr>
          <w:rFonts w:ascii="Times New Roman" w:hAnsi="Times New Roman" w:cs="Times New Roman"/>
          <w:szCs w:val="32"/>
        </w:rPr>
        <w:t>中医药特色人才加快培养，财政支持规模进一步扩大。</w:t>
      </w:r>
      <w:r>
        <w:rPr>
          <w:rStyle w:val="40"/>
          <w:rFonts w:ascii="Times New Roman" w:hAnsi="Times New Roman" w:cs="Times New Roman"/>
          <w:kern w:val="0"/>
          <w:sz w:val="32"/>
          <w:szCs w:val="32"/>
        </w:rPr>
        <w:t>瑞安市业余体校获评全省唯一全国青少年体育训练中心试点单位，在第十七届浙江省运动会及温州市第17届运动会中，总奖牌和金牌数均居温州各县（市、区）第一。</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7A08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794DA80C">
            <w:pPr>
              <w:spacing w:line="400" w:lineRule="exact"/>
              <w:jc w:val="center"/>
              <w:rPr>
                <w:rFonts w:ascii="Times New Roman" w:hAnsi="Times New Roman" w:cs="Times New Roman"/>
                <w:b/>
                <w:kern w:val="0"/>
                <w:sz w:val="28"/>
                <w:szCs w:val="28"/>
              </w:rPr>
            </w:pPr>
            <w:r>
              <w:rPr>
                <w:rFonts w:ascii="Times New Roman" w:hAnsi="Times New Roman" w:cs="Times New Roman"/>
                <w:b/>
                <w:kern w:val="0"/>
                <w:sz w:val="28"/>
                <w:szCs w:val="28"/>
              </w:rPr>
              <w:t>专栏：两年半医疗卫生和体育设施建设情况</w:t>
            </w:r>
          </w:p>
          <w:p w14:paraId="6781B4B1">
            <w:pPr>
              <w:spacing w:line="400" w:lineRule="exact"/>
              <w:ind w:firstLine="562" w:firstLineChars="200"/>
              <w:rPr>
                <w:rFonts w:ascii="Times New Roman" w:hAnsi="Times New Roman" w:cs="Times New Roman"/>
                <w:b/>
                <w:kern w:val="0"/>
                <w:sz w:val="28"/>
                <w:szCs w:val="28"/>
              </w:rPr>
            </w:pPr>
            <w:r>
              <w:rPr>
                <w:rFonts w:ascii="Times New Roman" w:hAnsi="Times New Roman" w:cs="Times New Roman"/>
                <w:b/>
                <w:kern w:val="0"/>
                <w:sz w:val="28"/>
                <w:szCs w:val="28"/>
              </w:rPr>
              <w:t>1.医疗卫生设施。建成投用</w:t>
            </w:r>
            <w:r>
              <w:rPr>
                <w:rFonts w:ascii="Times New Roman" w:hAnsi="Times New Roman" w:cs="Times New Roman"/>
                <w:bCs/>
                <w:kern w:val="0"/>
                <w:sz w:val="28"/>
                <w:szCs w:val="28"/>
              </w:rPr>
              <w:t>：</w:t>
            </w:r>
            <w:r>
              <w:rPr>
                <w:rFonts w:ascii="Times New Roman" w:hAnsi="Times New Roman" w:cs="Times New Roman"/>
                <w:sz w:val="28"/>
                <w:szCs w:val="28"/>
              </w:rPr>
              <w:t>市第三人民医院扩建工程、高楼镇卫生院迁建工程、高楼镇卫生院宁益分院改建工程、高楼镇卫生院高楼分院改建工程、瑞安市人民医院瑞祥院区感染病综合楼工程、市第五人民医院改扩建工程、桐浦镇卫生院基建工程、南滨街道社区卫生服务中心基建工程、芳庄乡卫生院迁建工程、湖岭镇卫生院迁建工程。</w:t>
            </w:r>
            <w:r>
              <w:rPr>
                <w:rFonts w:ascii="Times New Roman" w:hAnsi="Times New Roman" w:cs="Times New Roman"/>
                <w:b/>
                <w:kern w:val="0"/>
                <w:sz w:val="28"/>
                <w:szCs w:val="28"/>
              </w:rPr>
              <w:t>正在建设</w:t>
            </w:r>
            <w:r>
              <w:rPr>
                <w:rFonts w:ascii="Times New Roman" w:hAnsi="Times New Roman" w:cs="Times New Roman"/>
                <w:bCs/>
                <w:kern w:val="0"/>
                <w:sz w:val="28"/>
                <w:szCs w:val="28"/>
              </w:rPr>
              <w:t>：</w:t>
            </w:r>
            <w:r>
              <w:rPr>
                <w:rFonts w:ascii="Times New Roman" w:hAnsi="Times New Roman" w:cs="Times New Roman"/>
                <w:sz w:val="28"/>
                <w:szCs w:val="28"/>
              </w:rPr>
              <w:t>市人民医院门诊大楼扩建工程、塘下人民医院门急诊综合楼基建工程、仙降街道社区卫生服务中心迁建工程、潘岱街道社区卫生服务中心迁建工程、塘下镇鲍田卫生院迁建工程、陶山镇卫生院迁建工程、云周街道社区卫生服务中心新建工程、汀田街道社区卫生服务中心门急诊综合大楼工程、安阳街道社区卫生服务中心扩建工程、锦湖街道社区卫生服务中心门急诊综合楼改造提升工程、上望街道社区卫生服务中心扩建工程</w:t>
            </w:r>
            <w:r>
              <w:rPr>
                <w:rFonts w:hint="eastAsia" w:ascii="Times New Roman" w:hAnsi="Times New Roman" w:cs="Times New Roman"/>
                <w:sz w:val="28"/>
                <w:szCs w:val="28"/>
              </w:rPr>
              <w:t>。</w:t>
            </w:r>
            <w:r>
              <w:rPr>
                <w:rFonts w:hint="eastAsia" w:ascii="Times New Roman" w:hAnsi="Times New Roman" w:cs="Times New Roman"/>
                <w:b/>
                <w:bCs/>
                <w:sz w:val="28"/>
                <w:szCs w:val="28"/>
              </w:rPr>
              <w:t>前期：</w:t>
            </w:r>
            <w:r>
              <w:rPr>
                <w:rFonts w:ascii="Times New Roman" w:hAnsi="Times New Roman" w:cs="Times New Roman"/>
                <w:sz w:val="28"/>
                <w:szCs w:val="28"/>
              </w:rPr>
              <w:t>市中西医结合医院新建工程、滨海人民医院（公共卫生应急中心）建设工程、市第五人民医院改扩建二期工程。</w:t>
            </w:r>
          </w:p>
          <w:p w14:paraId="080F16B3">
            <w:pPr>
              <w:spacing w:line="400" w:lineRule="exact"/>
              <w:ind w:firstLine="562" w:firstLineChars="200"/>
              <w:rPr>
                <w:rFonts w:ascii="Times New Roman" w:hAnsi="Times New Roman" w:cs="Times New Roman"/>
                <w:bCs/>
                <w:kern w:val="0"/>
                <w:szCs w:val="32"/>
              </w:rPr>
            </w:pPr>
            <w:r>
              <w:rPr>
                <w:rFonts w:ascii="Times New Roman" w:hAnsi="Times New Roman" w:cs="Times New Roman"/>
                <w:b/>
                <w:kern w:val="0"/>
                <w:sz w:val="28"/>
                <w:szCs w:val="28"/>
              </w:rPr>
              <w:t>2.体育设施。建成投用</w:t>
            </w:r>
            <w:r>
              <w:rPr>
                <w:rFonts w:ascii="Times New Roman" w:hAnsi="Times New Roman" w:cs="Times New Roman"/>
                <w:bCs/>
                <w:kern w:val="0"/>
                <w:sz w:val="28"/>
                <w:szCs w:val="28"/>
              </w:rPr>
              <w:t>：瑞安市体育馆项目三期工程（市业余体校）、瑞安市云江绿道连线提升改造项目、瑞安市东外滩青春体育公园、阁巷高速桥下空间等项目，“环浙步道”主线瑞安段已建成投用67.65公里。累计建成省村级全民健身广场1个，社区多功能运动场40个，篮球场9个，半篮球场8个，足球场7个，门球场5个，登山健身步道23条，百姓健身房38</w:t>
            </w:r>
            <w:r>
              <w:rPr>
                <w:rFonts w:hint="eastAsia" w:ascii="Times New Roman" w:hAnsi="Times New Roman" w:cs="Times New Roman"/>
                <w:bCs/>
                <w:kern w:val="0"/>
                <w:sz w:val="28"/>
                <w:szCs w:val="28"/>
              </w:rPr>
              <w:t>家</w:t>
            </w:r>
            <w:r>
              <w:rPr>
                <w:rFonts w:ascii="Times New Roman" w:hAnsi="Times New Roman" w:cs="Times New Roman"/>
                <w:bCs/>
                <w:kern w:val="0"/>
                <w:sz w:val="28"/>
                <w:szCs w:val="28"/>
              </w:rPr>
              <w:t>。</w:t>
            </w:r>
            <w:r>
              <w:rPr>
                <w:rFonts w:ascii="Times New Roman" w:hAnsi="Times New Roman" w:cs="Times New Roman"/>
                <w:b/>
                <w:kern w:val="0"/>
                <w:sz w:val="28"/>
                <w:szCs w:val="28"/>
              </w:rPr>
              <w:t>正在建设</w:t>
            </w:r>
            <w:r>
              <w:rPr>
                <w:rFonts w:ascii="Times New Roman" w:hAnsi="Times New Roman" w:cs="Times New Roman"/>
                <w:bCs/>
                <w:kern w:val="0"/>
                <w:sz w:val="28"/>
                <w:szCs w:val="28"/>
              </w:rPr>
              <w:t>：前期谋划安阳体育中心改造项目、滨海文体中心、塘下全民健身中心二期工程、鲍田上戴临时体育公园项目，推进“环浙步道”温州市域线40公里建设。谋划建设9个社区多功能运动场，4个足球场，2个门球场，1个百姓健身房。</w:t>
            </w:r>
          </w:p>
        </w:tc>
      </w:tr>
    </w:tbl>
    <w:p w14:paraId="51D0DA96">
      <w:pPr>
        <w:pStyle w:val="10"/>
        <w:ind w:left="0" w:leftChars="0" w:firstLine="643" w:firstLineChars="200"/>
        <w:rPr>
          <w:rFonts w:ascii="Times New Roman" w:hAnsi="Times New Roman" w:cs="Times New Roman"/>
          <w:color w:val="000000" w:themeColor="text1"/>
          <w:kern w:val="21"/>
          <w:szCs w:val="32"/>
          <w14:textFill>
            <w14:solidFill>
              <w14:schemeClr w14:val="tx1"/>
            </w14:solidFill>
          </w14:textFill>
        </w:rPr>
      </w:pPr>
      <w:r>
        <w:rPr>
          <w:rFonts w:ascii="Times New Roman" w:hAnsi="Times New Roman" w:cs="Times New Roman"/>
          <w:b/>
          <w:bCs/>
          <w:color w:val="000000" w:themeColor="text1"/>
          <w:kern w:val="21"/>
          <w:szCs w:val="32"/>
          <w14:textFill>
            <w14:solidFill>
              <w14:schemeClr w14:val="tx1"/>
            </w14:solidFill>
          </w14:textFill>
        </w:rPr>
        <w:t>“一老一小”服务优化升级。</w:t>
      </w:r>
      <w:r>
        <w:rPr>
          <w:rFonts w:ascii="Times New Roman" w:hAnsi="Times New Roman" w:cs="Times New Roman"/>
          <w:kern w:val="21"/>
          <w:szCs w:val="32"/>
        </w:rPr>
        <w:t>养老服务体系不断健全，开工建设温州首家县级公建公营养老院，投用全省首家基层公立医疗机构康养中心，</w:t>
      </w:r>
      <w:r>
        <w:rPr>
          <w:rFonts w:ascii="Times New Roman" w:hAnsi="Times New Roman" w:cs="Times New Roman"/>
          <w:color w:val="000000"/>
          <w:szCs w:val="32"/>
        </w:rPr>
        <w:t>养老机构“公建民营”实现城乡全覆盖，两年半</w:t>
      </w:r>
      <w:r>
        <w:rPr>
          <w:rFonts w:ascii="Times New Roman" w:hAnsi="Times New Roman" w:cs="Times New Roman"/>
          <w:kern w:val="21"/>
          <w:szCs w:val="32"/>
        </w:rPr>
        <w:t>创成老年友善医疗机构33家、改造提升示范型村（社）居养老服务照料中心39家、</w:t>
      </w:r>
      <w:r>
        <w:rPr>
          <w:rFonts w:hint="eastAsia" w:ascii="Times New Roman" w:hAnsi="Times New Roman" w:cs="Times New Roman"/>
          <w:kern w:val="21"/>
          <w:szCs w:val="32"/>
        </w:rPr>
        <w:t>困难老人家庭适老化改造1246户</w:t>
      </w:r>
      <w:r>
        <w:rPr>
          <w:rFonts w:ascii="Times New Roman" w:hAnsi="Times New Roman" w:cs="Times New Roman"/>
          <w:kern w:val="21"/>
          <w:szCs w:val="32"/>
        </w:rPr>
        <w:t>，65岁及以上老年人健康管理率维持在70%以上。率温州之先启动儿童友好型城市建设，市妇幼保健院创成温</w:t>
      </w:r>
      <w:r>
        <w:rPr>
          <w:rFonts w:ascii="Times New Roman" w:hAnsi="Times New Roman" w:cs="Times New Roman"/>
          <w:color w:val="000000"/>
          <w:szCs w:val="32"/>
        </w:rPr>
        <w:t>州首批儿童友好医院，</w:t>
      </w:r>
      <w:r>
        <w:rPr>
          <w:rFonts w:ascii="Times New Roman" w:hAnsi="Times New Roman" w:cs="Times New Roman"/>
          <w:color w:val="000000" w:themeColor="text1"/>
          <w:kern w:val="21"/>
          <w:szCs w:val="32"/>
          <w14:textFill>
            <w14:solidFill>
              <w14:schemeClr w14:val="tx1"/>
            </w14:solidFill>
          </w14:textFill>
        </w:rPr>
        <w:t>建设全国唯一儿童文学动漫馆，儿童福利机构孤儿和其他困境儿童基本生活标准提升到每月2477元、增幅达44.9%，全市所有镇街实现儿童服务、议事机构全覆盖。深入推行“1+N”家政服务模式，建成温州市首家一站式家政服务市场，两年半建成社区家政服务网点10家。</w:t>
      </w:r>
    </w:p>
    <w:p w14:paraId="7F8F99A2">
      <w:pPr>
        <w:pStyle w:val="10"/>
        <w:ind w:left="0" w:leftChars="0" w:firstLine="643" w:firstLineChars="200"/>
        <w:rPr>
          <w:rFonts w:ascii="Times New Roman" w:hAnsi="Times New Roman" w:cs="Times New Roman"/>
          <w:color w:val="000000"/>
          <w:szCs w:val="32"/>
        </w:rPr>
      </w:pPr>
      <w:r>
        <w:rPr>
          <w:rFonts w:ascii="Times New Roman" w:hAnsi="Times New Roman" w:cs="Times New Roman"/>
          <w:b/>
          <w:bCs/>
          <w:color w:val="000000" w:themeColor="text1"/>
          <w:kern w:val="21"/>
          <w:szCs w:val="32"/>
          <w14:textFill>
            <w14:solidFill>
              <w14:schemeClr w14:val="tx1"/>
            </w14:solidFill>
          </w14:textFill>
        </w:rPr>
        <w:t>社会保障体系更加多元灵活。</w:t>
      </w:r>
      <w:r>
        <w:rPr>
          <w:rFonts w:ascii="Times New Roman" w:hAnsi="Times New Roman" w:cs="Times New Roman"/>
          <w:kern w:val="21"/>
          <w:szCs w:val="32"/>
        </w:rPr>
        <w:t>社会保险扩面增效，基本养老保险参保率、医疗保险参保率分别从</w:t>
      </w:r>
      <w:r>
        <w:rPr>
          <w:rFonts w:hint="eastAsia" w:ascii="Times New Roman" w:hAnsi="Times New Roman" w:cs="Times New Roman"/>
          <w:kern w:val="21"/>
          <w:szCs w:val="32"/>
        </w:rPr>
        <w:t>2020年的</w:t>
      </w:r>
      <w:r>
        <w:rPr>
          <w:rFonts w:ascii="Times New Roman" w:hAnsi="Times New Roman" w:cs="Times New Roman"/>
          <w:kern w:val="21"/>
          <w:szCs w:val="32"/>
        </w:rPr>
        <w:t>35%、99.46%提升至</w:t>
      </w:r>
      <w:r>
        <w:rPr>
          <w:rFonts w:hint="eastAsia" w:ascii="Times New Roman" w:hAnsi="Times New Roman" w:cs="Times New Roman"/>
          <w:kern w:val="21"/>
          <w:szCs w:val="32"/>
        </w:rPr>
        <w:t>2022年的</w:t>
      </w:r>
      <w:r>
        <w:rPr>
          <w:rFonts w:ascii="Times New Roman" w:hAnsi="Times New Roman" w:cs="Times New Roman"/>
          <w:kern w:val="21"/>
          <w:szCs w:val="32"/>
        </w:rPr>
        <w:t>55%、99.77%。创成省级“无欠薪城市”，建立“政策＋机制＋培训＋招聘”全链式就业帮扶体系，城镇失业登记率从</w:t>
      </w:r>
      <w:r>
        <w:rPr>
          <w:rFonts w:hint="eastAsia" w:ascii="Times New Roman" w:hAnsi="Times New Roman" w:cs="Times New Roman"/>
          <w:kern w:val="21"/>
          <w:szCs w:val="32"/>
        </w:rPr>
        <w:t>2020年的</w:t>
      </w:r>
      <w:r>
        <w:rPr>
          <w:rFonts w:ascii="Times New Roman" w:hAnsi="Times New Roman" w:cs="Times New Roman"/>
          <w:kern w:val="21"/>
          <w:szCs w:val="32"/>
        </w:rPr>
        <w:t>4.7%</w:t>
      </w:r>
      <w:r>
        <w:rPr>
          <w:rFonts w:hint="eastAsia" w:ascii="Times New Roman" w:hAnsi="Times New Roman" w:cs="Times New Roman"/>
          <w:kern w:val="21"/>
          <w:szCs w:val="32"/>
        </w:rPr>
        <w:t>下</w:t>
      </w:r>
      <w:r>
        <w:rPr>
          <w:rFonts w:ascii="Times New Roman" w:hAnsi="Times New Roman" w:cs="Times New Roman"/>
          <w:kern w:val="21"/>
          <w:szCs w:val="32"/>
        </w:rPr>
        <w:t>降至</w:t>
      </w:r>
      <w:r>
        <w:rPr>
          <w:rFonts w:hint="eastAsia" w:ascii="Times New Roman" w:hAnsi="Times New Roman" w:cs="Times New Roman"/>
          <w:kern w:val="21"/>
          <w:szCs w:val="32"/>
        </w:rPr>
        <w:t>2022年的</w:t>
      </w:r>
      <w:r>
        <w:rPr>
          <w:rFonts w:ascii="Times New Roman" w:hAnsi="Times New Roman" w:cs="Times New Roman"/>
          <w:kern w:val="21"/>
          <w:szCs w:val="32"/>
        </w:rPr>
        <w:t>2.01%。</w:t>
      </w:r>
      <w:r>
        <w:rPr>
          <w:rFonts w:ascii="Times New Roman" w:hAnsi="Times New Roman" w:cs="Times New Roman"/>
          <w:color w:val="000000" w:themeColor="text1"/>
          <w:kern w:val="21"/>
          <w:szCs w:val="32"/>
          <w14:textFill>
            <w14:solidFill>
              <w14:schemeClr w14:val="tx1"/>
            </w14:solidFill>
          </w14:textFill>
        </w:rPr>
        <w:t>医疗保障体系更加完善，建成“一纵一横一延伸”立体化医保经办服务网络，</w:t>
      </w:r>
      <w:r>
        <w:rPr>
          <w:rFonts w:ascii="Times New Roman" w:hAnsi="Times New Roman" w:cs="Times New Roman"/>
          <w:szCs w:val="32"/>
        </w:rPr>
        <w:t>全面推开跨省异地就医住院费用直接结算，市医保管理中心窗口获评省级医保服务窗口示范点“金招牌”。</w:t>
      </w:r>
      <w:r>
        <w:rPr>
          <w:rFonts w:ascii="Times New Roman" w:hAnsi="Times New Roman" w:cs="Times New Roman"/>
          <w:color w:val="000000" w:themeColor="text1"/>
          <w:kern w:val="21"/>
          <w:szCs w:val="32"/>
          <w14:textFill>
            <w14:solidFill>
              <w14:schemeClr w14:val="tx1"/>
            </w14:solidFill>
          </w14:textFill>
        </w:rPr>
        <w:t>推进低收入家庭综合帮扶集成改革，构建扩中提低“一库一箱一单一案”，实体化运行智慧救助服务联合体，创新打造共富基金、慈善信托等金融共富载体，两年半累计建设筹集保障性租赁住房14373套（间）、</w:t>
      </w:r>
      <w:r>
        <w:rPr>
          <w:rFonts w:ascii="Times New Roman" w:hAnsi="Times New Roman" w:cs="Times New Roman"/>
          <w:kern w:val="21"/>
          <w:szCs w:val="32"/>
          <w:lang w:val="zh-CN"/>
        </w:rPr>
        <w:t>发放低收入农户扶贫小额贷款</w:t>
      </w:r>
      <w:r>
        <w:rPr>
          <w:rFonts w:ascii="Times New Roman" w:hAnsi="Times New Roman" w:cs="Times New Roman"/>
          <w:kern w:val="21"/>
          <w:szCs w:val="32"/>
        </w:rPr>
        <w:t>21</w:t>
      </w:r>
      <w:r>
        <w:rPr>
          <w:rFonts w:ascii="Times New Roman" w:hAnsi="Times New Roman" w:cs="Times New Roman"/>
          <w:kern w:val="21"/>
          <w:szCs w:val="32"/>
          <w:lang w:val="zh-CN"/>
        </w:rPr>
        <w:t>万元、</w:t>
      </w:r>
      <w:r>
        <w:rPr>
          <w:rFonts w:ascii="Times New Roman" w:hAnsi="Times New Roman" w:cs="Times New Roman"/>
          <w:kern w:val="21"/>
          <w:szCs w:val="32"/>
        </w:rPr>
        <w:t>发放助学金</w:t>
      </w:r>
      <w:r>
        <w:rPr>
          <w:rFonts w:ascii="Times New Roman" w:hAnsi="Times New Roman" w:cs="Times New Roman"/>
          <w:szCs w:val="32"/>
        </w:rPr>
        <w:t>7683</w:t>
      </w:r>
      <w:r>
        <w:rPr>
          <w:rFonts w:ascii="Times New Roman" w:hAnsi="Times New Roman" w:cs="Times New Roman"/>
          <w:kern w:val="21"/>
          <w:szCs w:val="32"/>
        </w:rPr>
        <w:t>万元</w:t>
      </w:r>
      <w:r>
        <w:rPr>
          <w:rFonts w:ascii="Times New Roman" w:hAnsi="Times New Roman" w:cs="Times New Roman"/>
          <w:color w:val="000000" w:themeColor="text1"/>
          <w:kern w:val="21"/>
          <w:szCs w:val="32"/>
          <w14:textFill>
            <w14:solidFill>
              <w14:schemeClr w14:val="tx1"/>
            </w14:solidFill>
          </w14:textFill>
        </w:rPr>
        <w:t>。</w:t>
      </w:r>
    </w:p>
    <w:p w14:paraId="7A270405">
      <w:pPr>
        <w:pStyle w:val="10"/>
        <w:ind w:left="0" w:leftChars="0" w:firstLine="643" w:firstLineChars="200"/>
        <w:outlineLvl w:val="1"/>
        <w:rPr>
          <w:rFonts w:ascii="Times New Roman" w:hAnsi="Times New Roman" w:cs="Times New Roman"/>
          <w:b/>
          <w:bCs/>
          <w:color w:val="000000"/>
          <w:szCs w:val="32"/>
        </w:rPr>
      </w:pPr>
      <w:bookmarkStart w:id="38" w:name="_Toc26597"/>
      <w:bookmarkStart w:id="39" w:name="_Toc20445"/>
      <w:r>
        <w:rPr>
          <w:rFonts w:hint="eastAsia" w:ascii="Times New Roman" w:hAnsi="Times New Roman" w:cs="Times New Roman"/>
          <w:b/>
          <w:bCs/>
          <w:color w:val="000000"/>
          <w:szCs w:val="32"/>
        </w:rPr>
        <w:t>（十）</w:t>
      </w:r>
      <w:r>
        <w:rPr>
          <w:rFonts w:ascii="Times New Roman" w:hAnsi="Times New Roman" w:cs="Times New Roman"/>
          <w:b/>
          <w:bCs/>
          <w:color w:val="000000"/>
          <w:szCs w:val="32"/>
        </w:rPr>
        <w:t>县域治理韧性不断提升</w:t>
      </w:r>
      <w:bookmarkEnd w:id="38"/>
      <w:bookmarkEnd w:id="39"/>
    </w:p>
    <w:p w14:paraId="3A97D9E8">
      <w:pPr>
        <w:pStyle w:val="10"/>
        <w:ind w:left="0" w:leftChars="0" w:firstLine="640" w:firstLineChars="200"/>
        <w:rPr>
          <w:rFonts w:ascii="Times New Roman" w:hAnsi="Times New Roman" w:cs="Times New Roman"/>
          <w:kern w:val="0"/>
          <w:szCs w:val="32"/>
          <w:lang w:bidi="ar"/>
        </w:rPr>
      </w:pPr>
      <w:r>
        <w:rPr>
          <w:rFonts w:ascii="Times New Roman" w:hAnsi="Times New Roman" w:cs="Times New Roman"/>
          <w:kern w:val="0"/>
          <w:szCs w:val="32"/>
          <w:lang w:bidi="ar"/>
        </w:rPr>
        <w:t>围绕“</w:t>
      </w:r>
      <w:r>
        <w:rPr>
          <w:rFonts w:ascii="Times New Roman" w:hAnsi="Times New Roman" w:cs="Times New Roman"/>
          <w:szCs w:val="32"/>
          <w:lang w:bidi="ar"/>
        </w:rPr>
        <w:t>十四五”规划纲要提出的</w:t>
      </w:r>
      <w:r>
        <w:rPr>
          <w:rFonts w:ascii="Times New Roman" w:hAnsi="Times New Roman" w:cs="Times New Roman"/>
          <w:kern w:val="0"/>
          <w:szCs w:val="32"/>
          <w:lang w:bidi="ar"/>
        </w:rPr>
        <w:t>“开创平安善治新篇章”的目标，充分发挥政府、市场、社会在社会治理中的积极作用，</w:t>
      </w:r>
      <w:r>
        <w:rPr>
          <w:rFonts w:hint="eastAsia" w:ascii="Times New Roman" w:hAnsi="Times New Roman" w:cs="Times New Roman"/>
          <w:kern w:val="0"/>
          <w:szCs w:val="32"/>
          <w:lang w:bidi="ar"/>
        </w:rPr>
        <w:t>推进</w:t>
      </w:r>
      <w:r>
        <w:rPr>
          <w:rFonts w:ascii="Times New Roman" w:hAnsi="Times New Roman" w:cs="Times New Roman"/>
          <w:kern w:val="0"/>
          <w:szCs w:val="32"/>
          <w:lang w:bidi="ar"/>
        </w:rPr>
        <w:t>全周期动态治理、全要素智慧治理，全方位依法治理，</w:t>
      </w:r>
      <w:r>
        <w:rPr>
          <w:rFonts w:hint="eastAsia" w:ascii="Times New Roman" w:hAnsi="Times New Roman" w:cs="Times New Roman"/>
          <w:b/>
          <w:szCs w:val="32"/>
          <w:lang w:bidi="ar"/>
        </w:rPr>
        <w:t>连续3次获省数字化改革综合评价五星级，</w:t>
      </w:r>
      <w:r>
        <w:rPr>
          <w:rFonts w:ascii="Times New Roman" w:hAnsi="Times New Roman" w:cs="Times New Roman"/>
          <w:b/>
          <w:kern w:val="0"/>
          <w:szCs w:val="32"/>
          <w:lang w:bidi="ar"/>
        </w:rPr>
        <w:t>平安指数排名跃居全省第一梯队</w:t>
      </w:r>
      <w:r>
        <w:rPr>
          <w:rFonts w:hint="eastAsia" w:ascii="Times New Roman" w:hAnsi="Times New Roman" w:cs="Times New Roman"/>
          <w:b/>
          <w:kern w:val="0"/>
          <w:szCs w:val="32"/>
          <w:lang w:bidi="ar"/>
        </w:rPr>
        <w:t>，中国最具幸福感城市实现“三连创”</w:t>
      </w:r>
      <w:r>
        <w:rPr>
          <w:rFonts w:hint="eastAsia" w:ascii="Times New Roman" w:hAnsi="Times New Roman" w:cs="Times New Roman"/>
          <w:kern w:val="0"/>
          <w:szCs w:val="32"/>
          <w:lang w:bidi="ar"/>
        </w:rPr>
        <w:t>。</w:t>
      </w:r>
    </w:p>
    <w:p w14:paraId="60384314">
      <w:pPr>
        <w:pStyle w:val="10"/>
        <w:ind w:left="0" w:leftChars="0" w:firstLine="643" w:firstLineChars="200"/>
        <w:rPr>
          <w:rFonts w:ascii="Times New Roman" w:hAnsi="Times New Roman" w:cs="Times New Roman"/>
          <w:kern w:val="0"/>
          <w:szCs w:val="32"/>
          <w:lang w:bidi="ar"/>
        </w:rPr>
      </w:pPr>
      <w:r>
        <w:rPr>
          <w:rFonts w:ascii="Times New Roman" w:hAnsi="Times New Roman" w:cs="Times New Roman"/>
          <w:b/>
          <w:bCs/>
          <w:kern w:val="0"/>
          <w:szCs w:val="32"/>
          <w:lang w:bidi="ar"/>
        </w:rPr>
        <w:t>社会治理做精做细。</w:t>
      </w:r>
      <w:r>
        <w:rPr>
          <w:rFonts w:ascii="Times New Roman" w:hAnsi="Times New Roman" w:cs="Times New Roman"/>
          <w:kern w:val="0"/>
          <w:szCs w:val="32"/>
          <w:lang w:bidi="ar"/>
        </w:rPr>
        <w:t>基层治理能力不断提升，创新实施“强基善治指数”，健全“141”基层治理体系，省级以上交办信访积案实现动态“清零”，瑞安陶山镇沙洲村获评全国乡村治理示范村。“县乡一体、条抓块统”改革取得实质性进展，改革经验两次在省级会议上作典型发言。推动矛盾纠纷多元化解，创新市领导“蹲点督办解难”机制；起草浙江首个地级民主协商“地方标准”《温州城乡社区协商操作规程》；全面打造“市、乡镇(街道)、村居(社区)”三级“贤调”体系，建立温州首个“贤调”志愿团，推行“村两委+乡贤参事会”模式，两年半建成乡镇(街道)级新乡贤联谊会23个（乡镇街全覆盖）、村级新乡贤参事会104个。</w:t>
      </w:r>
    </w:p>
    <w:p w14:paraId="0D18F296">
      <w:pPr>
        <w:pStyle w:val="10"/>
        <w:ind w:left="0" w:leftChars="0" w:firstLine="643" w:firstLineChars="200"/>
        <w:rPr>
          <w:rFonts w:ascii="Times New Roman" w:hAnsi="Times New Roman" w:cs="Times New Roman"/>
          <w:kern w:val="0"/>
          <w:szCs w:val="32"/>
          <w:lang w:bidi="ar"/>
        </w:rPr>
      </w:pPr>
      <w:r>
        <w:rPr>
          <w:rFonts w:ascii="Times New Roman" w:hAnsi="Times New Roman" w:cs="Times New Roman"/>
          <w:b/>
          <w:bCs/>
          <w:kern w:val="0"/>
          <w:szCs w:val="32"/>
          <w:lang w:bidi="ar"/>
        </w:rPr>
        <w:t>整体智治高效推进。</w:t>
      </w:r>
      <w:r>
        <w:rPr>
          <w:rFonts w:hint="eastAsia" w:ascii="Times New Roman" w:hAnsi="Times New Roman" w:cs="Times New Roman"/>
          <w:bCs/>
          <w:szCs w:val="32"/>
          <w:lang w:bidi="ar"/>
        </w:rPr>
        <w:t>数字化改革走深走稳，两年半，</w:t>
      </w:r>
      <w:r>
        <w:rPr>
          <w:rFonts w:ascii="Times New Roman" w:hAnsi="Times New Roman" w:cs="Times New Roman"/>
          <w:bCs/>
          <w:szCs w:val="32"/>
          <w:lang w:bidi="ar"/>
        </w:rPr>
        <w:t>5个项目列入省重大改革“一本账S2”</w:t>
      </w:r>
      <w:r>
        <w:rPr>
          <w:rFonts w:hint="eastAsia" w:ascii="Times New Roman" w:hAnsi="Times New Roman" w:cs="Times New Roman"/>
          <w:bCs/>
          <w:szCs w:val="32"/>
          <w:lang w:bidi="ar"/>
        </w:rPr>
        <w:t>、2个项目列入全省“一地创新、全省共享”“一本账”S0、4个省厅“最佳应用”将瑞安列为协同单位、</w:t>
      </w:r>
      <w:r>
        <w:rPr>
          <w:rFonts w:ascii="Times New Roman" w:hAnsi="Times New Roman" w:cs="Times New Roman"/>
          <w:bCs/>
          <w:szCs w:val="32"/>
          <w:lang w:bidi="ar"/>
        </w:rPr>
        <w:t>18个项目列入省级部门改革应用试点，2022年度位列温州数字化改革贡献榜第一。</w:t>
      </w:r>
      <w:r>
        <w:rPr>
          <w:rFonts w:ascii="Times New Roman" w:hAnsi="Times New Roman" w:cs="Times New Roman"/>
          <w:kern w:val="0"/>
          <w:szCs w:val="32"/>
          <w:lang w:bidi="ar"/>
        </w:rPr>
        <w:t>“公共数据平台+城市大脑”和政务服务平台2.0版加快建设，率全省之先打造“查档直通车”；实现“浙</w:t>
      </w:r>
      <w:r>
        <w:rPr>
          <w:rFonts w:hint="eastAsia" w:ascii="Times New Roman" w:hAnsi="Times New Roman" w:cs="Times New Roman"/>
          <w:kern w:val="0"/>
          <w:szCs w:val="32"/>
          <w:lang w:bidi="ar"/>
        </w:rPr>
        <w:t>政钉</w:t>
      </w:r>
      <w:r>
        <w:rPr>
          <w:rFonts w:ascii="Times New Roman" w:hAnsi="Times New Roman" w:cs="Times New Roman"/>
          <w:kern w:val="0"/>
          <w:szCs w:val="32"/>
          <w:lang w:bidi="ar"/>
        </w:rPr>
        <w:t>”全渠道覆盖，用户激活率100%，日均活跃率90%以上。智慧城市加快建设，位列“2022年度县市智慧城市百佳样本”全国第25、温州第1。数字化技术支撑体系不断完善，建立温州县（市、区）首条“数据高铁”</w:t>
      </w:r>
      <w:r>
        <w:rPr>
          <w:rFonts w:ascii="Times New Roman" w:hAnsi="Times New Roman" w:cs="Times New Roman"/>
          <w:szCs w:val="32"/>
          <w:lang w:bidi="ar"/>
        </w:rPr>
        <w:t>。</w:t>
      </w:r>
    </w:p>
    <w:p w14:paraId="5E59306E">
      <w:pPr>
        <w:pStyle w:val="10"/>
        <w:ind w:left="0" w:leftChars="0" w:firstLine="643" w:firstLineChars="200"/>
        <w:rPr>
          <w:rFonts w:ascii="Times New Roman" w:hAnsi="Times New Roman" w:cs="Times New Roman"/>
          <w:szCs w:val="40"/>
        </w:rPr>
      </w:pPr>
      <w:r>
        <w:rPr>
          <w:rFonts w:ascii="Times New Roman" w:hAnsi="Times New Roman" w:cs="Times New Roman"/>
          <w:b/>
          <w:bCs/>
          <w:kern w:val="0"/>
          <w:szCs w:val="32"/>
          <w:lang w:bidi="ar"/>
        </w:rPr>
        <w:t>法治建设行稳致远。</w:t>
      </w:r>
      <w:r>
        <w:rPr>
          <w:rFonts w:ascii="Times New Roman" w:hAnsi="Times New Roman" w:cs="Times New Roman"/>
          <w:kern w:val="0"/>
          <w:szCs w:val="32"/>
          <w:lang w:bidi="ar"/>
        </w:rPr>
        <w:t>法治政府扎实推进</w:t>
      </w:r>
      <w:r>
        <w:rPr>
          <w:rFonts w:ascii="Times New Roman" w:hAnsi="Times New Roman" w:cs="Times New Roman"/>
          <w:b/>
          <w:bCs/>
          <w:kern w:val="0"/>
          <w:szCs w:val="32"/>
          <w:lang w:bidi="ar"/>
        </w:rPr>
        <w:t>，</w:t>
      </w:r>
      <w:r>
        <w:rPr>
          <w:rFonts w:ascii="Times New Roman" w:hAnsi="Times New Roman" w:cs="Times New Roman"/>
          <w:kern w:val="0"/>
          <w:szCs w:val="32"/>
          <w:lang w:bidi="ar"/>
        </w:rPr>
        <w:t>连续3年获评法治浙江（法治政府）建设优秀单位，</w:t>
      </w:r>
      <w:r>
        <w:rPr>
          <w:rFonts w:ascii="Times New Roman" w:hAnsi="Times New Roman" w:cs="Times New Roman"/>
          <w:szCs w:val="32"/>
        </w:rPr>
        <w:t>获评“全国人力资源和社会保障法治建设示范单位”，两年半</w:t>
      </w:r>
      <w:r>
        <w:rPr>
          <w:rFonts w:ascii="Times New Roman" w:hAnsi="Times New Roman" w:cs="Times New Roman"/>
          <w:kern w:val="0"/>
          <w:szCs w:val="32"/>
          <w:lang w:bidi="ar"/>
        </w:rPr>
        <w:t>创成省级枫桥式司法所2家，</w:t>
      </w:r>
      <w:r>
        <w:rPr>
          <w:rFonts w:ascii="Times New Roman" w:hAnsi="Times New Roman" w:cs="Times New Roman"/>
          <w:szCs w:val="32"/>
        </w:rPr>
        <w:t>建成全国级民主法治村（社）1个、省级28个。法律服务品质实现新跃升，</w:t>
      </w:r>
      <w:r>
        <w:rPr>
          <w:rFonts w:ascii="Times New Roman" w:hAnsi="Times New Roman" w:cs="Times New Roman"/>
          <w:szCs w:val="40"/>
        </w:rPr>
        <w:t>研发建设“企业合规通”应用，</w:t>
      </w:r>
      <w:r>
        <w:rPr>
          <w:rFonts w:ascii="Times New Roman" w:hAnsi="Times New Roman" w:cs="Times New Roman"/>
          <w:kern w:val="0"/>
          <w:szCs w:val="32"/>
          <w:lang w:bidi="ar"/>
        </w:rPr>
        <w:t>建立重大项目法律顾问全程参与机制</w:t>
      </w:r>
      <w:r>
        <w:rPr>
          <w:rFonts w:ascii="Times New Roman" w:hAnsi="Times New Roman" w:cs="Times New Roman"/>
          <w:szCs w:val="40"/>
        </w:rPr>
        <w:t>。深化普法宣传教育，打造“点单式”青少年普法资源库，构建“一小时青少年法治宣传教育基地圈”。自觉接受人大依法监督、政协民主监督以及监察监督、司法监督、审计监督，落实反馈市人大常委会、市政协有关审议、决议或建议意见。</w:t>
      </w:r>
    </w:p>
    <w:p w14:paraId="4FB08840">
      <w:pPr>
        <w:pStyle w:val="10"/>
        <w:ind w:left="0" w:leftChars="0" w:firstLine="643" w:firstLineChars="200"/>
        <w:rPr>
          <w:rFonts w:ascii="Times New Roman" w:hAnsi="Times New Roman" w:cs="Times New Roman"/>
          <w:b/>
          <w:bCs/>
          <w:kern w:val="0"/>
          <w:szCs w:val="32"/>
          <w:lang w:bidi="ar"/>
        </w:rPr>
      </w:pPr>
      <w:r>
        <w:rPr>
          <w:rFonts w:ascii="Times New Roman" w:hAnsi="Times New Roman" w:cs="Times New Roman"/>
          <w:b/>
          <w:bCs/>
          <w:kern w:val="0"/>
          <w:szCs w:val="32"/>
          <w:lang w:bidi="ar"/>
        </w:rPr>
        <w:t>安全防线稳扎稳打。</w:t>
      </w:r>
      <w:r>
        <w:rPr>
          <w:rFonts w:ascii="Times New Roman" w:hAnsi="Times New Roman" w:cs="Times New Roman"/>
          <w:kern w:val="0"/>
          <w:szCs w:val="32"/>
          <w:lang w:bidi="ar"/>
        </w:rPr>
        <w:t>深入开展平安瑞安“大起底大整治大提升”行动，创成全省首批食品安全示范市。常态化推进扫黑除恶专项斗争，严厉打击电信诈骗等新型违法犯罪，刑事警情、治安警情实现“双下降”。迭代升级“七队三单”、一表通管、吹哨发现等机制，开发投用“疫管家”“舶物管”等数字化应用平台，改造建设瑞安方舱医院及亚（准）定点救治医院，实现从“防感染”向“保健康、防重症”平稳转换。</w:t>
      </w:r>
      <w:r>
        <w:rPr>
          <w:rFonts w:hint="eastAsia" w:ascii="Times New Roman" w:hAnsi="Times New Roman" w:cs="Times New Roman"/>
          <w:kern w:val="0"/>
          <w:szCs w:val="32"/>
          <w:lang w:bidi="ar"/>
        </w:rPr>
        <w:t>落实</w:t>
      </w:r>
      <w:r>
        <w:rPr>
          <w:rFonts w:ascii="Times New Roman" w:hAnsi="Times New Roman" w:cs="Times New Roman"/>
          <w:kern w:val="0"/>
          <w:szCs w:val="32"/>
          <w:lang w:bidi="ar"/>
        </w:rPr>
        <w:t>安全生产十项硬核举措，基层防汛防台体系标准化建设通过省级验收。率温州之先实现地方政府隐性债务化解“清零”。</w:t>
      </w:r>
    </w:p>
    <w:p w14:paraId="703D04BB">
      <w:pPr>
        <w:widowControl/>
        <w:ind w:firstLine="643" w:firstLineChars="200"/>
        <w:rPr>
          <w:rFonts w:ascii="Times New Roman" w:hAnsi="Times New Roman" w:cs="Times New Roman"/>
          <w:szCs w:val="32"/>
        </w:rPr>
      </w:pPr>
      <w:r>
        <w:rPr>
          <w:rFonts w:ascii="Times New Roman" w:hAnsi="Times New Roman" w:cs="Times New Roman"/>
          <w:b/>
          <w:bCs/>
          <w:kern w:val="0"/>
          <w:szCs w:val="32"/>
          <w:lang w:bidi="ar"/>
        </w:rPr>
        <w:t>党风廉政常抓不懈。</w:t>
      </w:r>
      <w:r>
        <w:rPr>
          <w:rFonts w:ascii="Times New Roman" w:hAnsi="Times New Roman" w:cs="Times New Roman"/>
          <w:kern w:val="0"/>
          <w:szCs w:val="32"/>
          <w:lang w:bidi="ar"/>
        </w:rPr>
        <w:t>全面扎紧重大项目建设、公共资金使用等重点领域制度笼子，高质量配合完成经责审计和自然资源资产审计工作，建立过“紧日子”负面清单。推进政治监督做深做实，</w:t>
      </w:r>
      <w:r>
        <w:rPr>
          <w:rFonts w:ascii="Times New Roman" w:hAnsi="Times New Roman" w:cs="Times New Roman"/>
          <w:color w:val="000000"/>
          <w:szCs w:val="32"/>
        </w:rPr>
        <w:t>创新六督联查机制，通过三色督办、清单销号等方式，确保各项重大决策部署落地生效。健全“1+X”协同监督机制，</w:t>
      </w:r>
      <w:r>
        <w:rPr>
          <w:rFonts w:ascii="Times New Roman" w:hAnsi="Times New Roman" w:cs="Times New Roman"/>
          <w:kern w:val="0"/>
          <w:szCs w:val="32"/>
          <w:lang w:bidi="ar"/>
        </w:rPr>
        <w:t>坚持每年一专项，坚决整治形式主义、官僚主义，严查享乐主义、奢靡之风。深入打造“清廉瑞安”金字招牌，</w:t>
      </w:r>
      <w:r>
        <w:rPr>
          <w:rFonts w:ascii="Times New Roman" w:hAnsi="Times New Roman" w:cs="Times New Roman"/>
          <w:szCs w:val="32"/>
          <w:shd w:val="clear" w:color="auto" w:fill="FFFFFF"/>
        </w:rPr>
        <w:t>出台《关于加快推进“清廉瑞安”建设的意见》</w:t>
      </w:r>
      <w:r>
        <w:rPr>
          <w:rFonts w:ascii="Times New Roman" w:hAnsi="Times New Roman" w:cs="Times New Roman"/>
          <w:szCs w:val="32"/>
        </w:rPr>
        <w:t>等一系列文件，培育“智造塘下”“蔗里陶山”“耕读曹村”等清廉村居以及</w:t>
      </w:r>
      <w:r>
        <w:rPr>
          <w:rFonts w:ascii="Times New Roman" w:hAnsi="Times New Roman" w:cs="Times New Roman"/>
          <w:color w:val="000000"/>
          <w:szCs w:val="32"/>
        </w:rPr>
        <w:t>华峰集团等一批清廉民企新样本。</w:t>
      </w:r>
      <w:bookmarkEnd w:id="21"/>
      <w:bookmarkEnd w:id="22"/>
      <w:bookmarkEnd w:id="23"/>
      <w:bookmarkEnd w:id="24"/>
      <w:bookmarkEnd w:id="25"/>
      <w:bookmarkEnd w:id="26"/>
      <w:bookmarkEnd w:id="27"/>
      <w:bookmarkEnd w:id="28"/>
      <w:bookmarkEnd w:id="29"/>
    </w:p>
    <w:p w14:paraId="05674A13">
      <w:pPr>
        <w:ind w:firstLine="640" w:firstLineChars="200"/>
        <w:outlineLvl w:val="0"/>
        <w:rPr>
          <w:rFonts w:ascii="Times New Roman" w:hAnsi="Times New Roman" w:eastAsia="楷体_GB2312" w:cs="Times New Roman"/>
          <w:szCs w:val="40"/>
          <w:shd w:val="clear" w:color="auto" w:fill="FFFFFF" w:themeFill="background1"/>
        </w:rPr>
      </w:pPr>
      <w:bookmarkStart w:id="40" w:name="_Toc15567"/>
      <w:bookmarkStart w:id="41" w:name="_Toc21500"/>
      <w:r>
        <w:rPr>
          <w:rFonts w:hint="eastAsia" w:ascii="Times New Roman" w:hAnsi="Times New Roman" w:eastAsia="黑体" w:cs="Times New Roman"/>
          <w:szCs w:val="40"/>
          <w:shd w:val="clear" w:color="auto" w:fill="FFFFFF" w:themeFill="background1"/>
        </w:rPr>
        <w:t>三</w:t>
      </w:r>
      <w:r>
        <w:rPr>
          <w:rFonts w:ascii="Times New Roman" w:hAnsi="Times New Roman" w:eastAsia="黑体" w:cs="Times New Roman"/>
          <w:szCs w:val="40"/>
          <w:shd w:val="clear" w:color="auto" w:fill="FFFFFF" w:themeFill="background1"/>
        </w:rPr>
        <w:t>、“十四五”规划纲要实施的主要问题</w:t>
      </w:r>
      <w:bookmarkEnd w:id="40"/>
      <w:bookmarkEnd w:id="41"/>
    </w:p>
    <w:p w14:paraId="53E56897">
      <w:pPr>
        <w:pStyle w:val="9"/>
        <w:ind w:firstLine="643" w:firstLineChars="200"/>
        <w:outlineLvl w:val="1"/>
        <w:rPr>
          <w:rFonts w:ascii="Times New Roman" w:hAnsi="Times New Roman" w:cs="Times New Roman"/>
          <w:b/>
          <w:bCs/>
          <w:shd w:val="clear" w:color="auto" w:fill="FFFFFF" w:themeFill="background1"/>
        </w:rPr>
      </w:pPr>
      <w:bookmarkStart w:id="42" w:name="_Toc30267"/>
      <w:bookmarkStart w:id="43" w:name="_Toc24768"/>
      <w:r>
        <w:rPr>
          <w:rFonts w:ascii="Times New Roman" w:hAnsi="Times New Roman" w:cs="Times New Roman"/>
          <w:b/>
          <w:bCs/>
          <w:shd w:val="clear" w:color="auto" w:fill="FFFFFF" w:themeFill="background1"/>
        </w:rPr>
        <w:t>（一）</w:t>
      </w:r>
      <w:r>
        <w:fldChar w:fldCharType="begin"/>
      </w:r>
      <w:r>
        <w:instrText xml:space="preserve"> HYPERLINK "http://www.baidu.com/link?url=hfjbxZeDLo-YED7br7V1GtdXWI6af_CJpqy3NrbiwaignwYeY-zbXoocjSqdWBX6jaBrJEM8BDa5HCMmrt1zRWlOvS6pdUNq2xUZXmWRIbu" \t "https://www.baidu.com/_blank" </w:instrText>
      </w:r>
      <w:r>
        <w:fldChar w:fldCharType="separate"/>
      </w:r>
      <w:r>
        <w:rPr>
          <w:rFonts w:ascii="Times New Roman" w:hAnsi="Times New Roman" w:cs="Times New Roman"/>
          <w:b/>
          <w:bCs/>
          <w:shd w:val="clear" w:color="auto" w:fill="FFFFFF" w:themeFill="background1"/>
        </w:rPr>
        <w:t>经济增长</w:t>
      </w:r>
      <w:r>
        <w:rPr>
          <w:rFonts w:hint="eastAsia" w:ascii="Times New Roman" w:hAnsi="Times New Roman" w:cs="Times New Roman"/>
          <w:b/>
          <w:bCs/>
          <w:shd w:val="clear" w:color="auto" w:fill="FFFFFF" w:themeFill="background1"/>
        </w:rPr>
        <w:t>动能有待进一步增强</w:t>
      </w:r>
      <w:r>
        <w:rPr>
          <w:rFonts w:hint="eastAsia" w:ascii="Times New Roman" w:hAnsi="Times New Roman" w:cs="Times New Roman"/>
          <w:b/>
          <w:bCs/>
          <w:shd w:val="clear" w:color="auto" w:fill="FFFFFF" w:themeFill="background1"/>
        </w:rPr>
        <w:fldChar w:fldCharType="end"/>
      </w:r>
      <w:bookmarkEnd w:id="42"/>
      <w:bookmarkEnd w:id="43"/>
    </w:p>
    <w:p w14:paraId="3D98DE69">
      <w:pPr>
        <w:pStyle w:val="9"/>
        <w:ind w:firstLine="643" w:firstLineChars="200"/>
        <w:rPr>
          <w:rFonts w:ascii="Times New Roman" w:hAnsi="Times New Roman" w:cs="Times New Roman"/>
          <w:shd w:val="clear" w:color="auto" w:fill="FFFFFF" w:themeFill="background1"/>
        </w:rPr>
      </w:pPr>
      <w:r>
        <w:rPr>
          <w:rFonts w:ascii="Times New Roman" w:hAnsi="Times New Roman" w:cs="Times New Roman"/>
          <w:b/>
          <w:bCs/>
          <w:shd w:val="clear" w:color="auto" w:fill="FFFFFF" w:themeFill="background1"/>
        </w:rPr>
        <w:t>1.先进制造业发展</w:t>
      </w:r>
      <w:r>
        <w:rPr>
          <w:rFonts w:hint="eastAsia" w:ascii="Times New Roman" w:hAnsi="Times New Roman" w:cs="Times New Roman"/>
          <w:b/>
          <w:bCs/>
          <w:shd w:val="clear" w:color="auto" w:fill="FFFFFF" w:themeFill="background1"/>
        </w:rPr>
        <w:t>动力减弱</w:t>
      </w:r>
      <w:r>
        <w:rPr>
          <w:rFonts w:ascii="Times New Roman" w:hAnsi="Times New Roman" w:cs="Times New Roman"/>
          <w:b/>
          <w:bCs/>
          <w:shd w:val="clear" w:color="auto" w:fill="FFFFFF" w:themeFill="background1"/>
        </w:rPr>
        <w:t>。</w:t>
      </w:r>
      <w:r>
        <w:rPr>
          <w:rFonts w:hint="eastAsia" w:ascii="Times New Roman" w:hAnsi="Times New Roman" w:cs="Times New Roman"/>
          <w:shd w:val="clear" w:color="auto" w:fill="FFFFFF" w:themeFill="background1"/>
        </w:rPr>
        <w:t>规上工业增加值两年年均增速4.6%，低于全市平均（7.4%）、乐清水平（6.4%）；两年工业增加值占GDP比重不升反降，较2020年累计下降0.17个百分点。其重要原因是产业内生动力不强，</w:t>
      </w:r>
      <w:r>
        <w:rPr>
          <w:rFonts w:ascii="Times New Roman" w:hAnsi="Times New Roman" w:cs="Times New Roman"/>
          <w:color w:val="000000" w:themeColor="text1"/>
          <w14:textFill>
            <w14:solidFill>
              <w14:schemeClr w14:val="tx1"/>
            </w14:solidFill>
          </w14:textFill>
        </w:rPr>
        <w:t>传统制造受土地、</w:t>
      </w:r>
      <w:r>
        <w:rPr>
          <w:rFonts w:hint="eastAsia" w:ascii="Times New Roman" w:hAnsi="Times New Roman" w:cs="Times New Roman"/>
          <w:color w:val="000000" w:themeColor="text1"/>
          <w14:textFill>
            <w14:solidFill>
              <w14:schemeClr w14:val="tx1"/>
            </w14:solidFill>
          </w14:textFill>
        </w:rPr>
        <w:t>资金、</w:t>
      </w:r>
      <w:r>
        <w:rPr>
          <w:rFonts w:ascii="Times New Roman" w:hAnsi="Times New Roman" w:cs="Times New Roman"/>
          <w:color w:val="000000" w:themeColor="text1"/>
          <w14:textFill>
            <w14:solidFill>
              <w14:schemeClr w14:val="tx1"/>
            </w14:solidFill>
          </w14:textFill>
        </w:rPr>
        <w:t>能源、劳动力成本等要素制约，</w:t>
      </w:r>
      <w:r>
        <w:rPr>
          <w:rFonts w:hint="eastAsia" w:ascii="Times New Roman" w:hAnsi="Times New Roman" w:cs="Times New Roman"/>
          <w:color w:val="000000" w:themeColor="text1"/>
          <w14:textFill>
            <w14:solidFill>
              <w14:schemeClr w14:val="tx1"/>
            </w14:solidFill>
          </w14:textFill>
        </w:rPr>
        <w:t>企业有较强的外迁动机，</w:t>
      </w:r>
      <w:r>
        <w:rPr>
          <w:rFonts w:ascii="Times New Roman" w:hAnsi="Times New Roman" w:cs="Times New Roman"/>
          <w:color w:val="000000" w:themeColor="text1"/>
          <w14:textFill>
            <w14:solidFill>
              <w14:schemeClr w14:val="tx1"/>
            </w14:solidFill>
          </w14:textFill>
        </w:rPr>
        <w:t>单体大项目</w:t>
      </w:r>
      <w:r>
        <w:rPr>
          <w:rFonts w:hint="eastAsia" w:ascii="Times New Roman" w:hAnsi="Times New Roman" w:cs="Times New Roman"/>
          <w:color w:val="000000" w:themeColor="text1"/>
          <w14:textFill>
            <w14:solidFill>
              <w14:schemeClr w14:val="tx1"/>
            </w14:solidFill>
          </w14:textFill>
        </w:rPr>
        <w:t>落地</w:t>
      </w:r>
      <w:r>
        <w:rPr>
          <w:rFonts w:ascii="Times New Roman" w:hAnsi="Times New Roman" w:cs="Times New Roman"/>
          <w:color w:val="000000" w:themeColor="text1"/>
          <w14:textFill>
            <w14:solidFill>
              <w14:schemeClr w14:val="tx1"/>
            </w14:solidFill>
          </w14:textFill>
        </w:rPr>
        <w:t>数量</w:t>
      </w:r>
      <w:r>
        <w:rPr>
          <w:rFonts w:hint="eastAsia" w:ascii="Times New Roman" w:hAnsi="Times New Roman" w:cs="Times New Roman"/>
          <w:color w:val="000000" w:themeColor="text1"/>
          <w14:textFill>
            <w14:solidFill>
              <w14:schemeClr w14:val="tx1"/>
            </w14:solidFill>
          </w14:textFill>
        </w:rPr>
        <w:t>还不够多；新兴产业新兴度不够、高新技术产业高新度不足</w:t>
      </w:r>
      <w:r>
        <w:rPr>
          <w:rFonts w:hint="eastAsia" w:ascii="Times New Roman" w:hAnsi="Times New Roman" w:cs="Times New Roman"/>
          <w:shd w:val="clear" w:color="auto" w:fill="FFFFFF" w:themeFill="background1"/>
        </w:rPr>
        <w:t>，缺少可以引领行业发展的龙头企业，规上工业</w:t>
      </w:r>
      <w:r>
        <w:rPr>
          <w:rFonts w:ascii="Times New Roman" w:hAnsi="Times New Roman" w:cs="Times New Roman"/>
          <w:shd w:val="clear" w:color="auto" w:fill="FFFFFF" w:themeFill="background1"/>
        </w:rPr>
        <w:t>高新技术产业、战略性新兴产业、装备制造业</w:t>
      </w:r>
      <w:r>
        <w:rPr>
          <w:rFonts w:hint="eastAsia" w:ascii="Times New Roman" w:hAnsi="Times New Roman" w:cs="Times New Roman"/>
          <w:shd w:val="clear" w:color="auto" w:fill="FFFFFF" w:themeFill="background1"/>
        </w:rPr>
        <w:t>增加值占规上工业增加值占比分别为74.8%、32%、52.7%，均低于乐清水平，数字经济核心产业制造业增加值仅为乐清总量的1/4。</w:t>
      </w:r>
    </w:p>
    <w:p w14:paraId="661A01A8">
      <w:pPr>
        <w:pStyle w:val="9"/>
        <w:spacing w:line="600" w:lineRule="exact"/>
        <w:ind w:firstLine="643" w:firstLineChars="200"/>
        <w:rPr>
          <w:rFonts w:ascii="Times New Roman" w:hAnsi="Times New Roman" w:cs="Times New Roman"/>
        </w:rPr>
      </w:pPr>
      <w:r>
        <w:rPr>
          <w:rFonts w:ascii="Times New Roman" w:hAnsi="Times New Roman" w:cs="Times New Roman"/>
          <w:b/>
          <w:bCs/>
          <w:shd w:val="clear" w:color="auto" w:fill="FFFFFF" w:themeFill="background1"/>
        </w:rPr>
        <w:t>2.现代服务业发展能级不高。</w:t>
      </w:r>
      <w:r>
        <w:rPr>
          <w:rFonts w:ascii="Times New Roman" w:hAnsi="Times New Roman" w:cs="Times New Roman"/>
          <w:shd w:val="clear" w:color="auto" w:fill="FFFFFF" w:themeFill="background1"/>
        </w:rPr>
        <w:t>整体规模相对较弱，2022年服务业增加值占GDP比重52.3%，低于浙江（54.3%）、温州（55.7%）、乐清（52.9%）水平。产业结构层次有待提高，批发零售、交通物流等传统密集型行业增加值占比偏高（</w:t>
      </w:r>
      <w:r>
        <w:rPr>
          <w:rFonts w:ascii="Times New Roman" w:hAnsi="Times New Roman" w:cs="Times New Roman"/>
          <w:shd w:val="clear" w:color="auto" w:fill="FFFFFF"/>
        </w:rPr>
        <w:t>31.05%</w:t>
      </w:r>
      <w:r>
        <w:rPr>
          <w:rFonts w:ascii="Times New Roman" w:hAnsi="Times New Roman" w:cs="Times New Roman"/>
          <w:shd w:val="clear" w:color="auto" w:fill="FFFFFF" w:themeFill="background1"/>
        </w:rPr>
        <w:t>），信息、科技等知识密集型行业增加值占比偏低（</w:t>
      </w:r>
      <w:r>
        <w:rPr>
          <w:rFonts w:ascii="Times New Roman" w:hAnsi="Times New Roman" w:cs="Times New Roman"/>
          <w:shd w:val="clear" w:color="auto" w:fill="FFFFFF"/>
        </w:rPr>
        <w:t>9.57%</w:t>
      </w:r>
      <w:r>
        <w:rPr>
          <w:rFonts w:ascii="Times New Roman" w:hAnsi="Times New Roman" w:cs="Times New Roman"/>
          <w:shd w:val="clear" w:color="auto" w:fill="FFFFFF" w:themeFill="background1"/>
        </w:rPr>
        <w:t>）；本土品牌和产业龙头缺位，超1.6万家服务业企业中，</w:t>
      </w:r>
      <w:r>
        <w:rPr>
          <w:rFonts w:hint="eastAsia" w:ascii="Times New Roman" w:hAnsi="Times New Roman" w:cs="Times New Roman"/>
          <w:shd w:val="clear" w:color="auto" w:fill="FFFFFF" w:themeFill="background1"/>
        </w:rPr>
        <w:t>仅有</w:t>
      </w:r>
      <w:r>
        <w:rPr>
          <w:rFonts w:ascii="Times New Roman" w:hAnsi="Times New Roman" w:cs="Times New Roman"/>
          <w:shd w:val="clear" w:color="auto" w:fill="FFFFFF"/>
        </w:rPr>
        <w:t>规上服务业企业97家，</w:t>
      </w:r>
      <w:r>
        <w:rPr>
          <w:rFonts w:ascii="Times New Roman" w:hAnsi="Times New Roman" w:cs="Times New Roman"/>
          <w:shd w:val="clear" w:color="auto" w:fill="FFFFFF" w:themeFill="background1"/>
        </w:rPr>
        <w:t>超亿元服务业企业仅8家、超10亿企业仅1</w:t>
      </w:r>
      <w:r>
        <w:rPr>
          <w:rFonts w:ascii="Times New Roman" w:hAnsi="Times New Roman" w:cs="Times New Roman"/>
        </w:rPr>
        <w:t>家。</w:t>
      </w:r>
      <w:r>
        <w:rPr>
          <w:rFonts w:hint="eastAsia" w:ascii="Times New Roman" w:hAnsi="Times New Roman" w:cs="Times New Roman"/>
        </w:rPr>
        <w:t>消费活力释放不足，两年全年社会消费品零售年均增速5.89%，低于全省平均（7.0%）、全市平均（6.22%）水平。</w:t>
      </w:r>
    </w:p>
    <w:p w14:paraId="729DAA00">
      <w:pPr>
        <w:ind w:firstLine="643" w:firstLineChars="200"/>
        <w:rPr>
          <w:rFonts w:ascii="Times New Roman" w:hAnsi="Times New Roman" w:cs="Times New Roman"/>
        </w:rPr>
      </w:pPr>
      <w:r>
        <w:rPr>
          <w:rFonts w:ascii="Times New Roman" w:hAnsi="Times New Roman" w:cs="Times New Roman"/>
          <w:b/>
          <w:bCs/>
        </w:rPr>
        <w:t>3.投资增长进入瓶颈期。</w:t>
      </w:r>
      <w:r>
        <w:rPr>
          <w:rFonts w:hint="eastAsia" w:ascii="Times New Roman" w:hAnsi="Times New Roman" w:cs="Times New Roman"/>
        </w:rPr>
        <w:t>受房地产业持续低迷、土地出让收入锐减、政府债务总额逼近临界值等因素影响，财政收支矛盾更加突出，对固定资产投资稳增长造成较大压力，</w:t>
      </w:r>
      <w:r>
        <w:rPr>
          <w:rFonts w:ascii="Times New Roman" w:hAnsi="Times New Roman" w:cs="Times New Roman"/>
        </w:rPr>
        <w:t>2018-2022年固定资产投资增速年均增长5.4%，分别低于温州、乐清3.1、2个百分点，处于12个县市区下游水平（第10）。</w:t>
      </w:r>
      <w:r>
        <w:rPr>
          <w:rFonts w:hint="eastAsia" w:ascii="Times New Roman" w:hAnsi="Times New Roman" w:cs="Times New Roman"/>
        </w:rPr>
        <w:t>受企业用工和融资成本上升、百亿级产业项目不达预期效果、市场需求不足的影响，工业业投资拉动力削弱、疲态凸显，</w:t>
      </w:r>
      <w:r>
        <w:rPr>
          <w:rFonts w:ascii="Times New Roman" w:hAnsi="Times New Roman" w:cs="Times New Roman"/>
        </w:rPr>
        <w:t>工业投资增速年均增长11%</w:t>
      </w:r>
      <w:r>
        <w:rPr>
          <w:rFonts w:hint="eastAsia" w:ascii="Times New Roman" w:hAnsi="Times New Roman" w:cs="Times New Roman"/>
        </w:rPr>
        <w:t>，分别</w:t>
      </w:r>
      <w:r>
        <w:rPr>
          <w:rFonts w:ascii="Times New Roman" w:hAnsi="Times New Roman" w:cs="Times New Roman"/>
        </w:rPr>
        <w:t>低于温州</w:t>
      </w:r>
      <w:r>
        <w:rPr>
          <w:rFonts w:hint="eastAsia" w:ascii="Times New Roman" w:hAnsi="Times New Roman" w:cs="Times New Roman"/>
        </w:rPr>
        <w:t>和</w:t>
      </w:r>
      <w:r>
        <w:rPr>
          <w:rFonts w:ascii="Times New Roman" w:hAnsi="Times New Roman" w:cs="Times New Roman"/>
        </w:rPr>
        <w:t>乐清3.9</w:t>
      </w:r>
      <w:r>
        <w:rPr>
          <w:rFonts w:hint="eastAsia" w:ascii="Times New Roman" w:hAnsi="Times New Roman" w:cs="Times New Roman"/>
        </w:rPr>
        <w:t>、3.9</w:t>
      </w:r>
      <w:r>
        <w:rPr>
          <w:rFonts w:ascii="Times New Roman" w:hAnsi="Times New Roman" w:cs="Times New Roman"/>
        </w:rPr>
        <w:t>个百分点，位列全市第7。</w:t>
      </w:r>
      <w:r>
        <w:rPr>
          <w:rFonts w:hint="eastAsia" w:ascii="Times New Roman" w:hAnsi="Times New Roman" w:cs="Times New Roman"/>
        </w:rPr>
        <w:t>围填海历史遗留问题处置进展有待提速，土地资源紧缺与低效利用矛盾突出，优质项目落地空间保障不足，产出效益偏低，瑞安亩均效益低于温州平均水平。</w:t>
      </w:r>
    </w:p>
    <w:p w14:paraId="0F77AC3D">
      <w:pPr>
        <w:jc w:val="center"/>
        <w:rPr>
          <w:rFonts w:ascii="黑体" w:hAnsi="黑体" w:eastAsia="黑体" w:cs="黑体"/>
          <w:sz w:val="28"/>
          <w:szCs w:val="22"/>
          <w:shd w:val="clear" w:color="auto" w:fill="FFFFFF" w:themeFill="background1"/>
        </w:rPr>
      </w:pPr>
      <w:r>
        <w:rPr>
          <w:rFonts w:hint="eastAsia" w:ascii="黑体" w:hAnsi="黑体" w:eastAsia="黑体" w:cs="黑体"/>
          <w:sz w:val="28"/>
          <w:szCs w:val="22"/>
          <w:shd w:val="clear" w:color="auto" w:fill="FFFFFF" w:themeFill="background1"/>
        </w:rPr>
        <w:t>表 温州各县市区2018-2022固定资产投资增速情况（%）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091"/>
        <w:gridCol w:w="1091"/>
        <w:gridCol w:w="1091"/>
        <w:gridCol w:w="1091"/>
        <w:gridCol w:w="1091"/>
        <w:gridCol w:w="911"/>
        <w:gridCol w:w="845"/>
      </w:tblGrid>
      <w:tr w14:paraId="2CC8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78389276">
            <w:pPr>
              <w:pStyle w:val="8"/>
              <w:spacing w:after="0" w:line="320" w:lineRule="exact"/>
              <w:jc w:val="center"/>
              <w:rPr>
                <w:rFonts w:ascii="Times New Roman" w:hAnsi="Times New Roman" w:cs="Times New Roman"/>
                <w:b/>
                <w:bCs/>
                <w:sz w:val="28"/>
                <w:szCs w:val="28"/>
              </w:rPr>
            </w:pPr>
            <w:r>
              <w:rPr>
                <w:rFonts w:ascii="Times New Roman" w:hAnsi="Times New Roman" w:cs="Times New Roman"/>
                <w:b/>
                <w:bCs/>
                <w:sz w:val="28"/>
                <w:szCs w:val="28"/>
              </w:rPr>
              <w:t>地区</w:t>
            </w:r>
          </w:p>
        </w:tc>
        <w:tc>
          <w:tcPr>
            <w:tcW w:w="1091" w:type="dxa"/>
            <w:vAlign w:val="center"/>
          </w:tcPr>
          <w:p w14:paraId="15352CA7">
            <w:pPr>
              <w:pStyle w:val="8"/>
              <w:spacing w:after="0" w:line="320" w:lineRule="exact"/>
              <w:jc w:val="center"/>
              <w:rPr>
                <w:rFonts w:ascii="Times New Roman" w:hAnsi="Times New Roman" w:cs="Times New Roman"/>
                <w:b/>
                <w:bCs/>
                <w:sz w:val="28"/>
                <w:szCs w:val="28"/>
              </w:rPr>
            </w:pPr>
            <w:r>
              <w:rPr>
                <w:rFonts w:ascii="Times New Roman" w:hAnsi="Times New Roman" w:cs="Times New Roman"/>
                <w:b/>
                <w:bCs/>
                <w:sz w:val="28"/>
                <w:szCs w:val="28"/>
              </w:rPr>
              <w:t>2018年</w:t>
            </w:r>
          </w:p>
        </w:tc>
        <w:tc>
          <w:tcPr>
            <w:tcW w:w="1091" w:type="dxa"/>
            <w:vAlign w:val="center"/>
          </w:tcPr>
          <w:p w14:paraId="33848B00">
            <w:pPr>
              <w:pStyle w:val="8"/>
              <w:spacing w:after="0" w:line="320" w:lineRule="exact"/>
              <w:jc w:val="center"/>
              <w:rPr>
                <w:rFonts w:ascii="Times New Roman" w:hAnsi="Times New Roman" w:cs="Times New Roman"/>
                <w:b/>
                <w:bCs/>
                <w:sz w:val="28"/>
                <w:szCs w:val="28"/>
              </w:rPr>
            </w:pPr>
            <w:r>
              <w:rPr>
                <w:rFonts w:ascii="Times New Roman" w:hAnsi="Times New Roman" w:cs="Times New Roman"/>
                <w:b/>
                <w:bCs/>
                <w:sz w:val="28"/>
                <w:szCs w:val="28"/>
              </w:rPr>
              <w:t>2019年</w:t>
            </w:r>
          </w:p>
        </w:tc>
        <w:tc>
          <w:tcPr>
            <w:tcW w:w="1091" w:type="dxa"/>
            <w:vAlign w:val="center"/>
          </w:tcPr>
          <w:p w14:paraId="73819B3D">
            <w:pPr>
              <w:pStyle w:val="8"/>
              <w:spacing w:after="0" w:line="320" w:lineRule="exact"/>
              <w:jc w:val="center"/>
              <w:rPr>
                <w:rFonts w:ascii="Times New Roman" w:hAnsi="Times New Roman" w:cs="Times New Roman"/>
                <w:b/>
                <w:bCs/>
                <w:sz w:val="28"/>
                <w:szCs w:val="28"/>
              </w:rPr>
            </w:pPr>
            <w:r>
              <w:rPr>
                <w:rFonts w:ascii="Times New Roman" w:hAnsi="Times New Roman" w:cs="Times New Roman"/>
                <w:b/>
                <w:bCs/>
                <w:sz w:val="28"/>
                <w:szCs w:val="28"/>
              </w:rPr>
              <w:t>2020年</w:t>
            </w:r>
          </w:p>
        </w:tc>
        <w:tc>
          <w:tcPr>
            <w:tcW w:w="1091" w:type="dxa"/>
            <w:vAlign w:val="center"/>
          </w:tcPr>
          <w:p w14:paraId="541DEEDF">
            <w:pPr>
              <w:pStyle w:val="8"/>
              <w:spacing w:after="0" w:line="320" w:lineRule="exact"/>
              <w:jc w:val="center"/>
              <w:rPr>
                <w:rFonts w:ascii="Times New Roman" w:hAnsi="Times New Roman" w:cs="Times New Roman"/>
                <w:b/>
                <w:bCs/>
                <w:sz w:val="28"/>
                <w:szCs w:val="28"/>
              </w:rPr>
            </w:pPr>
            <w:r>
              <w:rPr>
                <w:rFonts w:ascii="Times New Roman" w:hAnsi="Times New Roman" w:cs="Times New Roman"/>
                <w:b/>
                <w:bCs/>
                <w:sz w:val="28"/>
                <w:szCs w:val="28"/>
              </w:rPr>
              <w:t>2021年</w:t>
            </w:r>
          </w:p>
        </w:tc>
        <w:tc>
          <w:tcPr>
            <w:tcW w:w="1091" w:type="dxa"/>
            <w:vAlign w:val="center"/>
          </w:tcPr>
          <w:p w14:paraId="0701EEED">
            <w:pPr>
              <w:pStyle w:val="8"/>
              <w:spacing w:after="0" w:line="320" w:lineRule="exact"/>
              <w:jc w:val="center"/>
              <w:rPr>
                <w:rFonts w:ascii="Times New Roman" w:hAnsi="Times New Roman" w:cs="Times New Roman"/>
                <w:b/>
                <w:bCs/>
                <w:sz w:val="28"/>
                <w:szCs w:val="28"/>
              </w:rPr>
            </w:pPr>
            <w:r>
              <w:rPr>
                <w:rFonts w:ascii="Times New Roman" w:hAnsi="Times New Roman" w:cs="Times New Roman"/>
                <w:b/>
                <w:bCs/>
                <w:sz w:val="28"/>
                <w:szCs w:val="28"/>
              </w:rPr>
              <w:t>2022年</w:t>
            </w:r>
          </w:p>
        </w:tc>
        <w:tc>
          <w:tcPr>
            <w:tcW w:w="911" w:type="dxa"/>
            <w:vAlign w:val="center"/>
          </w:tcPr>
          <w:p w14:paraId="01BD0EE2">
            <w:pPr>
              <w:pStyle w:val="8"/>
              <w:spacing w:after="0" w:line="320" w:lineRule="exact"/>
              <w:jc w:val="center"/>
              <w:rPr>
                <w:rFonts w:ascii="Times New Roman" w:hAnsi="Times New Roman" w:cs="Times New Roman"/>
                <w:b/>
                <w:bCs/>
                <w:sz w:val="28"/>
                <w:szCs w:val="28"/>
              </w:rPr>
            </w:pPr>
            <w:r>
              <w:rPr>
                <w:rFonts w:ascii="Times New Roman" w:hAnsi="Times New Roman" w:cs="Times New Roman"/>
                <w:b/>
                <w:bCs/>
                <w:sz w:val="28"/>
                <w:szCs w:val="28"/>
              </w:rPr>
              <w:t>年均</w:t>
            </w:r>
          </w:p>
          <w:p w14:paraId="40212F9C">
            <w:pPr>
              <w:pStyle w:val="8"/>
              <w:spacing w:after="0" w:line="320" w:lineRule="exact"/>
              <w:jc w:val="center"/>
              <w:rPr>
                <w:rFonts w:ascii="Times New Roman" w:hAnsi="Times New Roman" w:cs="Times New Roman"/>
                <w:b/>
                <w:bCs/>
                <w:sz w:val="28"/>
                <w:szCs w:val="28"/>
              </w:rPr>
            </w:pPr>
            <w:r>
              <w:rPr>
                <w:rFonts w:ascii="Times New Roman" w:hAnsi="Times New Roman" w:cs="Times New Roman"/>
                <w:b/>
                <w:bCs/>
                <w:sz w:val="28"/>
                <w:szCs w:val="28"/>
              </w:rPr>
              <w:t>增速</w:t>
            </w:r>
          </w:p>
        </w:tc>
        <w:tc>
          <w:tcPr>
            <w:tcW w:w="845" w:type="dxa"/>
            <w:vAlign w:val="center"/>
          </w:tcPr>
          <w:p w14:paraId="7179E2FC">
            <w:pPr>
              <w:pStyle w:val="8"/>
              <w:spacing w:after="0" w:line="320" w:lineRule="exact"/>
              <w:jc w:val="center"/>
              <w:rPr>
                <w:rFonts w:ascii="Times New Roman" w:hAnsi="Times New Roman" w:cs="Times New Roman"/>
                <w:b/>
                <w:bCs/>
                <w:sz w:val="28"/>
                <w:szCs w:val="28"/>
              </w:rPr>
            </w:pPr>
            <w:r>
              <w:rPr>
                <w:rFonts w:ascii="Times New Roman" w:hAnsi="Times New Roman" w:cs="Times New Roman"/>
                <w:b/>
                <w:bCs/>
                <w:sz w:val="28"/>
                <w:szCs w:val="28"/>
              </w:rPr>
              <w:t>排名</w:t>
            </w:r>
          </w:p>
        </w:tc>
      </w:tr>
      <w:tr w14:paraId="380C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24260ED2">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温州市</w:t>
            </w:r>
          </w:p>
        </w:tc>
        <w:tc>
          <w:tcPr>
            <w:tcW w:w="1091" w:type="dxa"/>
            <w:vAlign w:val="center"/>
          </w:tcPr>
          <w:p w14:paraId="7DA062C7">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8.1</w:t>
            </w:r>
          </w:p>
        </w:tc>
        <w:tc>
          <w:tcPr>
            <w:tcW w:w="1091" w:type="dxa"/>
            <w:vAlign w:val="center"/>
          </w:tcPr>
          <w:p w14:paraId="763B91B8">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10.3</w:t>
            </w:r>
          </w:p>
        </w:tc>
        <w:tc>
          <w:tcPr>
            <w:tcW w:w="1091" w:type="dxa"/>
            <w:vAlign w:val="center"/>
          </w:tcPr>
          <w:p w14:paraId="3D6F2359">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4.9</w:t>
            </w:r>
          </w:p>
        </w:tc>
        <w:tc>
          <w:tcPr>
            <w:tcW w:w="1091" w:type="dxa"/>
            <w:vAlign w:val="center"/>
          </w:tcPr>
          <w:p w14:paraId="37D5F1B5">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11.4</w:t>
            </w:r>
          </w:p>
        </w:tc>
        <w:tc>
          <w:tcPr>
            <w:tcW w:w="1091" w:type="dxa"/>
            <w:vAlign w:val="center"/>
          </w:tcPr>
          <w:p w14:paraId="0A0F1C2F">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7.8</w:t>
            </w:r>
          </w:p>
        </w:tc>
        <w:tc>
          <w:tcPr>
            <w:tcW w:w="911" w:type="dxa"/>
            <w:vAlign w:val="center"/>
          </w:tcPr>
          <w:p w14:paraId="3C034FBD">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8.5</w:t>
            </w:r>
          </w:p>
        </w:tc>
        <w:tc>
          <w:tcPr>
            <w:tcW w:w="845" w:type="dxa"/>
            <w:vAlign w:val="center"/>
          </w:tcPr>
          <w:p w14:paraId="145EA72E">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w:t>
            </w:r>
          </w:p>
        </w:tc>
      </w:tr>
      <w:tr w14:paraId="1C1C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797752CC">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鹿城区</w:t>
            </w:r>
          </w:p>
        </w:tc>
        <w:tc>
          <w:tcPr>
            <w:tcW w:w="1091" w:type="dxa"/>
            <w:vAlign w:val="center"/>
          </w:tcPr>
          <w:p w14:paraId="770EAA10">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1091" w:type="dxa"/>
            <w:vAlign w:val="center"/>
          </w:tcPr>
          <w:p w14:paraId="71D12C25">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w:t>
            </w:r>
          </w:p>
        </w:tc>
        <w:tc>
          <w:tcPr>
            <w:tcW w:w="1091" w:type="dxa"/>
            <w:vAlign w:val="center"/>
          </w:tcPr>
          <w:p w14:paraId="6E642EB4">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4.1</w:t>
            </w:r>
          </w:p>
        </w:tc>
        <w:tc>
          <w:tcPr>
            <w:tcW w:w="1091" w:type="dxa"/>
            <w:vAlign w:val="center"/>
          </w:tcPr>
          <w:p w14:paraId="3E87CE8F">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21.7</w:t>
            </w:r>
          </w:p>
        </w:tc>
        <w:tc>
          <w:tcPr>
            <w:tcW w:w="1091" w:type="dxa"/>
            <w:vAlign w:val="center"/>
          </w:tcPr>
          <w:p w14:paraId="03279341">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20.3</w:t>
            </w:r>
          </w:p>
        </w:tc>
        <w:tc>
          <w:tcPr>
            <w:tcW w:w="911" w:type="dxa"/>
            <w:vAlign w:val="center"/>
          </w:tcPr>
          <w:p w14:paraId="00EB7AC7">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12</w:t>
            </w:r>
          </w:p>
        </w:tc>
        <w:tc>
          <w:tcPr>
            <w:tcW w:w="845" w:type="dxa"/>
            <w:vAlign w:val="center"/>
          </w:tcPr>
          <w:p w14:paraId="6974967A">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4</w:t>
            </w:r>
          </w:p>
        </w:tc>
      </w:tr>
      <w:tr w14:paraId="5CE1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6863383B">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瓯海区</w:t>
            </w:r>
          </w:p>
        </w:tc>
        <w:tc>
          <w:tcPr>
            <w:tcW w:w="1091" w:type="dxa"/>
            <w:vAlign w:val="center"/>
          </w:tcPr>
          <w:p w14:paraId="68C2A2C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8.5</w:t>
            </w:r>
          </w:p>
        </w:tc>
        <w:tc>
          <w:tcPr>
            <w:tcW w:w="1091" w:type="dxa"/>
            <w:vAlign w:val="center"/>
          </w:tcPr>
          <w:p w14:paraId="7D68960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10.1</w:t>
            </w:r>
          </w:p>
        </w:tc>
        <w:tc>
          <w:tcPr>
            <w:tcW w:w="1091" w:type="dxa"/>
            <w:vAlign w:val="center"/>
          </w:tcPr>
          <w:p w14:paraId="47659873">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5.1</w:t>
            </w:r>
          </w:p>
        </w:tc>
        <w:tc>
          <w:tcPr>
            <w:tcW w:w="1091" w:type="dxa"/>
            <w:vAlign w:val="center"/>
          </w:tcPr>
          <w:p w14:paraId="0D75DDF6">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10.2</w:t>
            </w:r>
          </w:p>
        </w:tc>
        <w:tc>
          <w:tcPr>
            <w:tcW w:w="1091" w:type="dxa"/>
            <w:vAlign w:val="center"/>
          </w:tcPr>
          <w:p w14:paraId="3CF3B2CE">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-3.5</w:t>
            </w:r>
          </w:p>
        </w:tc>
        <w:tc>
          <w:tcPr>
            <w:tcW w:w="911" w:type="dxa"/>
            <w:vAlign w:val="center"/>
          </w:tcPr>
          <w:p w14:paraId="78899A12">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845" w:type="dxa"/>
            <w:vAlign w:val="center"/>
          </w:tcPr>
          <w:p w14:paraId="4CF9DEB2">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9</w:t>
            </w:r>
          </w:p>
        </w:tc>
      </w:tr>
      <w:tr w14:paraId="7B57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5473600C">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大龙湾</w:t>
            </w:r>
          </w:p>
        </w:tc>
        <w:tc>
          <w:tcPr>
            <w:tcW w:w="1091" w:type="dxa"/>
            <w:vAlign w:val="center"/>
          </w:tcPr>
          <w:p w14:paraId="3280F0E8">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8.9</w:t>
            </w:r>
          </w:p>
        </w:tc>
        <w:tc>
          <w:tcPr>
            <w:tcW w:w="1091" w:type="dxa"/>
            <w:vAlign w:val="center"/>
          </w:tcPr>
          <w:p w14:paraId="5D2E2ECF">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10.1</w:t>
            </w:r>
          </w:p>
        </w:tc>
        <w:tc>
          <w:tcPr>
            <w:tcW w:w="1091" w:type="dxa"/>
            <w:vAlign w:val="center"/>
          </w:tcPr>
          <w:p w14:paraId="778C79B9">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4.1</w:t>
            </w:r>
          </w:p>
        </w:tc>
        <w:tc>
          <w:tcPr>
            <w:tcW w:w="1091" w:type="dxa"/>
            <w:vAlign w:val="center"/>
          </w:tcPr>
          <w:p w14:paraId="60950D17">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3.1</w:t>
            </w:r>
          </w:p>
        </w:tc>
        <w:tc>
          <w:tcPr>
            <w:tcW w:w="1091" w:type="dxa"/>
            <w:vAlign w:val="center"/>
          </w:tcPr>
          <w:p w14:paraId="22CE5770">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-5.5</w:t>
            </w:r>
          </w:p>
        </w:tc>
        <w:tc>
          <w:tcPr>
            <w:tcW w:w="911" w:type="dxa"/>
            <w:vAlign w:val="center"/>
          </w:tcPr>
          <w:p w14:paraId="0E42B3BD">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845" w:type="dxa"/>
            <w:vAlign w:val="center"/>
          </w:tcPr>
          <w:p w14:paraId="06E17C75">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12</w:t>
            </w:r>
          </w:p>
        </w:tc>
      </w:tr>
      <w:tr w14:paraId="4171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Align w:val="center"/>
          </w:tcPr>
          <w:p w14:paraId="1D58A493">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洞头区</w:t>
            </w:r>
          </w:p>
        </w:tc>
        <w:tc>
          <w:tcPr>
            <w:tcW w:w="1091" w:type="dxa"/>
            <w:vAlign w:val="center"/>
          </w:tcPr>
          <w:p w14:paraId="713FA445">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7.5</w:t>
            </w:r>
          </w:p>
        </w:tc>
        <w:tc>
          <w:tcPr>
            <w:tcW w:w="1091" w:type="dxa"/>
            <w:vAlign w:val="center"/>
          </w:tcPr>
          <w:p w14:paraId="0562603D">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10.7</w:t>
            </w:r>
          </w:p>
        </w:tc>
        <w:tc>
          <w:tcPr>
            <w:tcW w:w="1091" w:type="dxa"/>
            <w:vAlign w:val="center"/>
          </w:tcPr>
          <w:p w14:paraId="5EFE4022">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7.5</w:t>
            </w:r>
          </w:p>
        </w:tc>
        <w:tc>
          <w:tcPr>
            <w:tcW w:w="1091" w:type="dxa"/>
            <w:vAlign w:val="center"/>
          </w:tcPr>
          <w:p w14:paraId="45FBA086">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34.4</w:t>
            </w:r>
          </w:p>
        </w:tc>
        <w:tc>
          <w:tcPr>
            <w:tcW w:w="1091" w:type="dxa"/>
            <w:vAlign w:val="center"/>
          </w:tcPr>
          <w:p w14:paraId="5BB88106">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25.8</w:t>
            </w:r>
          </w:p>
        </w:tc>
        <w:tc>
          <w:tcPr>
            <w:tcW w:w="911" w:type="dxa"/>
            <w:vAlign w:val="center"/>
          </w:tcPr>
          <w:p w14:paraId="27FE85C3">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16.7</w:t>
            </w:r>
          </w:p>
        </w:tc>
        <w:tc>
          <w:tcPr>
            <w:tcW w:w="845" w:type="dxa"/>
            <w:vAlign w:val="center"/>
          </w:tcPr>
          <w:p w14:paraId="2EA3DDD2">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2</w:t>
            </w:r>
          </w:p>
        </w:tc>
      </w:tr>
      <w:tr w14:paraId="1208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3B15C402">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乐清市</w:t>
            </w:r>
          </w:p>
        </w:tc>
        <w:tc>
          <w:tcPr>
            <w:tcW w:w="1091" w:type="dxa"/>
            <w:vAlign w:val="center"/>
          </w:tcPr>
          <w:p w14:paraId="54828240">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8.7</w:t>
            </w:r>
          </w:p>
        </w:tc>
        <w:tc>
          <w:tcPr>
            <w:tcW w:w="1091" w:type="dxa"/>
            <w:vAlign w:val="center"/>
          </w:tcPr>
          <w:p w14:paraId="68FD98D5">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10.1</w:t>
            </w:r>
          </w:p>
        </w:tc>
        <w:tc>
          <w:tcPr>
            <w:tcW w:w="1091" w:type="dxa"/>
            <w:vAlign w:val="center"/>
          </w:tcPr>
          <w:p w14:paraId="16161048">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1091" w:type="dxa"/>
            <w:vAlign w:val="center"/>
          </w:tcPr>
          <w:p w14:paraId="168F960E">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5.5</w:t>
            </w:r>
          </w:p>
        </w:tc>
        <w:tc>
          <w:tcPr>
            <w:tcW w:w="1091" w:type="dxa"/>
            <w:vAlign w:val="center"/>
          </w:tcPr>
          <w:p w14:paraId="047446BD">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8.6</w:t>
            </w:r>
          </w:p>
        </w:tc>
        <w:tc>
          <w:tcPr>
            <w:tcW w:w="911" w:type="dxa"/>
            <w:vAlign w:val="center"/>
          </w:tcPr>
          <w:p w14:paraId="52709EA1">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7.4</w:t>
            </w:r>
          </w:p>
        </w:tc>
        <w:tc>
          <w:tcPr>
            <w:tcW w:w="845" w:type="dxa"/>
            <w:vAlign w:val="center"/>
          </w:tcPr>
          <w:p w14:paraId="528C2C39">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8</w:t>
            </w:r>
          </w:p>
        </w:tc>
      </w:tr>
      <w:tr w14:paraId="2C02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47818845">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瑞安市</w:t>
            </w:r>
          </w:p>
        </w:tc>
        <w:tc>
          <w:tcPr>
            <w:tcW w:w="1091" w:type="dxa"/>
            <w:vAlign w:val="center"/>
          </w:tcPr>
          <w:p w14:paraId="3D399A90">
            <w:pPr>
              <w:pStyle w:val="8"/>
              <w:adjustRightInd w:val="0"/>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8.5</w:t>
            </w:r>
          </w:p>
        </w:tc>
        <w:tc>
          <w:tcPr>
            <w:tcW w:w="1091" w:type="dxa"/>
            <w:vAlign w:val="center"/>
          </w:tcPr>
          <w:p w14:paraId="75F3D101">
            <w:pPr>
              <w:pStyle w:val="8"/>
              <w:adjustRightInd w:val="0"/>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10</w:t>
            </w:r>
          </w:p>
        </w:tc>
        <w:tc>
          <w:tcPr>
            <w:tcW w:w="1091" w:type="dxa"/>
            <w:vAlign w:val="center"/>
          </w:tcPr>
          <w:p w14:paraId="2638FAF9">
            <w:pPr>
              <w:pStyle w:val="8"/>
              <w:adjustRightInd w:val="0"/>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4.3</w:t>
            </w:r>
          </w:p>
        </w:tc>
        <w:tc>
          <w:tcPr>
            <w:tcW w:w="1091" w:type="dxa"/>
            <w:vAlign w:val="center"/>
          </w:tcPr>
          <w:p w14:paraId="1107643E">
            <w:pPr>
              <w:pStyle w:val="8"/>
              <w:adjustRightInd w:val="0"/>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8.6</w:t>
            </w:r>
          </w:p>
        </w:tc>
        <w:tc>
          <w:tcPr>
            <w:tcW w:w="1091" w:type="dxa"/>
            <w:vAlign w:val="center"/>
          </w:tcPr>
          <w:p w14:paraId="6E27A79F">
            <w:pPr>
              <w:pStyle w:val="8"/>
              <w:adjustRightInd w:val="0"/>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-3.7</w:t>
            </w:r>
          </w:p>
        </w:tc>
        <w:tc>
          <w:tcPr>
            <w:tcW w:w="911" w:type="dxa"/>
            <w:vAlign w:val="center"/>
          </w:tcPr>
          <w:p w14:paraId="25FC1116">
            <w:pPr>
              <w:pStyle w:val="8"/>
              <w:adjustRightInd w:val="0"/>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5.4</w:t>
            </w:r>
          </w:p>
        </w:tc>
        <w:tc>
          <w:tcPr>
            <w:tcW w:w="845" w:type="dxa"/>
            <w:vAlign w:val="center"/>
          </w:tcPr>
          <w:p w14:paraId="01058CF9">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10</w:t>
            </w:r>
          </w:p>
        </w:tc>
      </w:tr>
      <w:tr w14:paraId="369F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448A165F">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龙港市</w:t>
            </w:r>
          </w:p>
        </w:tc>
        <w:tc>
          <w:tcPr>
            <w:tcW w:w="1091" w:type="dxa"/>
            <w:vAlign w:val="center"/>
          </w:tcPr>
          <w:p w14:paraId="4CCDB1F3">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1091" w:type="dxa"/>
            <w:vAlign w:val="center"/>
          </w:tcPr>
          <w:p w14:paraId="4B56A0B9">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1091" w:type="dxa"/>
            <w:vAlign w:val="center"/>
          </w:tcPr>
          <w:p w14:paraId="71314A74">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0.1</w:t>
            </w:r>
          </w:p>
        </w:tc>
        <w:tc>
          <w:tcPr>
            <w:tcW w:w="1091" w:type="dxa"/>
            <w:vAlign w:val="center"/>
          </w:tcPr>
          <w:p w14:paraId="3A2359E8">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0.1</w:t>
            </w:r>
          </w:p>
        </w:tc>
        <w:tc>
          <w:tcPr>
            <w:tcW w:w="1091" w:type="dxa"/>
            <w:vAlign w:val="center"/>
          </w:tcPr>
          <w:p w14:paraId="0304D813">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0.1</w:t>
            </w:r>
          </w:p>
        </w:tc>
        <w:tc>
          <w:tcPr>
            <w:tcW w:w="911" w:type="dxa"/>
            <w:vAlign w:val="center"/>
          </w:tcPr>
          <w:p w14:paraId="0D8770A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5.2</w:t>
            </w:r>
          </w:p>
        </w:tc>
        <w:tc>
          <w:tcPr>
            <w:tcW w:w="845" w:type="dxa"/>
            <w:vAlign w:val="center"/>
          </w:tcPr>
          <w:p w14:paraId="7F734D0C">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11</w:t>
            </w:r>
          </w:p>
        </w:tc>
      </w:tr>
      <w:tr w14:paraId="140B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5452BB58">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永嘉县</w:t>
            </w:r>
          </w:p>
        </w:tc>
        <w:tc>
          <w:tcPr>
            <w:tcW w:w="1091" w:type="dxa"/>
            <w:vAlign w:val="center"/>
          </w:tcPr>
          <w:p w14:paraId="43626C5B">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8.3</w:t>
            </w:r>
          </w:p>
        </w:tc>
        <w:tc>
          <w:tcPr>
            <w:tcW w:w="1091" w:type="dxa"/>
            <w:vAlign w:val="center"/>
          </w:tcPr>
          <w:p w14:paraId="3CCA96A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10.1</w:t>
            </w:r>
          </w:p>
        </w:tc>
        <w:tc>
          <w:tcPr>
            <w:tcW w:w="1091" w:type="dxa"/>
            <w:vAlign w:val="center"/>
          </w:tcPr>
          <w:p w14:paraId="57CDAC3D">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4.2</w:t>
            </w:r>
          </w:p>
        </w:tc>
        <w:tc>
          <w:tcPr>
            <w:tcW w:w="1091" w:type="dxa"/>
            <w:vAlign w:val="center"/>
          </w:tcPr>
          <w:p w14:paraId="18918AE3">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w:t>
            </w:r>
          </w:p>
        </w:tc>
        <w:tc>
          <w:tcPr>
            <w:tcW w:w="1091" w:type="dxa"/>
            <w:vAlign w:val="center"/>
          </w:tcPr>
          <w:p w14:paraId="4566A755">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9.2</w:t>
            </w:r>
          </w:p>
        </w:tc>
        <w:tc>
          <w:tcPr>
            <w:tcW w:w="911" w:type="dxa"/>
            <w:vAlign w:val="center"/>
          </w:tcPr>
          <w:p w14:paraId="149E0214">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7.9</w:t>
            </w:r>
          </w:p>
        </w:tc>
        <w:tc>
          <w:tcPr>
            <w:tcW w:w="845" w:type="dxa"/>
            <w:vAlign w:val="center"/>
          </w:tcPr>
          <w:p w14:paraId="36FA6B6B">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7</w:t>
            </w:r>
          </w:p>
        </w:tc>
      </w:tr>
      <w:tr w14:paraId="5011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204B6AAF">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文成县</w:t>
            </w:r>
          </w:p>
        </w:tc>
        <w:tc>
          <w:tcPr>
            <w:tcW w:w="1091" w:type="dxa"/>
            <w:vAlign w:val="center"/>
          </w:tcPr>
          <w:p w14:paraId="06F76C6E">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8.2</w:t>
            </w:r>
          </w:p>
        </w:tc>
        <w:tc>
          <w:tcPr>
            <w:tcW w:w="1091" w:type="dxa"/>
            <w:vAlign w:val="center"/>
          </w:tcPr>
          <w:p w14:paraId="2335F103">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21</w:t>
            </w:r>
          </w:p>
        </w:tc>
        <w:tc>
          <w:tcPr>
            <w:tcW w:w="1091" w:type="dxa"/>
            <w:vAlign w:val="center"/>
          </w:tcPr>
          <w:p w14:paraId="64984984">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12.2</w:t>
            </w:r>
          </w:p>
        </w:tc>
        <w:tc>
          <w:tcPr>
            <w:tcW w:w="1091" w:type="dxa"/>
            <w:vAlign w:val="center"/>
          </w:tcPr>
          <w:p w14:paraId="5ACBA286">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13.1</w:t>
            </w:r>
          </w:p>
        </w:tc>
        <w:tc>
          <w:tcPr>
            <w:tcW w:w="1091" w:type="dxa"/>
            <w:vAlign w:val="center"/>
          </w:tcPr>
          <w:p w14:paraId="265E90A8">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15.3</w:t>
            </w:r>
          </w:p>
        </w:tc>
        <w:tc>
          <w:tcPr>
            <w:tcW w:w="911" w:type="dxa"/>
            <w:vAlign w:val="center"/>
          </w:tcPr>
          <w:p w14:paraId="4C6D7D06">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13.9</w:t>
            </w:r>
          </w:p>
        </w:tc>
        <w:tc>
          <w:tcPr>
            <w:tcW w:w="845" w:type="dxa"/>
            <w:vAlign w:val="center"/>
          </w:tcPr>
          <w:p w14:paraId="0BDC1A66">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3</w:t>
            </w:r>
          </w:p>
        </w:tc>
      </w:tr>
      <w:tr w14:paraId="01E1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15BBA2E7">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平阳县</w:t>
            </w:r>
          </w:p>
        </w:tc>
        <w:tc>
          <w:tcPr>
            <w:tcW w:w="1091" w:type="dxa"/>
            <w:vAlign w:val="center"/>
          </w:tcPr>
          <w:p w14:paraId="1F7F189E">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10.5</w:t>
            </w:r>
          </w:p>
        </w:tc>
        <w:tc>
          <w:tcPr>
            <w:tcW w:w="1091" w:type="dxa"/>
            <w:vAlign w:val="center"/>
          </w:tcPr>
          <w:p w14:paraId="1C33A58E">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10.1</w:t>
            </w:r>
          </w:p>
        </w:tc>
        <w:tc>
          <w:tcPr>
            <w:tcW w:w="1091" w:type="dxa"/>
            <w:vAlign w:val="center"/>
          </w:tcPr>
          <w:p w14:paraId="637EE2A7">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1091" w:type="dxa"/>
            <w:vAlign w:val="center"/>
          </w:tcPr>
          <w:p w14:paraId="6236A08A">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11.2</w:t>
            </w:r>
          </w:p>
        </w:tc>
        <w:tc>
          <w:tcPr>
            <w:tcW w:w="1091" w:type="dxa"/>
            <w:vAlign w:val="center"/>
          </w:tcPr>
          <w:p w14:paraId="5BC4D089">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17.3</w:t>
            </w:r>
          </w:p>
        </w:tc>
        <w:tc>
          <w:tcPr>
            <w:tcW w:w="911" w:type="dxa"/>
            <w:vAlign w:val="center"/>
          </w:tcPr>
          <w:p w14:paraId="37A4ABF6">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10.5</w:t>
            </w:r>
          </w:p>
        </w:tc>
        <w:tc>
          <w:tcPr>
            <w:tcW w:w="845" w:type="dxa"/>
            <w:vAlign w:val="center"/>
          </w:tcPr>
          <w:p w14:paraId="7FA413E0">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6</w:t>
            </w:r>
          </w:p>
        </w:tc>
      </w:tr>
      <w:tr w14:paraId="22C6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7854F51A">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泰顺县</w:t>
            </w:r>
          </w:p>
        </w:tc>
        <w:tc>
          <w:tcPr>
            <w:tcW w:w="1091" w:type="dxa"/>
            <w:vAlign w:val="center"/>
          </w:tcPr>
          <w:p w14:paraId="1CDAB5DA">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11.8</w:t>
            </w:r>
          </w:p>
        </w:tc>
        <w:tc>
          <w:tcPr>
            <w:tcW w:w="1091" w:type="dxa"/>
            <w:vAlign w:val="center"/>
          </w:tcPr>
          <w:p w14:paraId="21A7A49F">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12</w:t>
            </w:r>
          </w:p>
        </w:tc>
        <w:tc>
          <w:tcPr>
            <w:tcW w:w="1091" w:type="dxa"/>
            <w:vAlign w:val="center"/>
          </w:tcPr>
          <w:p w14:paraId="1B66BB0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9</w:t>
            </w:r>
          </w:p>
        </w:tc>
        <w:tc>
          <w:tcPr>
            <w:tcW w:w="1091" w:type="dxa"/>
            <w:vAlign w:val="center"/>
          </w:tcPr>
          <w:p w14:paraId="012BA920">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2.4</w:t>
            </w:r>
          </w:p>
        </w:tc>
        <w:tc>
          <w:tcPr>
            <w:tcW w:w="1091" w:type="dxa"/>
            <w:vAlign w:val="center"/>
          </w:tcPr>
          <w:p w14:paraId="5B61203E">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18.8</w:t>
            </w:r>
          </w:p>
        </w:tc>
        <w:tc>
          <w:tcPr>
            <w:tcW w:w="911" w:type="dxa"/>
            <w:vAlign w:val="center"/>
          </w:tcPr>
          <w:p w14:paraId="59A1F05D">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10.7</w:t>
            </w:r>
          </w:p>
        </w:tc>
        <w:tc>
          <w:tcPr>
            <w:tcW w:w="845" w:type="dxa"/>
            <w:vAlign w:val="center"/>
          </w:tcPr>
          <w:p w14:paraId="36647542">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5</w:t>
            </w:r>
          </w:p>
        </w:tc>
      </w:tr>
      <w:tr w14:paraId="4B96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079F5808">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苍南县</w:t>
            </w:r>
          </w:p>
        </w:tc>
        <w:tc>
          <w:tcPr>
            <w:tcW w:w="1091" w:type="dxa"/>
            <w:vAlign w:val="center"/>
          </w:tcPr>
          <w:p w14:paraId="33B16A89">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6.9</w:t>
            </w:r>
          </w:p>
        </w:tc>
        <w:tc>
          <w:tcPr>
            <w:tcW w:w="1091" w:type="dxa"/>
            <w:vAlign w:val="center"/>
          </w:tcPr>
          <w:p w14:paraId="739243ED">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w:t>
            </w:r>
          </w:p>
        </w:tc>
        <w:tc>
          <w:tcPr>
            <w:tcW w:w="1091" w:type="dxa"/>
            <w:vAlign w:val="center"/>
          </w:tcPr>
          <w:p w14:paraId="5685C66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15.1</w:t>
            </w:r>
          </w:p>
        </w:tc>
        <w:tc>
          <w:tcPr>
            <w:tcW w:w="1091" w:type="dxa"/>
            <w:vAlign w:val="center"/>
          </w:tcPr>
          <w:p w14:paraId="2A3DAA06">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25.6</w:t>
            </w:r>
          </w:p>
        </w:tc>
        <w:tc>
          <w:tcPr>
            <w:tcW w:w="1091" w:type="dxa"/>
            <w:vAlign w:val="center"/>
          </w:tcPr>
          <w:p w14:paraId="034A02A4">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36.1</w:t>
            </w:r>
          </w:p>
        </w:tc>
        <w:tc>
          <w:tcPr>
            <w:tcW w:w="911" w:type="dxa"/>
            <w:vAlign w:val="center"/>
          </w:tcPr>
          <w:p w14:paraId="56CD42EB">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18.3</w:t>
            </w:r>
          </w:p>
        </w:tc>
        <w:tc>
          <w:tcPr>
            <w:tcW w:w="845" w:type="dxa"/>
            <w:vAlign w:val="center"/>
          </w:tcPr>
          <w:p w14:paraId="3B1CF6C6">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1</w:t>
            </w:r>
          </w:p>
        </w:tc>
      </w:tr>
    </w:tbl>
    <w:p w14:paraId="4F44C947">
      <w:pPr>
        <w:pStyle w:val="9"/>
        <w:spacing w:line="400" w:lineRule="exact"/>
        <w:ind w:firstLine="0"/>
        <w:rPr>
          <w:rFonts w:ascii="Times New Roman" w:hAnsi="Times New Roman" w:cs="Times New Roman"/>
          <w:kern w:val="2"/>
          <w:sz w:val="28"/>
          <w:szCs w:val="22"/>
        </w:rPr>
      </w:pPr>
      <w:r>
        <w:rPr>
          <w:rFonts w:ascii="Times New Roman" w:hAnsi="Times New Roman" w:cs="Times New Roman"/>
          <w:kern w:val="2"/>
          <w:sz w:val="28"/>
          <w:szCs w:val="22"/>
        </w:rPr>
        <w:t>注：龙港市固定资产投资增速为近三年平均</w:t>
      </w:r>
    </w:p>
    <w:p w14:paraId="3F22D312">
      <w:pPr>
        <w:pStyle w:val="9"/>
        <w:spacing w:before="156" w:beforeLines="50"/>
        <w:ind w:firstLine="0"/>
        <w:jc w:val="center"/>
        <w:rPr>
          <w:rFonts w:ascii="黑体" w:hAnsi="黑体" w:eastAsia="黑体" w:cs="黑体"/>
          <w:sz w:val="28"/>
          <w:szCs w:val="28"/>
        </w:rPr>
      </w:pPr>
      <w:r>
        <w:rPr>
          <w:rFonts w:hint="eastAsia" w:ascii="黑体" w:hAnsi="黑体" w:eastAsia="黑体" w:cs="黑体"/>
          <w:sz w:val="28"/>
          <w:szCs w:val="28"/>
        </w:rPr>
        <w:t>表 温州各县市区2018-2022工业投资增速情况（%）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091"/>
        <w:gridCol w:w="1091"/>
        <w:gridCol w:w="1091"/>
        <w:gridCol w:w="1091"/>
        <w:gridCol w:w="1092"/>
        <w:gridCol w:w="911"/>
        <w:gridCol w:w="844"/>
      </w:tblGrid>
      <w:tr w14:paraId="4131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85" w:type="dxa"/>
            <w:vAlign w:val="center"/>
          </w:tcPr>
          <w:p w14:paraId="266C9921">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地区</w:t>
            </w:r>
          </w:p>
        </w:tc>
        <w:tc>
          <w:tcPr>
            <w:tcW w:w="1091" w:type="dxa"/>
            <w:vAlign w:val="center"/>
          </w:tcPr>
          <w:p w14:paraId="1F73F64D">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2018年</w:t>
            </w:r>
          </w:p>
        </w:tc>
        <w:tc>
          <w:tcPr>
            <w:tcW w:w="1091" w:type="dxa"/>
            <w:vAlign w:val="center"/>
          </w:tcPr>
          <w:p w14:paraId="7C38D8FA">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2019年</w:t>
            </w:r>
          </w:p>
        </w:tc>
        <w:tc>
          <w:tcPr>
            <w:tcW w:w="1091" w:type="dxa"/>
            <w:vAlign w:val="center"/>
          </w:tcPr>
          <w:p w14:paraId="473EDE8E">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2020年</w:t>
            </w:r>
          </w:p>
        </w:tc>
        <w:tc>
          <w:tcPr>
            <w:tcW w:w="1091" w:type="dxa"/>
            <w:vAlign w:val="center"/>
          </w:tcPr>
          <w:p w14:paraId="13EC892B">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2021年</w:t>
            </w:r>
          </w:p>
        </w:tc>
        <w:tc>
          <w:tcPr>
            <w:tcW w:w="1092" w:type="dxa"/>
            <w:vAlign w:val="center"/>
          </w:tcPr>
          <w:p w14:paraId="7E26915C">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2022年</w:t>
            </w:r>
          </w:p>
        </w:tc>
        <w:tc>
          <w:tcPr>
            <w:tcW w:w="911" w:type="dxa"/>
            <w:vAlign w:val="center"/>
          </w:tcPr>
          <w:p w14:paraId="09EA64E6">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年均</w:t>
            </w:r>
          </w:p>
          <w:p w14:paraId="74BEDA1D">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增速</w:t>
            </w:r>
          </w:p>
        </w:tc>
        <w:tc>
          <w:tcPr>
            <w:tcW w:w="844" w:type="dxa"/>
            <w:vAlign w:val="center"/>
          </w:tcPr>
          <w:p w14:paraId="4EBAA739">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排名</w:t>
            </w:r>
          </w:p>
        </w:tc>
      </w:tr>
      <w:tr w14:paraId="637E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1DC2133F">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温州市</w:t>
            </w:r>
          </w:p>
        </w:tc>
        <w:tc>
          <w:tcPr>
            <w:tcW w:w="1091" w:type="dxa"/>
            <w:vAlign w:val="center"/>
          </w:tcPr>
          <w:p w14:paraId="639C22F3">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10.4</w:t>
            </w:r>
          </w:p>
        </w:tc>
        <w:tc>
          <w:tcPr>
            <w:tcW w:w="1091" w:type="dxa"/>
            <w:vAlign w:val="center"/>
          </w:tcPr>
          <w:p w14:paraId="6B557996">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11</w:t>
            </w:r>
          </w:p>
        </w:tc>
        <w:tc>
          <w:tcPr>
            <w:tcW w:w="1091" w:type="dxa"/>
            <w:vAlign w:val="center"/>
          </w:tcPr>
          <w:p w14:paraId="2E2C071B">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22</w:t>
            </w:r>
          </w:p>
        </w:tc>
        <w:tc>
          <w:tcPr>
            <w:tcW w:w="1091" w:type="dxa"/>
            <w:vAlign w:val="center"/>
          </w:tcPr>
          <w:p w14:paraId="1A29906C">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18.8</w:t>
            </w:r>
          </w:p>
        </w:tc>
        <w:tc>
          <w:tcPr>
            <w:tcW w:w="1092" w:type="dxa"/>
            <w:vAlign w:val="center"/>
          </w:tcPr>
          <w:p w14:paraId="5C7AA060">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13.3</w:t>
            </w:r>
          </w:p>
        </w:tc>
        <w:tc>
          <w:tcPr>
            <w:tcW w:w="911" w:type="dxa"/>
            <w:vAlign w:val="center"/>
          </w:tcPr>
          <w:p w14:paraId="21BCFD73">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15</w:t>
            </w:r>
          </w:p>
        </w:tc>
        <w:tc>
          <w:tcPr>
            <w:tcW w:w="844" w:type="dxa"/>
            <w:vAlign w:val="center"/>
          </w:tcPr>
          <w:p w14:paraId="18EDF1D9">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w:t>
            </w:r>
          </w:p>
        </w:tc>
      </w:tr>
      <w:tr w14:paraId="2C39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3E1185B2">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鹿城区</w:t>
            </w:r>
          </w:p>
        </w:tc>
        <w:tc>
          <w:tcPr>
            <w:tcW w:w="1091" w:type="dxa"/>
            <w:vAlign w:val="center"/>
          </w:tcPr>
          <w:p w14:paraId="636E9F47">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-19</w:t>
            </w:r>
          </w:p>
        </w:tc>
        <w:tc>
          <w:tcPr>
            <w:tcW w:w="1091" w:type="dxa"/>
            <w:vAlign w:val="center"/>
          </w:tcPr>
          <w:p w14:paraId="01562743">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28</w:t>
            </w:r>
          </w:p>
        </w:tc>
        <w:tc>
          <w:tcPr>
            <w:tcW w:w="1091" w:type="dxa"/>
            <w:vAlign w:val="center"/>
          </w:tcPr>
          <w:p w14:paraId="36EE1E95">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34</w:t>
            </w:r>
          </w:p>
        </w:tc>
        <w:tc>
          <w:tcPr>
            <w:tcW w:w="1091" w:type="dxa"/>
            <w:vAlign w:val="center"/>
          </w:tcPr>
          <w:p w14:paraId="156BB401">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10.3</w:t>
            </w:r>
          </w:p>
        </w:tc>
        <w:tc>
          <w:tcPr>
            <w:tcW w:w="1092" w:type="dxa"/>
            <w:vAlign w:val="center"/>
          </w:tcPr>
          <w:p w14:paraId="59806F52">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-18.6</w:t>
            </w:r>
          </w:p>
        </w:tc>
        <w:tc>
          <w:tcPr>
            <w:tcW w:w="911" w:type="dxa"/>
            <w:vAlign w:val="center"/>
          </w:tcPr>
          <w:p w14:paraId="04E37F99">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4.5</w:t>
            </w:r>
          </w:p>
        </w:tc>
        <w:tc>
          <w:tcPr>
            <w:tcW w:w="844" w:type="dxa"/>
            <w:vAlign w:val="center"/>
          </w:tcPr>
          <w:p w14:paraId="00BFD31A">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11</w:t>
            </w:r>
          </w:p>
        </w:tc>
      </w:tr>
      <w:tr w14:paraId="5015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7D55B394">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瓯海区</w:t>
            </w:r>
          </w:p>
        </w:tc>
        <w:tc>
          <w:tcPr>
            <w:tcW w:w="1091" w:type="dxa"/>
            <w:vAlign w:val="center"/>
          </w:tcPr>
          <w:p w14:paraId="3E67FB81">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8.4</w:t>
            </w:r>
          </w:p>
        </w:tc>
        <w:tc>
          <w:tcPr>
            <w:tcW w:w="1091" w:type="dxa"/>
            <w:vAlign w:val="center"/>
          </w:tcPr>
          <w:p w14:paraId="2D55C786">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18</w:t>
            </w:r>
          </w:p>
        </w:tc>
        <w:tc>
          <w:tcPr>
            <w:tcW w:w="1091" w:type="dxa"/>
            <w:vAlign w:val="center"/>
          </w:tcPr>
          <w:p w14:paraId="68F02F87">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4.8</w:t>
            </w:r>
          </w:p>
        </w:tc>
        <w:tc>
          <w:tcPr>
            <w:tcW w:w="1091" w:type="dxa"/>
            <w:vAlign w:val="center"/>
          </w:tcPr>
          <w:p w14:paraId="04904780">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14.6</w:t>
            </w:r>
          </w:p>
        </w:tc>
        <w:tc>
          <w:tcPr>
            <w:tcW w:w="1092" w:type="dxa"/>
            <w:vAlign w:val="center"/>
          </w:tcPr>
          <w:p w14:paraId="22B721B0">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9.1</w:t>
            </w:r>
          </w:p>
        </w:tc>
        <w:tc>
          <w:tcPr>
            <w:tcW w:w="911" w:type="dxa"/>
            <w:vAlign w:val="center"/>
          </w:tcPr>
          <w:p w14:paraId="4CFB59F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10.9</w:t>
            </w:r>
          </w:p>
        </w:tc>
        <w:tc>
          <w:tcPr>
            <w:tcW w:w="844" w:type="dxa"/>
            <w:vAlign w:val="center"/>
          </w:tcPr>
          <w:p w14:paraId="64496596">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8</w:t>
            </w:r>
          </w:p>
        </w:tc>
      </w:tr>
      <w:tr w14:paraId="378A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4D766B3E">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龙湾区</w:t>
            </w:r>
          </w:p>
        </w:tc>
        <w:tc>
          <w:tcPr>
            <w:tcW w:w="1091" w:type="dxa"/>
            <w:vAlign w:val="center"/>
          </w:tcPr>
          <w:p w14:paraId="56826673">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2.2</w:t>
            </w:r>
          </w:p>
        </w:tc>
        <w:tc>
          <w:tcPr>
            <w:tcW w:w="1091" w:type="dxa"/>
            <w:vAlign w:val="center"/>
          </w:tcPr>
          <w:p w14:paraId="3CFE7120">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-8.4</w:t>
            </w:r>
          </w:p>
        </w:tc>
        <w:tc>
          <w:tcPr>
            <w:tcW w:w="1091" w:type="dxa"/>
            <w:vAlign w:val="center"/>
          </w:tcPr>
          <w:p w14:paraId="1BECEAB9">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35.6</w:t>
            </w:r>
          </w:p>
        </w:tc>
        <w:tc>
          <w:tcPr>
            <w:tcW w:w="1091" w:type="dxa"/>
            <w:vAlign w:val="center"/>
          </w:tcPr>
          <w:p w14:paraId="0CFC337F">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59</w:t>
            </w:r>
          </w:p>
        </w:tc>
        <w:tc>
          <w:tcPr>
            <w:tcW w:w="1092" w:type="dxa"/>
            <w:vAlign w:val="center"/>
          </w:tcPr>
          <w:p w14:paraId="3196378F">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-15.2</w:t>
            </w:r>
          </w:p>
        </w:tc>
        <w:tc>
          <w:tcPr>
            <w:tcW w:w="911" w:type="dxa"/>
            <w:vAlign w:val="center"/>
          </w:tcPr>
          <w:p w14:paraId="6DB8D803">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11.3</w:t>
            </w:r>
          </w:p>
        </w:tc>
        <w:tc>
          <w:tcPr>
            <w:tcW w:w="844" w:type="dxa"/>
            <w:vAlign w:val="center"/>
          </w:tcPr>
          <w:p w14:paraId="044246C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6</w:t>
            </w:r>
          </w:p>
        </w:tc>
      </w:tr>
      <w:tr w14:paraId="2D28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6A89787D">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洞头区</w:t>
            </w:r>
          </w:p>
        </w:tc>
        <w:tc>
          <w:tcPr>
            <w:tcW w:w="1091" w:type="dxa"/>
            <w:vAlign w:val="center"/>
          </w:tcPr>
          <w:p w14:paraId="071693FC">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13.1</w:t>
            </w:r>
          </w:p>
        </w:tc>
        <w:tc>
          <w:tcPr>
            <w:tcW w:w="1091" w:type="dxa"/>
            <w:vAlign w:val="center"/>
          </w:tcPr>
          <w:p w14:paraId="519BAB49">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16</w:t>
            </w:r>
          </w:p>
        </w:tc>
        <w:tc>
          <w:tcPr>
            <w:tcW w:w="1091" w:type="dxa"/>
            <w:vAlign w:val="center"/>
          </w:tcPr>
          <w:p w14:paraId="4D94D8FA">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-4.8</w:t>
            </w:r>
          </w:p>
        </w:tc>
        <w:tc>
          <w:tcPr>
            <w:tcW w:w="1091" w:type="dxa"/>
            <w:vAlign w:val="center"/>
          </w:tcPr>
          <w:p w14:paraId="2DF9AF13">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-29.9</w:t>
            </w:r>
          </w:p>
        </w:tc>
        <w:tc>
          <w:tcPr>
            <w:tcW w:w="1092" w:type="dxa"/>
            <w:vAlign w:val="center"/>
          </w:tcPr>
          <w:p w14:paraId="5A99C6FD">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58.7</w:t>
            </w:r>
          </w:p>
        </w:tc>
        <w:tc>
          <w:tcPr>
            <w:tcW w:w="911" w:type="dxa"/>
            <w:vAlign w:val="center"/>
          </w:tcPr>
          <w:p w14:paraId="022145C4">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6.8</w:t>
            </w:r>
          </w:p>
        </w:tc>
        <w:tc>
          <w:tcPr>
            <w:tcW w:w="844" w:type="dxa"/>
            <w:vAlign w:val="center"/>
          </w:tcPr>
          <w:p w14:paraId="218D8E0D">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10</w:t>
            </w:r>
          </w:p>
        </w:tc>
      </w:tr>
      <w:tr w14:paraId="3CA5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361381B3">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乐清市</w:t>
            </w:r>
          </w:p>
        </w:tc>
        <w:tc>
          <w:tcPr>
            <w:tcW w:w="1091" w:type="dxa"/>
            <w:vAlign w:val="center"/>
          </w:tcPr>
          <w:p w14:paraId="48796838">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11.4</w:t>
            </w:r>
          </w:p>
        </w:tc>
        <w:tc>
          <w:tcPr>
            <w:tcW w:w="1091" w:type="dxa"/>
            <w:vAlign w:val="center"/>
          </w:tcPr>
          <w:p w14:paraId="210F3C55">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16.6</w:t>
            </w:r>
          </w:p>
        </w:tc>
        <w:tc>
          <w:tcPr>
            <w:tcW w:w="1091" w:type="dxa"/>
            <w:vAlign w:val="center"/>
          </w:tcPr>
          <w:p w14:paraId="6321F721">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12.5</w:t>
            </w:r>
          </w:p>
        </w:tc>
        <w:tc>
          <w:tcPr>
            <w:tcW w:w="1091" w:type="dxa"/>
            <w:vAlign w:val="center"/>
          </w:tcPr>
          <w:p w14:paraId="47E860A3">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18.6</w:t>
            </w:r>
          </w:p>
        </w:tc>
        <w:tc>
          <w:tcPr>
            <w:tcW w:w="1092" w:type="dxa"/>
            <w:vAlign w:val="center"/>
          </w:tcPr>
          <w:p w14:paraId="1477B7C9">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16</w:t>
            </w:r>
          </w:p>
        </w:tc>
        <w:tc>
          <w:tcPr>
            <w:tcW w:w="911" w:type="dxa"/>
            <w:vAlign w:val="center"/>
          </w:tcPr>
          <w:p w14:paraId="7076B3F7">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15</w:t>
            </w:r>
          </w:p>
        </w:tc>
        <w:tc>
          <w:tcPr>
            <w:tcW w:w="844" w:type="dxa"/>
            <w:vAlign w:val="center"/>
          </w:tcPr>
          <w:p w14:paraId="789A3E7B">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5</w:t>
            </w:r>
          </w:p>
        </w:tc>
      </w:tr>
      <w:tr w14:paraId="131C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2777F356">
            <w:pPr>
              <w:pStyle w:val="8"/>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瑞安市</w:t>
            </w:r>
          </w:p>
        </w:tc>
        <w:tc>
          <w:tcPr>
            <w:tcW w:w="1091" w:type="dxa"/>
            <w:vAlign w:val="center"/>
          </w:tcPr>
          <w:p w14:paraId="38C50A32">
            <w:pPr>
              <w:pStyle w:val="8"/>
              <w:widowControl/>
              <w:adjustRightInd w:val="0"/>
              <w:spacing w:after="0" w:line="360" w:lineRule="exact"/>
              <w:jc w:val="center"/>
              <w:textAlignment w:val="center"/>
              <w:rPr>
                <w:rFonts w:ascii="Times New Roman" w:hAnsi="Times New Roman" w:cs="Times New Roman"/>
                <w:b/>
                <w:bCs/>
                <w:sz w:val="28"/>
                <w:szCs w:val="28"/>
              </w:rPr>
            </w:pPr>
            <w:r>
              <w:rPr>
                <w:rFonts w:ascii="Times New Roman" w:hAnsi="Times New Roman" w:cs="Times New Roman"/>
                <w:b/>
                <w:bCs/>
                <w:sz w:val="28"/>
                <w:szCs w:val="28"/>
              </w:rPr>
              <w:t>22.6</w:t>
            </w:r>
          </w:p>
        </w:tc>
        <w:tc>
          <w:tcPr>
            <w:tcW w:w="1091" w:type="dxa"/>
            <w:vAlign w:val="center"/>
          </w:tcPr>
          <w:p w14:paraId="534C5CFC">
            <w:pPr>
              <w:pStyle w:val="8"/>
              <w:widowControl/>
              <w:adjustRightInd w:val="0"/>
              <w:spacing w:after="0" w:line="360" w:lineRule="exact"/>
              <w:jc w:val="center"/>
              <w:textAlignment w:val="center"/>
              <w:rPr>
                <w:rFonts w:ascii="Times New Roman" w:hAnsi="Times New Roman" w:cs="Times New Roman"/>
                <w:b/>
                <w:bCs/>
                <w:sz w:val="28"/>
                <w:szCs w:val="28"/>
              </w:rPr>
            </w:pPr>
            <w:r>
              <w:rPr>
                <w:rFonts w:ascii="Times New Roman" w:hAnsi="Times New Roman" w:cs="Times New Roman"/>
                <w:b/>
                <w:bCs/>
                <w:sz w:val="28"/>
                <w:szCs w:val="28"/>
              </w:rPr>
              <w:t>1.4</w:t>
            </w:r>
          </w:p>
        </w:tc>
        <w:tc>
          <w:tcPr>
            <w:tcW w:w="1091" w:type="dxa"/>
            <w:vAlign w:val="center"/>
          </w:tcPr>
          <w:p w14:paraId="5243254A">
            <w:pPr>
              <w:pStyle w:val="8"/>
              <w:widowControl/>
              <w:adjustRightInd w:val="0"/>
              <w:spacing w:after="0" w:line="360" w:lineRule="exact"/>
              <w:jc w:val="center"/>
              <w:textAlignment w:val="center"/>
              <w:rPr>
                <w:rFonts w:ascii="Times New Roman" w:hAnsi="Times New Roman" w:cs="Times New Roman"/>
                <w:b/>
                <w:bCs/>
                <w:sz w:val="28"/>
                <w:szCs w:val="28"/>
              </w:rPr>
            </w:pPr>
            <w:r>
              <w:rPr>
                <w:rFonts w:ascii="Times New Roman" w:hAnsi="Times New Roman" w:cs="Times New Roman"/>
                <w:b/>
                <w:bCs/>
                <w:sz w:val="28"/>
                <w:szCs w:val="28"/>
              </w:rPr>
              <w:t>7.6</w:t>
            </w:r>
          </w:p>
        </w:tc>
        <w:tc>
          <w:tcPr>
            <w:tcW w:w="1091" w:type="dxa"/>
            <w:vAlign w:val="center"/>
          </w:tcPr>
          <w:p w14:paraId="1124013B">
            <w:pPr>
              <w:pStyle w:val="8"/>
              <w:widowControl/>
              <w:adjustRightInd w:val="0"/>
              <w:spacing w:after="0" w:line="360" w:lineRule="exact"/>
              <w:jc w:val="center"/>
              <w:textAlignment w:val="center"/>
              <w:rPr>
                <w:rFonts w:ascii="Times New Roman" w:hAnsi="Times New Roman" w:cs="Times New Roman"/>
                <w:b/>
                <w:bCs/>
                <w:sz w:val="28"/>
                <w:szCs w:val="28"/>
              </w:rPr>
            </w:pPr>
            <w:r>
              <w:rPr>
                <w:rFonts w:ascii="Times New Roman" w:hAnsi="Times New Roman" w:cs="Times New Roman"/>
                <w:b/>
                <w:bCs/>
                <w:sz w:val="28"/>
                <w:szCs w:val="28"/>
              </w:rPr>
              <w:t>11</w:t>
            </w:r>
          </w:p>
        </w:tc>
        <w:tc>
          <w:tcPr>
            <w:tcW w:w="1092" w:type="dxa"/>
            <w:vAlign w:val="center"/>
          </w:tcPr>
          <w:p w14:paraId="7917439F">
            <w:pPr>
              <w:pStyle w:val="8"/>
              <w:widowControl/>
              <w:adjustRightInd w:val="0"/>
              <w:spacing w:after="0" w:line="360" w:lineRule="exact"/>
              <w:jc w:val="center"/>
              <w:textAlignment w:val="center"/>
              <w:rPr>
                <w:rFonts w:ascii="Times New Roman" w:hAnsi="Times New Roman" w:cs="Times New Roman"/>
                <w:b/>
                <w:bCs/>
                <w:sz w:val="28"/>
                <w:szCs w:val="28"/>
              </w:rPr>
            </w:pPr>
            <w:r>
              <w:rPr>
                <w:rFonts w:ascii="Times New Roman" w:hAnsi="Times New Roman" w:cs="Times New Roman"/>
                <w:b/>
                <w:bCs/>
                <w:sz w:val="28"/>
                <w:szCs w:val="28"/>
              </w:rPr>
              <w:t>14</w:t>
            </w:r>
          </w:p>
        </w:tc>
        <w:tc>
          <w:tcPr>
            <w:tcW w:w="911" w:type="dxa"/>
            <w:vAlign w:val="center"/>
          </w:tcPr>
          <w:p w14:paraId="414FB2F7">
            <w:pPr>
              <w:pStyle w:val="8"/>
              <w:adjustRightInd w:val="0"/>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11.1</w:t>
            </w:r>
          </w:p>
        </w:tc>
        <w:tc>
          <w:tcPr>
            <w:tcW w:w="844" w:type="dxa"/>
            <w:vAlign w:val="center"/>
          </w:tcPr>
          <w:p w14:paraId="00EF3CBB">
            <w:pPr>
              <w:pStyle w:val="8"/>
              <w:adjustRightInd w:val="0"/>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7</w:t>
            </w:r>
          </w:p>
        </w:tc>
      </w:tr>
      <w:tr w14:paraId="2693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5A9C6BA2">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龙港市</w:t>
            </w:r>
          </w:p>
        </w:tc>
        <w:tc>
          <w:tcPr>
            <w:tcW w:w="1091" w:type="dxa"/>
            <w:vAlign w:val="center"/>
          </w:tcPr>
          <w:p w14:paraId="6C68D802">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1091" w:type="dxa"/>
            <w:vAlign w:val="center"/>
          </w:tcPr>
          <w:p w14:paraId="3E2997F0">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1091" w:type="dxa"/>
            <w:vAlign w:val="center"/>
          </w:tcPr>
          <w:p w14:paraId="0A965B2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16.4</w:t>
            </w:r>
          </w:p>
        </w:tc>
        <w:tc>
          <w:tcPr>
            <w:tcW w:w="1091" w:type="dxa"/>
            <w:vAlign w:val="center"/>
          </w:tcPr>
          <w:p w14:paraId="0BBF1AB4">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2.5</w:t>
            </w:r>
          </w:p>
        </w:tc>
        <w:tc>
          <w:tcPr>
            <w:tcW w:w="1092" w:type="dxa"/>
            <w:vAlign w:val="center"/>
          </w:tcPr>
          <w:p w14:paraId="0E99E2E1">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-11.2</w:t>
            </w:r>
          </w:p>
        </w:tc>
        <w:tc>
          <w:tcPr>
            <w:tcW w:w="911" w:type="dxa"/>
            <w:vAlign w:val="center"/>
          </w:tcPr>
          <w:p w14:paraId="37907000">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1.9</w:t>
            </w:r>
          </w:p>
        </w:tc>
        <w:tc>
          <w:tcPr>
            <w:tcW w:w="844" w:type="dxa"/>
            <w:vAlign w:val="center"/>
          </w:tcPr>
          <w:p w14:paraId="6142101A">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12</w:t>
            </w:r>
          </w:p>
        </w:tc>
      </w:tr>
      <w:tr w14:paraId="09C7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2A5010C0">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永嘉县</w:t>
            </w:r>
          </w:p>
        </w:tc>
        <w:tc>
          <w:tcPr>
            <w:tcW w:w="1091" w:type="dxa"/>
            <w:vAlign w:val="center"/>
          </w:tcPr>
          <w:p w14:paraId="2FB04DA0">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26.1</w:t>
            </w:r>
          </w:p>
        </w:tc>
        <w:tc>
          <w:tcPr>
            <w:tcW w:w="1091" w:type="dxa"/>
            <w:vAlign w:val="center"/>
          </w:tcPr>
          <w:p w14:paraId="728F3371">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23.6</w:t>
            </w:r>
          </w:p>
        </w:tc>
        <w:tc>
          <w:tcPr>
            <w:tcW w:w="1091" w:type="dxa"/>
            <w:vAlign w:val="center"/>
          </w:tcPr>
          <w:p w14:paraId="191815F1">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35.4</w:t>
            </w:r>
          </w:p>
        </w:tc>
        <w:tc>
          <w:tcPr>
            <w:tcW w:w="1091" w:type="dxa"/>
            <w:vAlign w:val="center"/>
          </w:tcPr>
          <w:p w14:paraId="0633C137">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-1.3</w:t>
            </w:r>
          </w:p>
        </w:tc>
        <w:tc>
          <w:tcPr>
            <w:tcW w:w="1092" w:type="dxa"/>
            <w:vAlign w:val="center"/>
          </w:tcPr>
          <w:p w14:paraId="6739C02A">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27.8</w:t>
            </w:r>
          </w:p>
        </w:tc>
        <w:tc>
          <w:tcPr>
            <w:tcW w:w="911" w:type="dxa"/>
            <w:vAlign w:val="center"/>
          </w:tcPr>
          <w:p w14:paraId="0190D93B">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21.6</w:t>
            </w:r>
          </w:p>
        </w:tc>
        <w:tc>
          <w:tcPr>
            <w:tcW w:w="844" w:type="dxa"/>
            <w:vAlign w:val="center"/>
          </w:tcPr>
          <w:p w14:paraId="19F4765F">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3</w:t>
            </w:r>
          </w:p>
        </w:tc>
      </w:tr>
      <w:tr w14:paraId="6E00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15F55AE0">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文成县</w:t>
            </w:r>
          </w:p>
        </w:tc>
        <w:tc>
          <w:tcPr>
            <w:tcW w:w="1091" w:type="dxa"/>
            <w:vAlign w:val="center"/>
          </w:tcPr>
          <w:p w14:paraId="72B75D87">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-37.1</w:t>
            </w:r>
          </w:p>
        </w:tc>
        <w:tc>
          <w:tcPr>
            <w:tcW w:w="1091" w:type="dxa"/>
            <w:vAlign w:val="center"/>
          </w:tcPr>
          <w:p w14:paraId="144AEE61">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30.4</w:t>
            </w:r>
          </w:p>
        </w:tc>
        <w:tc>
          <w:tcPr>
            <w:tcW w:w="1091" w:type="dxa"/>
            <w:vAlign w:val="center"/>
          </w:tcPr>
          <w:p w14:paraId="60FBDEF7">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23.7</w:t>
            </w:r>
          </w:p>
        </w:tc>
        <w:tc>
          <w:tcPr>
            <w:tcW w:w="1091" w:type="dxa"/>
            <w:vAlign w:val="center"/>
          </w:tcPr>
          <w:p w14:paraId="1ED79ADD">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81.2</w:t>
            </w:r>
          </w:p>
        </w:tc>
        <w:tc>
          <w:tcPr>
            <w:tcW w:w="1092" w:type="dxa"/>
            <w:vAlign w:val="center"/>
          </w:tcPr>
          <w:p w14:paraId="63A09D9E">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98.3</w:t>
            </w:r>
          </w:p>
        </w:tc>
        <w:tc>
          <w:tcPr>
            <w:tcW w:w="911" w:type="dxa"/>
            <w:vAlign w:val="center"/>
          </w:tcPr>
          <w:p w14:paraId="2C5A344F">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29.5</w:t>
            </w:r>
          </w:p>
        </w:tc>
        <w:tc>
          <w:tcPr>
            <w:tcW w:w="844" w:type="dxa"/>
            <w:vAlign w:val="center"/>
          </w:tcPr>
          <w:p w14:paraId="0E312448">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2</w:t>
            </w:r>
          </w:p>
        </w:tc>
      </w:tr>
      <w:tr w14:paraId="6D9B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091426FA">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平阳县</w:t>
            </w:r>
          </w:p>
        </w:tc>
        <w:tc>
          <w:tcPr>
            <w:tcW w:w="1091" w:type="dxa"/>
            <w:vAlign w:val="center"/>
          </w:tcPr>
          <w:p w14:paraId="4E84605C">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10.5</w:t>
            </w:r>
          </w:p>
        </w:tc>
        <w:tc>
          <w:tcPr>
            <w:tcW w:w="1091" w:type="dxa"/>
            <w:vAlign w:val="center"/>
          </w:tcPr>
          <w:p w14:paraId="7D772D2C">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16.6</w:t>
            </w:r>
          </w:p>
        </w:tc>
        <w:tc>
          <w:tcPr>
            <w:tcW w:w="1091" w:type="dxa"/>
            <w:vAlign w:val="center"/>
          </w:tcPr>
          <w:p w14:paraId="2602A90F">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15</w:t>
            </w:r>
          </w:p>
        </w:tc>
        <w:tc>
          <w:tcPr>
            <w:tcW w:w="1091" w:type="dxa"/>
            <w:vAlign w:val="center"/>
          </w:tcPr>
          <w:p w14:paraId="28EE87EF">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17.5</w:t>
            </w:r>
          </w:p>
        </w:tc>
        <w:tc>
          <w:tcPr>
            <w:tcW w:w="1092" w:type="dxa"/>
            <w:vAlign w:val="center"/>
          </w:tcPr>
          <w:p w14:paraId="31A740F9">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22.6</w:t>
            </w:r>
          </w:p>
        </w:tc>
        <w:tc>
          <w:tcPr>
            <w:tcW w:w="911" w:type="dxa"/>
            <w:vAlign w:val="center"/>
          </w:tcPr>
          <w:p w14:paraId="6CCC039F">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16.4</w:t>
            </w:r>
          </w:p>
        </w:tc>
        <w:tc>
          <w:tcPr>
            <w:tcW w:w="844" w:type="dxa"/>
            <w:vAlign w:val="center"/>
          </w:tcPr>
          <w:p w14:paraId="58DE6F3E">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4</w:t>
            </w:r>
          </w:p>
        </w:tc>
      </w:tr>
      <w:tr w14:paraId="23FE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7536A7F1">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泰顺县</w:t>
            </w:r>
          </w:p>
        </w:tc>
        <w:tc>
          <w:tcPr>
            <w:tcW w:w="1091" w:type="dxa"/>
            <w:vAlign w:val="center"/>
          </w:tcPr>
          <w:p w14:paraId="5617CF86">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-50.7</w:t>
            </w:r>
          </w:p>
        </w:tc>
        <w:tc>
          <w:tcPr>
            <w:tcW w:w="1091" w:type="dxa"/>
            <w:vAlign w:val="center"/>
          </w:tcPr>
          <w:p w14:paraId="18812F61">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-0.6</w:t>
            </w:r>
          </w:p>
        </w:tc>
        <w:tc>
          <w:tcPr>
            <w:tcW w:w="1091" w:type="dxa"/>
            <w:vAlign w:val="center"/>
          </w:tcPr>
          <w:p w14:paraId="19950196">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35.7</w:t>
            </w:r>
          </w:p>
        </w:tc>
        <w:tc>
          <w:tcPr>
            <w:tcW w:w="1091" w:type="dxa"/>
            <w:vAlign w:val="center"/>
          </w:tcPr>
          <w:p w14:paraId="04C0F412">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-6.6</w:t>
            </w:r>
          </w:p>
        </w:tc>
        <w:tc>
          <w:tcPr>
            <w:tcW w:w="1092" w:type="dxa"/>
            <w:vAlign w:val="center"/>
          </w:tcPr>
          <w:p w14:paraId="325D9D79">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158</w:t>
            </w:r>
          </w:p>
        </w:tc>
        <w:tc>
          <w:tcPr>
            <w:tcW w:w="911" w:type="dxa"/>
            <w:vAlign w:val="center"/>
          </w:tcPr>
          <w:p w14:paraId="79B662C2">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9.9</w:t>
            </w:r>
          </w:p>
        </w:tc>
        <w:tc>
          <w:tcPr>
            <w:tcW w:w="844" w:type="dxa"/>
            <w:vAlign w:val="center"/>
          </w:tcPr>
          <w:p w14:paraId="38BE67F3">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9</w:t>
            </w:r>
          </w:p>
        </w:tc>
      </w:tr>
      <w:tr w14:paraId="30B6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5" w:type="dxa"/>
            <w:vAlign w:val="center"/>
          </w:tcPr>
          <w:p w14:paraId="758EC2D9">
            <w:pPr>
              <w:pStyle w:val="8"/>
              <w:spacing w:after="0" w:line="360" w:lineRule="exact"/>
              <w:jc w:val="center"/>
              <w:rPr>
                <w:rFonts w:ascii="Times New Roman" w:hAnsi="Times New Roman" w:cs="Times New Roman"/>
                <w:sz w:val="28"/>
                <w:szCs w:val="28"/>
              </w:rPr>
            </w:pPr>
            <w:r>
              <w:rPr>
                <w:rFonts w:ascii="Times New Roman" w:hAnsi="Times New Roman" w:cs="Times New Roman"/>
                <w:sz w:val="28"/>
                <w:szCs w:val="28"/>
              </w:rPr>
              <w:t>苍南县</w:t>
            </w:r>
          </w:p>
        </w:tc>
        <w:tc>
          <w:tcPr>
            <w:tcW w:w="1091" w:type="dxa"/>
            <w:vAlign w:val="center"/>
          </w:tcPr>
          <w:p w14:paraId="14541AAC">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24.3</w:t>
            </w:r>
          </w:p>
        </w:tc>
        <w:tc>
          <w:tcPr>
            <w:tcW w:w="1091" w:type="dxa"/>
            <w:vAlign w:val="center"/>
          </w:tcPr>
          <w:p w14:paraId="60E2BAB5">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24.4</w:t>
            </w:r>
          </w:p>
        </w:tc>
        <w:tc>
          <w:tcPr>
            <w:tcW w:w="1091" w:type="dxa"/>
            <w:vAlign w:val="center"/>
          </w:tcPr>
          <w:p w14:paraId="50DB4C20">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214.6</w:t>
            </w:r>
          </w:p>
        </w:tc>
        <w:tc>
          <w:tcPr>
            <w:tcW w:w="1091" w:type="dxa"/>
            <w:vAlign w:val="center"/>
          </w:tcPr>
          <w:p w14:paraId="010D1393">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57.2</w:t>
            </w:r>
          </w:p>
        </w:tc>
        <w:tc>
          <w:tcPr>
            <w:tcW w:w="1092" w:type="dxa"/>
            <w:vAlign w:val="center"/>
          </w:tcPr>
          <w:p w14:paraId="50C1C600">
            <w:pPr>
              <w:pStyle w:val="8"/>
              <w:widowControl/>
              <w:adjustRightInd w:val="0"/>
              <w:spacing w:after="0" w:line="360" w:lineRule="exact"/>
              <w:jc w:val="center"/>
              <w:textAlignment w:val="center"/>
              <w:rPr>
                <w:rFonts w:ascii="Times New Roman" w:hAnsi="Times New Roman" w:cs="Times New Roman"/>
                <w:sz w:val="28"/>
                <w:szCs w:val="28"/>
              </w:rPr>
            </w:pPr>
            <w:r>
              <w:rPr>
                <w:rFonts w:ascii="Times New Roman" w:hAnsi="Times New Roman" w:cs="Times New Roman"/>
                <w:sz w:val="28"/>
                <w:szCs w:val="28"/>
              </w:rPr>
              <w:t>68.7</w:t>
            </w:r>
          </w:p>
        </w:tc>
        <w:tc>
          <w:tcPr>
            <w:tcW w:w="911" w:type="dxa"/>
            <w:vAlign w:val="center"/>
          </w:tcPr>
          <w:p w14:paraId="36B7434C">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66.8</w:t>
            </w:r>
          </w:p>
        </w:tc>
        <w:tc>
          <w:tcPr>
            <w:tcW w:w="844" w:type="dxa"/>
            <w:vAlign w:val="center"/>
          </w:tcPr>
          <w:p w14:paraId="713A6DBE">
            <w:pPr>
              <w:pStyle w:val="8"/>
              <w:adjustRightInd w:val="0"/>
              <w:spacing w:after="0" w:line="360" w:lineRule="exact"/>
              <w:jc w:val="center"/>
              <w:rPr>
                <w:rFonts w:ascii="Times New Roman" w:hAnsi="Times New Roman" w:cs="Times New Roman"/>
                <w:sz w:val="28"/>
                <w:szCs w:val="28"/>
              </w:rPr>
            </w:pPr>
            <w:r>
              <w:rPr>
                <w:rFonts w:ascii="Times New Roman" w:hAnsi="Times New Roman" w:cs="Times New Roman"/>
                <w:sz w:val="28"/>
                <w:szCs w:val="28"/>
              </w:rPr>
              <w:t>1</w:t>
            </w:r>
          </w:p>
        </w:tc>
      </w:tr>
    </w:tbl>
    <w:p w14:paraId="4443A062">
      <w:pPr>
        <w:pStyle w:val="9"/>
        <w:spacing w:line="400" w:lineRule="exact"/>
        <w:ind w:firstLine="0"/>
        <w:rPr>
          <w:rFonts w:ascii="Times New Roman" w:hAnsi="Times New Roman" w:cs="Times New Roman"/>
          <w:b/>
          <w:bCs/>
        </w:rPr>
      </w:pPr>
      <w:bookmarkStart w:id="44" w:name="_Toc30295"/>
      <w:r>
        <w:rPr>
          <w:rFonts w:ascii="Times New Roman" w:hAnsi="Times New Roman" w:cs="Times New Roman"/>
          <w:kern w:val="2"/>
          <w:sz w:val="28"/>
          <w:szCs w:val="22"/>
        </w:rPr>
        <w:t>注：龙港市工业投资增速为近三年平均</w:t>
      </w:r>
    </w:p>
    <w:p w14:paraId="58D391A9">
      <w:pPr>
        <w:pStyle w:val="9"/>
        <w:spacing w:line="600" w:lineRule="exact"/>
        <w:outlineLvl w:val="1"/>
        <w:rPr>
          <w:rFonts w:ascii="Times New Roman" w:hAnsi="Times New Roman" w:cs="Times New Roman"/>
          <w:b/>
          <w:bCs/>
        </w:rPr>
      </w:pPr>
      <w:bookmarkStart w:id="45" w:name="_Toc8330"/>
      <w:r>
        <w:rPr>
          <w:rFonts w:ascii="Times New Roman" w:hAnsi="Times New Roman" w:cs="Times New Roman"/>
          <w:b/>
          <w:bCs/>
        </w:rPr>
        <w:t>（二）科技创新</w:t>
      </w:r>
      <w:bookmarkEnd w:id="44"/>
      <w:r>
        <w:rPr>
          <w:rFonts w:hint="eastAsia" w:ascii="Times New Roman" w:hAnsi="Times New Roman" w:cs="Times New Roman"/>
          <w:b/>
          <w:bCs/>
        </w:rPr>
        <w:t>能力有待进一步加强</w:t>
      </w:r>
      <w:bookmarkEnd w:id="45"/>
    </w:p>
    <w:p w14:paraId="500A2819">
      <w:pPr>
        <w:widowControl/>
        <w:ind w:firstLine="643" w:firstLineChars="200"/>
        <w:rPr>
          <w:rFonts w:ascii="Times New Roman" w:hAnsi="Times New Roman" w:cs="Times New Roman"/>
        </w:rPr>
      </w:pPr>
      <w:r>
        <w:rPr>
          <w:rFonts w:ascii="Times New Roman" w:hAnsi="Times New Roman" w:cs="Times New Roman"/>
          <w:b/>
          <w:szCs w:val="32"/>
          <w:lang w:bidi="ar"/>
        </w:rPr>
        <w:t>1.创新策源竞争力不强。</w:t>
      </w:r>
      <w:r>
        <w:rPr>
          <w:rFonts w:ascii="Times New Roman" w:hAnsi="Times New Roman" w:cs="Times New Roman"/>
          <w:bCs/>
          <w:szCs w:val="32"/>
          <w:lang w:bidi="ar"/>
        </w:rPr>
        <w:t>科教资源薄弱，一流高等院校、新型实验体系建设落后，仅有</w:t>
      </w:r>
      <w:r>
        <w:rPr>
          <w:rFonts w:ascii="Times New Roman" w:hAnsi="Times New Roman" w:cs="Times New Roman"/>
          <w:szCs w:val="32"/>
        </w:rPr>
        <w:t>1家</w:t>
      </w:r>
      <w:r>
        <w:rPr>
          <w:rFonts w:ascii="Times New Roman" w:hAnsi="Times New Roman" w:cs="Times New Roman"/>
          <w:bCs/>
          <w:szCs w:val="32"/>
          <w:lang w:bidi="ar"/>
        </w:rPr>
        <w:t>专科院校，省级重点实验室（工程技术研究中心）、省级新型研发机构尚未实现</w:t>
      </w:r>
      <w:r>
        <w:rPr>
          <w:rFonts w:hint="eastAsia" w:ascii="Times New Roman" w:hAnsi="Times New Roman" w:cs="Times New Roman"/>
          <w:bCs/>
          <w:szCs w:val="32"/>
          <w:lang w:eastAsia="zh-CN" w:bidi="ar"/>
        </w:rPr>
        <w:t>零的突破</w:t>
      </w:r>
      <w:r>
        <w:rPr>
          <w:rFonts w:ascii="Times New Roman" w:hAnsi="Times New Roman" w:cs="Times New Roman"/>
          <w:bCs/>
          <w:szCs w:val="32"/>
          <w:lang w:bidi="ar"/>
        </w:rPr>
        <w:t>。产业创新研发能力较弱，缺乏塔尖重器，R&amp;D经费占地区生产总值</w:t>
      </w:r>
      <w:r>
        <w:rPr>
          <w:rFonts w:hint="eastAsia" w:ascii="Times New Roman" w:hAnsi="Times New Roman" w:cs="Times New Roman"/>
          <w:bCs/>
          <w:szCs w:val="32"/>
          <w:lang w:bidi="ar"/>
        </w:rPr>
        <w:t>预计</w:t>
      </w:r>
      <w:r>
        <w:rPr>
          <w:rFonts w:ascii="Times New Roman" w:hAnsi="Times New Roman" w:cs="Times New Roman"/>
          <w:bCs/>
          <w:szCs w:val="32"/>
          <w:lang w:bidi="ar"/>
        </w:rPr>
        <w:t>2.</w:t>
      </w:r>
      <w:r>
        <w:rPr>
          <w:rFonts w:hint="eastAsia" w:ascii="Times New Roman" w:hAnsi="Times New Roman" w:cs="Times New Roman"/>
          <w:bCs/>
          <w:szCs w:val="32"/>
          <w:lang w:bidi="ar"/>
        </w:rPr>
        <w:t>7</w:t>
      </w:r>
      <w:r>
        <w:rPr>
          <w:rFonts w:ascii="Times New Roman" w:hAnsi="Times New Roman" w:cs="Times New Roman"/>
          <w:bCs/>
          <w:szCs w:val="32"/>
          <w:lang w:bidi="ar"/>
        </w:rPr>
        <w:t>%左右，低于乐清（3%）、浙江（3.02%）水平。</w:t>
      </w:r>
    </w:p>
    <w:p w14:paraId="07D9D2F6">
      <w:pPr>
        <w:pStyle w:val="9"/>
        <w:spacing w:line="600" w:lineRule="exact"/>
        <w:rPr>
          <w:rFonts w:ascii="Times New Roman" w:hAnsi="Times New Roman" w:cs="Times New Roman"/>
        </w:rPr>
      </w:pPr>
      <w:r>
        <w:rPr>
          <w:rFonts w:ascii="Times New Roman" w:hAnsi="Times New Roman" w:cs="Times New Roman"/>
          <w:b/>
          <w:bCs/>
          <w:shd w:val="clear" w:color="auto" w:fill="FFFFFF" w:themeFill="background1"/>
        </w:rPr>
        <w:t>2.</w:t>
      </w:r>
      <w:r>
        <w:rPr>
          <w:rFonts w:hint="eastAsia" w:ascii="Times New Roman" w:hAnsi="Times New Roman" w:cs="Times New Roman"/>
          <w:b/>
          <w:bCs/>
          <w:shd w:val="clear" w:color="auto" w:fill="FFFFFF" w:themeFill="background1"/>
        </w:rPr>
        <w:t>成果转移转化渠道不畅</w:t>
      </w:r>
      <w:r>
        <w:rPr>
          <w:rFonts w:ascii="Times New Roman" w:hAnsi="Times New Roman" w:cs="Times New Roman"/>
          <w:b/>
          <w:bCs/>
          <w:shd w:val="clear" w:color="auto" w:fill="FFFFFF" w:themeFill="background1"/>
        </w:rPr>
        <w:t>。</w:t>
      </w:r>
      <w:r>
        <w:rPr>
          <w:rFonts w:hint="eastAsia" w:ascii="Times New Roman" w:hAnsi="Times New Roman" w:cs="Times New Roman"/>
          <w:shd w:val="clear" w:color="auto" w:fill="FFFFFF" w:themeFill="background1"/>
        </w:rPr>
        <w:t>大部分创新</w:t>
      </w:r>
      <w:r>
        <w:rPr>
          <w:rFonts w:ascii="Times New Roman" w:hAnsi="Times New Roman" w:cs="Times New Roman"/>
          <w:shd w:val="clear" w:color="auto" w:fill="FFFFFF" w:themeFill="background1"/>
        </w:rPr>
        <w:t>平台</w:t>
      </w:r>
      <w:r>
        <w:rPr>
          <w:rFonts w:hint="eastAsia" w:ascii="Times New Roman" w:hAnsi="Times New Roman" w:cs="Times New Roman"/>
          <w:shd w:val="clear" w:color="auto" w:fill="FFFFFF" w:themeFill="background1"/>
        </w:rPr>
        <w:t>运行机制不够灵活、资源整合度不高，在为瑞安企业开展供需对接、创业创新服务、解决共性难题、为传统产业转型升级等方面的作用还不够突出，科研成果产业化项目不多，</w:t>
      </w:r>
      <w:r>
        <w:rPr>
          <w:rFonts w:ascii="Times New Roman" w:hAnsi="Times New Roman" w:cs="Times New Roman"/>
        </w:rPr>
        <w:t>即使在本地成功转化但拥有较大市场的成果凤毛麟角。此外由于行政壁垒和竞争原因，创新资源更多在内部流动，与龙湾、瓯海等地在科技成果转化、技术联合攻关等方面合作互动较少。</w:t>
      </w:r>
    </w:p>
    <w:p w14:paraId="62F91BCB">
      <w:pPr>
        <w:pStyle w:val="9"/>
        <w:spacing w:line="600" w:lineRule="exact"/>
        <w:rPr>
          <w:rFonts w:ascii="Times New Roman" w:hAnsi="Times New Roman" w:cs="Times New Roman"/>
        </w:rPr>
      </w:pPr>
      <w:r>
        <w:rPr>
          <w:rFonts w:ascii="Times New Roman" w:hAnsi="Times New Roman" w:cs="Times New Roman"/>
          <w:b/>
          <w:bCs/>
        </w:rPr>
        <w:t>3.高层次人才结构不优。</w:t>
      </w:r>
      <w:r>
        <w:rPr>
          <w:rFonts w:ascii="Times New Roman" w:hAnsi="Times New Roman" w:cs="Times New Roman"/>
        </w:rPr>
        <w:t>虽然瑞安人才总量位居温州前列，但主要集中在汽摩配、机械电子、鞋服等传统产业领域，服务于</w:t>
      </w:r>
      <w:r>
        <w:rPr>
          <w:rFonts w:hint="eastAsia" w:ascii="Times New Roman" w:hAnsi="Times New Roman" w:cs="Times New Roman"/>
        </w:rPr>
        <w:t>新材料、智能装备</w:t>
      </w:r>
      <w:r>
        <w:rPr>
          <w:rFonts w:ascii="Times New Roman" w:hAnsi="Times New Roman" w:cs="Times New Roman"/>
        </w:rPr>
        <w:t>等</w:t>
      </w:r>
      <w:r>
        <w:rPr>
          <w:rFonts w:ascii="Times New Roman" w:hAnsi="Times New Roman" w:cs="Times New Roman"/>
          <w:kern w:val="2"/>
        </w:rPr>
        <w:t>新兴产业和前沿产业</w:t>
      </w:r>
      <w:r>
        <w:rPr>
          <w:rFonts w:ascii="Times New Roman" w:hAnsi="Times New Roman" w:cs="Times New Roman"/>
        </w:rPr>
        <w:t>的“高精尖缺”人才群体匮乏。同时，受用人主体意识不强、现状产业层级低等因素影响，对高技能人才培养重视不够，对高层次人才吸引力不足。</w:t>
      </w:r>
    </w:p>
    <w:p w14:paraId="1B20091E">
      <w:pPr>
        <w:pStyle w:val="9"/>
        <w:spacing w:line="600" w:lineRule="exact"/>
        <w:outlineLvl w:val="1"/>
        <w:rPr>
          <w:rFonts w:ascii="Times New Roman" w:hAnsi="Times New Roman" w:cs="Times New Roman"/>
          <w:b/>
          <w:bCs/>
        </w:rPr>
      </w:pPr>
      <w:bookmarkStart w:id="46" w:name="_Toc10599"/>
      <w:bookmarkStart w:id="47" w:name="_Toc25415"/>
      <w:r>
        <w:rPr>
          <w:rFonts w:ascii="Times New Roman" w:hAnsi="Times New Roman" w:cs="Times New Roman"/>
          <w:b/>
          <w:bCs/>
        </w:rPr>
        <w:t>（三）城市品牌效应</w:t>
      </w:r>
      <w:bookmarkEnd w:id="46"/>
      <w:r>
        <w:rPr>
          <w:rFonts w:hint="eastAsia" w:ascii="Times New Roman" w:hAnsi="Times New Roman" w:cs="Times New Roman"/>
          <w:b/>
          <w:bCs/>
        </w:rPr>
        <w:t>有待进一步释放</w:t>
      </w:r>
      <w:bookmarkEnd w:id="47"/>
    </w:p>
    <w:p w14:paraId="7E152A13">
      <w:pPr>
        <w:ind w:firstLine="643" w:firstLineChars="200"/>
        <w:rPr>
          <w:rFonts w:ascii="Times New Roman" w:hAnsi="Times New Roman" w:cs="Times New Roman"/>
        </w:rPr>
      </w:pPr>
      <w:r>
        <w:rPr>
          <w:rFonts w:ascii="Times New Roman" w:hAnsi="Times New Roman" w:cs="Times New Roman"/>
          <w:b/>
          <w:bCs/>
        </w:rPr>
        <w:t>1.城市影响力</w:t>
      </w:r>
      <w:r>
        <w:rPr>
          <w:rFonts w:hint="eastAsia" w:ascii="Times New Roman" w:hAnsi="Times New Roman" w:cs="Times New Roman"/>
          <w:b/>
          <w:bCs/>
        </w:rPr>
        <w:t>有待提升</w:t>
      </w:r>
      <w:r>
        <w:rPr>
          <w:rFonts w:ascii="Times New Roman" w:hAnsi="Times New Roman" w:cs="Times New Roman"/>
          <w:b/>
          <w:bCs/>
        </w:rPr>
        <w:t>。</w:t>
      </w:r>
      <w:r>
        <w:rPr>
          <w:rFonts w:ascii="Times New Roman" w:hAnsi="Times New Roman" w:cs="Times New Roman"/>
        </w:rPr>
        <w:t>瑞安作为发展排头兵地位巩固愈发困难，2013年度全国综合实力百强县排名第25位、全省第6（乐清全国第22、全省第4），2022年虽然仍保持在25位，但全省排名下滑至全省第8（乐清全国第18、全省第5），与乐清差距进一步扩大。温瑞一体化融合发展推进缓慢，从2021年政府工作报告提出，经过两年时间，到今年4月才与瓯海签署了战略合作框架协议，与龙湾、鹿城等地区域协作仍未启动。</w:t>
      </w:r>
    </w:p>
    <w:p w14:paraId="64741D1D">
      <w:pPr>
        <w:ind w:firstLine="643" w:firstLineChars="200"/>
        <w:rPr>
          <w:rFonts w:ascii="Times New Roman" w:hAnsi="Times New Roman" w:cs="Times New Roman"/>
        </w:rPr>
      </w:pPr>
      <w:r>
        <w:rPr>
          <w:rFonts w:ascii="Times New Roman" w:hAnsi="Times New Roman" w:cs="Times New Roman"/>
          <w:b/>
          <w:bCs/>
        </w:rPr>
        <w:t>2.中心城区首位度不高。</w:t>
      </w:r>
      <w:r>
        <w:rPr>
          <w:rFonts w:ascii="Times New Roman" w:hAnsi="Times New Roman" w:cs="Times New Roman"/>
        </w:rPr>
        <w:t>虽然</w:t>
      </w:r>
      <w:r>
        <w:rPr>
          <w:rFonts w:hint="eastAsia" w:ascii="Times New Roman" w:hAnsi="Times New Roman" w:cs="Times New Roman"/>
        </w:rPr>
        <w:t>瑞安常住人口总量居全温州第一，但其人口规模一直呈低速增长状态，占温州人口比重从2020年的16.38%下降至2022年的15.79%，并且</w:t>
      </w:r>
      <w:r>
        <w:rPr>
          <w:rFonts w:ascii="Times New Roman" w:hAnsi="Times New Roman" w:cs="Times New Roman"/>
        </w:rPr>
        <w:t>随着</w:t>
      </w:r>
      <w:r>
        <w:rPr>
          <w:rFonts w:hint="eastAsia" w:ascii="Times New Roman" w:hAnsi="Times New Roman" w:cs="Times New Roman"/>
        </w:rPr>
        <w:t>周边县市区的</w:t>
      </w:r>
      <w:r>
        <w:rPr>
          <w:rFonts w:ascii="Times New Roman" w:hAnsi="Times New Roman" w:cs="Times New Roman"/>
        </w:rPr>
        <w:t>商</w:t>
      </w:r>
      <w:r>
        <w:rPr>
          <w:rFonts w:hint="eastAsia" w:ascii="Times New Roman" w:hAnsi="Times New Roman" w:cs="Times New Roman"/>
        </w:rPr>
        <w:t>业设施</w:t>
      </w:r>
      <w:r>
        <w:rPr>
          <w:rFonts w:ascii="Times New Roman" w:hAnsi="Times New Roman" w:cs="Times New Roman"/>
        </w:rPr>
        <w:t>、商务区、五星级酒店、超高层建筑等城建配套先后落地，</w:t>
      </w:r>
      <w:r>
        <w:rPr>
          <w:rFonts w:hint="eastAsia" w:ascii="Times New Roman" w:hAnsi="Times New Roman" w:cs="Times New Roman"/>
        </w:rPr>
        <w:t>将为瑞安人口集聚带来更大挑战。中心城区建设碎片化、半城市化等问题突出，新区与老城区的联动发展不足，住宅区、工业区交杂，城市建设缺乏合理功能划分，商业主要以沿街商铺为主，缺乏统一规划、业态档次普遍较低。</w:t>
      </w:r>
    </w:p>
    <w:p w14:paraId="28789187">
      <w:pPr>
        <w:ind w:firstLine="643" w:firstLineChars="200"/>
        <w:rPr>
          <w:rFonts w:ascii="Times New Roman" w:hAnsi="Times New Roman" w:cs="Times New Roman"/>
        </w:rPr>
      </w:pPr>
      <w:r>
        <w:rPr>
          <w:rFonts w:ascii="Times New Roman" w:hAnsi="Times New Roman" w:cs="Times New Roman"/>
          <w:b/>
          <w:bCs/>
        </w:rPr>
        <w:t>3.</w:t>
      </w:r>
      <w:r>
        <w:rPr>
          <w:rFonts w:hint="eastAsia" w:ascii="Times New Roman" w:hAnsi="Times New Roman" w:cs="Times New Roman"/>
          <w:b/>
          <w:bCs/>
        </w:rPr>
        <w:t>城市认同感相对缺乏</w:t>
      </w:r>
      <w:r>
        <w:rPr>
          <w:rFonts w:ascii="Times New Roman" w:hAnsi="Times New Roman" w:cs="Times New Roman"/>
          <w:b/>
          <w:bCs/>
        </w:rPr>
        <w:t>。</w:t>
      </w:r>
      <w:r>
        <w:rPr>
          <w:rFonts w:ascii="Times New Roman" w:hAnsi="Times New Roman" w:cs="Times New Roman"/>
        </w:rPr>
        <w:t>从城市形象的符号化表征视角来看，瑞安虽然有“国旗馆”“玉海楼”等文化地标，但知名度远不如乐清“雁荡山”、瓯海“茶山大学城”、鹿城“五马南塘”</w:t>
      </w:r>
      <w:r>
        <w:rPr>
          <w:rFonts w:hint="eastAsia" w:ascii="Times New Roman" w:hAnsi="Times New Roman" w:cs="Times New Roman"/>
        </w:rPr>
        <w:t>，迫切需要提升城市文化地标影响力</w:t>
      </w:r>
      <w:r>
        <w:rPr>
          <w:rFonts w:ascii="Times New Roman" w:hAnsi="Times New Roman" w:cs="Times New Roman"/>
        </w:rPr>
        <w:t>。关于瑞安文化的研究主要集中在永嘉学派、南戏文化、耕读文化，</w:t>
      </w:r>
      <w:r>
        <w:rPr>
          <w:rFonts w:hint="eastAsia" w:ascii="Times New Roman" w:hAnsi="Times New Roman" w:cs="Times New Roman"/>
        </w:rPr>
        <w:t>但这些领域的文化特质与瑞安城市形象的融合还不够，对城市印象的国际化传播和文化叙事还有待加强。同时，受土地保障不足、产业链不完善、城市配套不足等制约，对在外企二代、创二代吸引不足，瑞商回归总体态势不佳。</w:t>
      </w:r>
    </w:p>
    <w:p w14:paraId="0734D8A0">
      <w:pPr>
        <w:pStyle w:val="9"/>
        <w:spacing w:line="600" w:lineRule="exact"/>
        <w:outlineLvl w:val="1"/>
        <w:rPr>
          <w:rFonts w:ascii="Times New Roman" w:hAnsi="Times New Roman" w:cs="Times New Roman"/>
          <w:b/>
          <w:bCs/>
          <w:shd w:val="clear" w:color="auto" w:fill="FFFFFF" w:themeFill="background1"/>
        </w:rPr>
      </w:pPr>
      <w:bookmarkStart w:id="48" w:name="_Toc32314"/>
      <w:bookmarkStart w:id="49" w:name="_Toc17904"/>
      <w:r>
        <w:rPr>
          <w:rFonts w:ascii="Times New Roman" w:hAnsi="Times New Roman" w:cs="Times New Roman"/>
          <w:b/>
          <w:bCs/>
          <w:shd w:val="clear" w:color="auto" w:fill="FFFFFF" w:themeFill="background1"/>
        </w:rPr>
        <w:t>（四）人民幸福水平</w:t>
      </w:r>
      <w:r>
        <w:rPr>
          <w:rFonts w:hint="eastAsia" w:ascii="Times New Roman" w:hAnsi="Times New Roman" w:cs="Times New Roman"/>
          <w:b/>
          <w:bCs/>
          <w:shd w:val="clear" w:color="auto" w:fill="FFFFFF" w:themeFill="background1"/>
        </w:rPr>
        <w:t>有待进一步提高</w:t>
      </w:r>
      <w:bookmarkEnd w:id="48"/>
      <w:bookmarkEnd w:id="49"/>
    </w:p>
    <w:p w14:paraId="0B01A2ED">
      <w:pPr>
        <w:pStyle w:val="9"/>
        <w:spacing w:line="600" w:lineRule="exact"/>
        <w:rPr>
          <w:rFonts w:ascii="Times New Roman" w:hAnsi="Times New Roman" w:cs="Times New Roman"/>
        </w:rPr>
      </w:pPr>
      <w:r>
        <w:rPr>
          <w:rFonts w:ascii="Times New Roman" w:hAnsi="Times New Roman" w:cs="Times New Roman"/>
          <w:b/>
          <w:bCs/>
        </w:rPr>
        <w:t>1.城乡</w:t>
      </w:r>
      <w:r>
        <w:rPr>
          <w:rFonts w:hint="eastAsia" w:ascii="Times New Roman" w:hAnsi="Times New Roman" w:cs="Times New Roman"/>
          <w:b/>
          <w:bCs/>
        </w:rPr>
        <w:t>统筹发展仍需提速</w:t>
      </w:r>
      <w:r>
        <w:rPr>
          <w:rFonts w:ascii="Times New Roman" w:hAnsi="Times New Roman" w:cs="Times New Roman"/>
          <w:b/>
          <w:bCs/>
        </w:rPr>
        <w:t>。</w:t>
      </w:r>
      <w:r>
        <w:rPr>
          <w:rFonts w:ascii="Times New Roman" w:hAnsi="Times New Roman" w:cs="Times New Roman"/>
        </w:rPr>
        <w:t>虽然瑞安城乡居民收入差距（1.83）超过浙江（预计1.94）、温州（1.91）平均水平线，但在全市排名第五，与龙湾（1.53）、瓯海（1.63）、乐清（1.72）前三名差距较大。农林牧渔总产值增长力度减弱，2018-2022年年均增速2.8%，在三区两市中位列中游，对农民增收的支撑能力减弱。</w:t>
      </w:r>
    </w:p>
    <w:p w14:paraId="0BCE45CA">
      <w:pPr>
        <w:pStyle w:val="9"/>
        <w:spacing w:line="600" w:lineRule="exact"/>
        <w:ind w:firstLine="643" w:firstLineChars="200"/>
        <w:rPr>
          <w:rFonts w:ascii="Times New Roman" w:hAnsi="Times New Roman" w:cs="Times New Roman"/>
        </w:rPr>
      </w:pPr>
      <w:r>
        <w:rPr>
          <w:rFonts w:ascii="Times New Roman" w:hAnsi="Times New Roman" w:cs="Times New Roman"/>
          <w:b/>
          <w:bCs/>
        </w:rPr>
        <w:t>2.优质公共服务供给</w:t>
      </w:r>
      <w:r>
        <w:rPr>
          <w:rFonts w:hint="eastAsia" w:ascii="Times New Roman" w:hAnsi="Times New Roman" w:cs="Times New Roman"/>
          <w:b/>
          <w:bCs/>
        </w:rPr>
        <w:t>相对不足</w:t>
      </w:r>
      <w:r>
        <w:rPr>
          <w:rFonts w:ascii="Times New Roman" w:hAnsi="Times New Roman" w:cs="Times New Roman"/>
          <w:b/>
          <w:bCs/>
        </w:rPr>
        <w:t>衡。</w:t>
      </w:r>
      <w:r>
        <w:rPr>
          <w:rFonts w:ascii="Times New Roman" w:hAnsi="Times New Roman" w:cs="Times New Roman"/>
        </w:rPr>
        <w:t>优质教育、医疗、文体等资源主要集中在城区，高楼、芳庄等西部地区公共服务建设落后</w:t>
      </w:r>
      <w:r>
        <w:rPr>
          <w:rFonts w:hint="eastAsia" w:ascii="Times New Roman" w:hAnsi="Times New Roman" w:cs="Times New Roman"/>
        </w:rPr>
        <w:t>，校舍、食堂、体育场等基础教育配套设施有待提升。</w:t>
      </w:r>
      <w:r>
        <w:rPr>
          <w:rFonts w:ascii="Times New Roman" w:hAnsi="Times New Roman" w:cs="Times New Roman"/>
        </w:rPr>
        <w:t>生均教育事业费在全省排名靠后，每千人医疗卫生机构床位数、每千人执业（助理）医师数和每千人拥有3岁以下婴幼儿托位数分别为3.36</w:t>
      </w:r>
      <w:r>
        <w:rPr>
          <w:rFonts w:hint="eastAsia" w:ascii="Times New Roman" w:hAnsi="Times New Roman" w:cs="Times New Roman"/>
        </w:rPr>
        <w:t>张</w:t>
      </w:r>
      <w:r>
        <w:rPr>
          <w:rFonts w:ascii="Times New Roman" w:hAnsi="Times New Roman" w:cs="Times New Roman"/>
        </w:rPr>
        <w:t>、3.16</w:t>
      </w:r>
      <w:r>
        <w:rPr>
          <w:rFonts w:hint="eastAsia" w:ascii="Times New Roman" w:hAnsi="Times New Roman" w:cs="Times New Roman"/>
        </w:rPr>
        <w:t>人</w:t>
      </w:r>
      <w:r>
        <w:rPr>
          <w:rFonts w:ascii="Times New Roman" w:hAnsi="Times New Roman" w:cs="Times New Roman"/>
        </w:rPr>
        <w:t>、</w:t>
      </w:r>
      <w:r>
        <w:rPr>
          <w:rFonts w:hint="eastAsia" w:ascii="Times New Roman" w:hAnsi="Times New Roman" w:cs="Times New Roman"/>
        </w:rPr>
        <w:t>3.92个</w:t>
      </w:r>
      <w:r>
        <w:rPr>
          <w:rFonts w:ascii="Times New Roman" w:hAnsi="Times New Roman" w:cs="Times New Roman"/>
        </w:rPr>
        <w:t>，低于温州（4.91</w:t>
      </w:r>
      <w:r>
        <w:rPr>
          <w:rFonts w:hint="eastAsia" w:ascii="Times New Roman" w:hAnsi="Times New Roman" w:cs="Times New Roman"/>
        </w:rPr>
        <w:t>张</w:t>
      </w:r>
      <w:r>
        <w:rPr>
          <w:rFonts w:ascii="Times New Roman" w:hAnsi="Times New Roman" w:cs="Times New Roman"/>
        </w:rPr>
        <w:t>、3.65</w:t>
      </w:r>
      <w:r>
        <w:rPr>
          <w:rFonts w:hint="eastAsia" w:ascii="Times New Roman" w:hAnsi="Times New Roman" w:cs="Times New Roman"/>
        </w:rPr>
        <w:t>人</w:t>
      </w:r>
      <w:r>
        <w:rPr>
          <w:rFonts w:ascii="Times New Roman" w:hAnsi="Times New Roman" w:cs="Times New Roman"/>
        </w:rPr>
        <w:t>、6.38</w:t>
      </w:r>
      <w:r>
        <w:rPr>
          <w:rFonts w:hint="eastAsia" w:ascii="Times New Roman" w:hAnsi="Times New Roman" w:cs="Times New Roman"/>
        </w:rPr>
        <w:t>个</w:t>
      </w:r>
      <w:r>
        <w:rPr>
          <w:rFonts w:ascii="Times New Roman" w:hAnsi="Times New Roman" w:cs="Times New Roman"/>
        </w:rPr>
        <w:t>）平均水平。</w:t>
      </w:r>
    </w:p>
    <w:p w14:paraId="4DCADBD8">
      <w:pPr>
        <w:ind w:firstLine="643" w:firstLineChars="200"/>
        <w:rPr>
          <w:rFonts w:ascii="Times New Roman" w:hAnsi="Times New Roman" w:cs="Times New Roman"/>
        </w:rPr>
      </w:pPr>
      <w:r>
        <w:rPr>
          <w:rFonts w:ascii="Times New Roman" w:hAnsi="Times New Roman" w:cs="Times New Roman"/>
          <w:b/>
          <w:bCs/>
        </w:rPr>
        <w:t>3.社会治理精细度不高。</w:t>
      </w:r>
      <w:r>
        <w:rPr>
          <w:rFonts w:ascii="Times New Roman" w:hAnsi="Times New Roman" w:cs="Times New Roman"/>
        </w:rPr>
        <w:t>近年来人口市内流动性强，一些中西部村社人口流失，“人户分离”问题突出，治理要素属地管理难度加大，征地拆迁引发的涉诉涉访纠纷、新建住房业主集体维权、旧村改造项目烂尾等问题多发，亟需提高治理的合理性、精细度。多数镇街、社区社会组织服务中心没有实体化运行，无法向下培育发展更多基层社会组织，参与基层治理的社会力量稍显薄弱。</w:t>
      </w:r>
    </w:p>
    <w:p w14:paraId="70C88646">
      <w:pPr>
        <w:pStyle w:val="9"/>
        <w:spacing w:line="600" w:lineRule="exact"/>
        <w:outlineLvl w:val="1"/>
        <w:rPr>
          <w:rFonts w:ascii="Times New Roman" w:hAnsi="Times New Roman" w:cs="Times New Roman"/>
          <w:b/>
          <w:bCs/>
          <w:shd w:val="clear" w:color="auto" w:fill="FFFFFF" w:themeFill="background1"/>
        </w:rPr>
      </w:pPr>
      <w:bookmarkStart w:id="50" w:name="_Toc23848"/>
      <w:bookmarkStart w:id="51" w:name="_Toc18884"/>
      <w:r>
        <w:rPr>
          <w:rFonts w:ascii="Times New Roman" w:hAnsi="Times New Roman" w:cs="Times New Roman"/>
          <w:b/>
          <w:bCs/>
          <w:shd w:val="clear" w:color="auto" w:fill="FFFFFF" w:themeFill="background1"/>
        </w:rPr>
        <w:t>（五）改革开放力度有待</w:t>
      </w:r>
      <w:r>
        <w:rPr>
          <w:rFonts w:hint="eastAsia" w:ascii="Times New Roman" w:hAnsi="Times New Roman" w:cs="Times New Roman"/>
          <w:b/>
          <w:bCs/>
          <w:shd w:val="clear" w:color="auto" w:fill="FFFFFF" w:themeFill="background1"/>
        </w:rPr>
        <w:t>进一步加大</w:t>
      </w:r>
      <w:bookmarkEnd w:id="50"/>
      <w:bookmarkEnd w:id="51"/>
    </w:p>
    <w:p w14:paraId="47EF8DD6">
      <w:pPr>
        <w:ind w:firstLine="643" w:firstLineChars="200"/>
        <w:rPr>
          <w:rFonts w:ascii="Times New Roman" w:hAnsi="Times New Roman" w:cs="Times New Roman"/>
        </w:rPr>
      </w:pPr>
      <w:r>
        <w:rPr>
          <w:rFonts w:hint="eastAsia" w:ascii="Times New Roman" w:hAnsi="Times New Roman" w:cs="Times New Roman"/>
          <w:b/>
          <w:bCs/>
        </w:rPr>
        <w:t>1.重点领域改革任务仍然艰巨。</w:t>
      </w:r>
      <w:r>
        <w:rPr>
          <w:rFonts w:ascii="Times New Roman" w:hAnsi="Times New Roman" w:cs="Times New Roman"/>
        </w:rPr>
        <w:t>数字化改革虽然已处于温州第一梯队，但仍存在核心业务梳理不深、数据支撑不够、门户展示内容过少、一体化数字资源管理系统（IRS）不够完善、理论和制度成果不多等问题。</w:t>
      </w:r>
      <w:r>
        <w:rPr>
          <w:rFonts w:hint="eastAsia" w:ascii="Times New Roman" w:hAnsi="Times New Roman" w:cs="Times New Roman"/>
        </w:rPr>
        <w:t>项目生命周期管理相对不足，重大项目退出机制实效性不足、操作性不强问题突出，导致较多项目历史遗留问题。</w:t>
      </w:r>
      <w:r>
        <w:rPr>
          <w:rFonts w:ascii="Times New Roman" w:hAnsi="Times New Roman" w:cs="Times New Roman"/>
        </w:rPr>
        <w:t>县域治理各系统还未整合贯通，镇街和部门的治理合力还没有真正形成，村社网格存在各条线各自为战现象。</w:t>
      </w:r>
    </w:p>
    <w:p w14:paraId="4F8B903A">
      <w:pPr>
        <w:ind w:firstLine="643" w:firstLineChars="200"/>
        <w:rPr>
          <w:rFonts w:ascii="Times New Roman" w:hAnsi="Times New Roman" w:cs="Times New Roman"/>
        </w:rPr>
      </w:pPr>
      <w:r>
        <w:rPr>
          <w:rFonts w:ascii="Times New Roman" w:hAnsi="Times New Roman" w:cs="Times New Roman"/>
          <w:b/>
          <w:bCs/>
        </w:rPr>
        <w:t>2.出口规模相对下滑。</w:t>
      </w:r>
      <w:r>
        <w:rPr>
          <w:rFonts w:ascii="Times New Roman" w:hAnsi="Times New Roman" w:cs="Times New Roman"/>
        </w:rPr>
        <w:t>规上工业销售方向出口转内销明显，2022年，规上工业企业产品出口交货值196.7亿元，占销售产值17.1%，较2013年（十年前）下降3.6个百分点。其中，纺织业、仪器仪表制造业出口交货值分别为6.4亿元、3.3亿元，总体规模较2013年分别下降58.6%、48%。跨境电子商务、</w:t>
      </w:r>
      <w:r>
        <w:rPr>
          <w:rFonts w:hint="eastAsia" w:ascii="Times New Roman" w:hAnsi="Times New Roman" w:cs="Times New Roman"/>
        </w:rPr>
        <w:t>外贸综合服务平台</w:t>
      </w:r>
      <w:r>
        <w:rPr>
          <w:rFonts w:ascii="Times New Roman" w:hAnsi="Times New Roman" w:cs="Times New Roman"/>
        </w:rPr>
        <w:t>、海外仓等新型贸易模式刚刚起步。</w:t>
      </w:r>
    </w:p>
    <w:p w14:paraId="329192B4">
      <w:pPr>
        <w:ind w:firstLine="643" w:firstLineChars="200"/>
        <w:rPr>
          <w:rFonts w:ascii="Times New Roman" w:hAnsi="Times New Roman" w:cs="Times New Roman"/>
        </w:rPr>
      </w:pPr>
      <w:r>
        <w:rPr>
          <w:rFonts w:ascii="Times New Roman" w:hAnsi="Times New Roman" w:cs="Times New Roman"/>
          <w:b/>
          <w:bCs/>
        </w:rPr>
        <w:t>3.外贸结构性问题突出。</w:t>
      </w:r>
      <w:r>
        <w:rPr>
          <w:rFonts w:ascii="Times New Roman" w:hAnsi="Times New Roman" w:cs="Times New Roman"/>
        </w:rPr>
        <w:t>货物贸易附加值较低，主要集中在科技含量较低的鞋服、仪器仪表等制成品，参与国际竞争的水平和能力偏低。服务贸易竞争力不足，服务贸易进出口总额与货物进出口总额之比为3.2%，较乐清（6.2%）、温州（3.6%）、浙江（10.9%）、全国（14.2%）平均水平分别低3、0.4、7.7、11个百分点。</w:t>
      </w:r>
    </w:p>
    <w:p w14:paraId="09203937">
      <w:pPr>
        <w:ind w:firstLine="640" w:firstLineChars="200"/>
        <w:outlineLvl w:val="0"/>
        <w:rPr>
          <w:rFonts w:ascii="Times New Roman" w:hAnsi="Times New Roman" w:eastAsia="黑体" w:cs="Times New Roman"/>
          <w:szCs w:val="40"/>
          <w:shd w:val="clear" w:color="auto" w:fill="FFFFFF" w:themeFill="background1"/>
        </w:rPr>
      </w:pPr>
      <w:bookmarkStart w:id="52" w:name="_Toc29147"/>
      <w:bookmarkStart w:id="53" w:name="_Toc30091"/>
      <w:r>
        <w:rPr>
          <w:rFonts w:hint="eastAsia" w:ascii="Times New Roman" w:hAnsi="Times New Roman" w:eastAsia="黑体" w:cs="Times New Roman"/>
          <w:szCs w:val="40"/>
          <w:shd w:val="clear" w:color="auto" w:fill="FFFFFF" w:themeFill="background1"/>
        </w:rPr>
        <w:t>四</w:t>
      </w:r>
      <w:r>
        <w:rPr>
          <w:rFonts w:ascii="Times New Roman" w:hAnsi="Times New Roman" w:eastAsia="黑体" w:cs="Times New Roman"/>
          <w:szCs w:val="40"/>
          <w:shd w:val="clear" w:color="auto" w:fill="FFFFFF" w:themeFill="background1"/>
        </w:rPr>
        <w:t>、</w:t>
      </w:r>
      <w:bookmarkStart w:id="54" w:name="_Hlk139816407"/>
      <w:r>
        <w:rPr>
          <w:rFonts w:ascii="Times New Roman" w:hAnsi="Times New Roman" w:eastAsia="黑体" w:cs="Times New Roman"/>
          <w:szCs w:val="40"/>
          <w:shd w:val="clear" w:color="auto" w:fill="FFFFFF" w:themeFill="background1"/>
        </w:rPr>
        <w:t>“十四五”后半期发展形势与规划纲要指标期末预测</w:t>
      </w:r>
      <w:bookmarkEnd w:id="52"/>
      <w:bookmarkEnd w:id="53"/>
      <w:bookmarkEnd w:id="54"/>
    </w:p>
    <w:p w14:paraId="40404A47">
      <w:pPr>
        <w:pStyle w:val="9"/>
        <w:spacing w:line="600" w:lineRule="exact"/>
        <w:ind w:firstLine="643" w:firstLineChars="200"/>
        <w:outlineLvl w:val="1"/>
        <w:rPr>
          <w:rFonts w:ascii="Times New Roman" w:hAnsi="Times New Roman" w:cs="Times New Roman"/>
          <w:b/>
          <w:bCs/>
          <w:shd w:val="clear" w:color="auto" w:fill="FFFFFF" w:themeFill="background1"/>
        </w:rPr>
      </w:pPr>
      <w:bookmarkStart w:id="55" w:name="_Toc575"/>
      <w:bookmarkStart w:id="56" w:name="_Toc23645"/>
      <w:r>
        <w:rPr>
          <w:rFonts w:ascii="Times New Roman" w:hAnsi="Times New Roman" w:cs="Times New Roman"/>
          <w:b/>
          <w:bCs/>
          <w:shd w:val="clear" w:color="auto" w:fill="FFFFFF" w:themeFill="background1"/>
        </w:rPr>
        <w:t>（一）</w:t>
      </w:r>
      <w:bookmarkEnd w:id="55"/>
      <w:r>
        <w:rPr>
          <w:rFonts w:ascii="Times New Roman" w:hAnsi="Times New Roman" w:cs="Times New Roman"/>
          <w:b/>
          <w:bCs/>
          <w:shd w:val="clear" w:color="auto" w:fill="FFFFFF" w:themeFill="background1"/>
        </w:rPr>
        <w:t>形势</w:t>
      </w:r>
      <w:r>
        <w:rPr>
          <w:rFonts w:hint="eastAsia" w:ascii="Times New Roman" w:hAnsi="Times New Roman" w:cs="Times New Roman"/>
          <w:b/>
          <w:bCs/>
          <w:shd w:val="clear" w:color="auto" w:fill="FFFFFF" w:themeFill="background1"/>
        </w:rPr>
        <w:t>研判</w:t>
      </w:r>
      <w:bookmarkEnd w:id="56"/>
    </w:p>
    <w:p w14:paraId="66ECF938">
      <w:pPr>
        <w:ind w:firstLine="640"/>
        <w:rPr>
          <w:rFonts w:ascii="Times New Roman" w:hAnsi="Times New Roman" w:cs="Times New Roman"/>
        </w:rPr>
      </w:pPr>
      <w:r>
        <w:rPr>
          <w:rFonts w:ascii="Times New Roman" w:hAnsi="Times New Roman" w:cs="Times New Roman"/>
          <w:b/>
          <w:bCs/>
        </w:rPr>
        <w:t>1.百年变局加速演进、外部环境更趋复杂。</w:t>
      </w:r>
      <w:r>
        <w:rPr>
          <w:rFonts w:ascii="Times New Roman" w:hAnsi="Times New Roman" w:cs="Times New Roman"/>
        </w:rPr>
        <w:t>看世界，全球经济需求不振，单边主义、保护主义明显上升，局部冲突和动荡频发，世界进入新的动荡变革期。看国内，</w:t>
      </w:r>
      <w:r>
        <w:rPr>
          <w:rFonts w:hint="eastAsia" w:ascii="Times New Roman" w:hAnsi="Times New Roman" w:cs="Times New Roman"/>
        </w:rPr>
        <w:t>经济发展</w:t>
      </w:r>
      <w:r>
        <w:rPr>
          <w:rFonts w:hint="eastAsia" w:ascii="Times New Roman" w:hAnsi="Times New Roman" w:cs="Times New Roman"/>
          <w:color w:val="000000" w:themeColor="text1"/>
          <w:szCs w:val="32"/>
          <w14:textFill>
            <w14:solidFill>
              <w14:schemeClr w14:val="tx1"/>
            </w14:solidFill>
          </w14:textFill>
        </w:rPr>
        <w:t>面临需求收缩、供给冲击、预期转弱三重压力</w:t>
      </w:r>
      <w:r>
        <w:rPr>
          <w:rFonts w:hint="eastAsia" w:ascii="Times New Roman" w:hAnsi="Times New Roman" w:cs="Times New Roman"/>
        </w:rPr>
        <w:t>，</w:t>
      </w:r>
      <w:r>
        <w:rPr>
          <w:rFonts w:hint="eastAsia" w:ascii="Times New Roman" w:hAnsi="Times New Roman" w:cs="Times New Roman"/>
          <w:color w:val="000000" w:themeColor="text1"/>
          <w:szCs w:val="32"/>
          <w14:textFill>
            <w14:solidFill>
              <w14:schemeClr w14:val="tx1"/>
            </w14:solidFill>
          </w14:textFill>
        </w:rPr>
        <w:t>房地产政策调整短期内难以扭转下滑趋势，产业链供应链存在“外移内缩”风险，民营经济投资与群众消费意愿双双疲软，青年失业危机加剧</w:t>
      </w:r>
      <w:r>
        <w:rPr>
          <w:rFonts w:ascii="Times New Roman" w:hAnsi="Times New Roman" w:cs="Times New Roman"/>
        </w:rPr>
        <w:t>。</w:t>
      </w:r>
      <w:r>
        <w:rPr>
          <w:rFonts w:hint="eastAsia" w:ascii="Times New Roman" w:hAnsi="Times New Roman" w:cs="Times New Roman"/>
        </w:rPr>
        <w:t>宏观环境内外需同时不足下，瑞安实体经济特别是制造业成长壮大挑战增多。</w:t>
      </w:r>
    </w:p>
    <w:p w14:paraId="5C4B58BE">
      <w:pPr>
        <w:ind w:firstLine="640"/>
        <w:rPr>
          <w:rFonts w:ascii="Times New Roman" w:hAnsi="Times New Roman" w:cs="Times New Roman"/>
          <w:szCs w:val="32"/>
          <w:lang w:bidi="ar"/>
        </w:rPr>
      </w:pPr>
      <w:r>
        <w:rPr>
          <w:rFonts w:ascii="Times New Roman" w:hAnsi="Times New Roman" w:cs="Times New Roman"/>
          <w:b/>
          <w:bCs/>
        </w:rPr>
        <w:t>2.“八八战略”走深走实、“创改开”强力推进。</w:t>
      </w:r>
      <w:r>
        <w:rPr>
          <w:rFonts w:ascii="Times New Roman" w:hAnsi="Times New Roman" w:cs="Times New Roman"/>
          <w:szCs w:val="32"/>
          <w:lang w:bidi="ar"/>
        </w:rPr>
        <w:t>习近平总书记对“八八战略”实施20周年作出重要指示，充分肯定浙江20年来在“八八战略”指引下取得的历史性成就，要求浙江持续推动“八八战略”在战略统领、实践突破、成果打造、目标追求上走深走实。围绕践行总书记殷殷嘱托，浙江提出以三个“一号工程”突破带动，</w:t>
      </w:r>
      <w:r>
        <w:rPr>
          <w:rFonts w:hint="eastAsia" w:ascii="Times New Roman" w:hAnsi="Times New Roman" w:cs="Times New Roman"/>
          <w:szCs w:val="32"/>
          <w:lang w:bidi="ar"/>
        </w:rPr>
        <w:t>通过坚持创新这个第一动力、改革这个关键一招、开放这个必由之路，在高质量发展中实现“两个先行</w:t>
      </w:r>
      <w:r>
        <w:rPr>
          <w:rFonts w:ascii="Times New Roman" w:hAnsi="Times New Roman" w:cs="Times New Roman"/>
          <w:szCs w:val="32"/>
          <w:lang w:bidi="ar"/>
        </w:rPr>
        <w:t>。</w:t>
      </w:r>
      <w:r>
        <w:rPr>
          <w:rFonts w:hint="eastAsia" w:ascii="Times New Roman" w:hAnsi="Times New Roman" w:cs="Times New Roman"/>
          <w:szCs w:val="32"/>
          <w:lang w:bidi="ar"/>
        </w:rPr>
        <w:t>扭住高质量发展这个战略基点，积极响应落实</w:t>
      </w:r>
      <w:r>
        <w:rPr>
          <w:rFonts w:hint="eastAsia" w:ascii="仿宋_GB2312" w:hAnsi="Times New Roman" w:cs="仿宋_GB2312"/>
          <w:szCs w:val="32"/>
          <w:lang w:bidi="ar"/>
        </w:rPr>
        <w:t>省委省政府决策部署，有利于瑞安</w:t>
      </w:r>
      <w:r>
        <w:rPr>
          <w:rFonts w:ascii="Times New Roman" w:hAnsi="Times New Roman" w:cs="Times New Roman"/>
          <w:szCs w:val="32"/>
          <w:lang w:bidi="ar"/>
        </w:rPr>
        <w:t>发挥国家创新型县（市）、千亿级产业集群、“三位一体”始源地叠加优势</w:t>
      </w:r>
      <w:r>
        <w:rPr>
          <w:rFonts w:hint="eastAsia" w:ascii="Times New Roman" w:hAnsi="Times New Roman" w:cs="Times New Roman"/>
          <w:szCs w:val="32"/>
          <w:lang w:bidi="ar"/>
        </w:rPr>
        <w:t>，率先</w:t>
      </w:r>
      <w:r>
        <w:rPr>
          <w:rFonts w:hint="eastAsia"/>
        </w:rPr>
        <w:t>谱写中国式现代化瑞安篇章。</w:t>
      </w:r>
    </w:p>
    <w:p w14:paraId="10A49AFB">
      <w:pPr>
        <w:ind w:firstLine="640"/>
        <w:rPr>
          <w:rFonts w:ascii="Times New Roman" w:hAnsi="Times New Roman" w:cs="Times New Roman"/>
        </w:rPr>
      </w:pPr>
      <w:r>
        <w:rPr>
          <w:rFonts w:ascii="Times New Roman" w:hAnsi="Times New Roman" w:cs="Times New Roman"/>
          <w:b/>
          <w:bCs/>
        </w:rPr>
        <w:t>3.面对共同富裕先行示范、县域城镇化体系推进。</w:t>
      </w:r>
      <w:r>
        <w:rPr>
          <w:rFonts w:ascii="Times New Roman" w:hAnsi="Times New Roman" w:cs="Times New Roman"/>
          <w:szCs w:val="32"/>
        </w:rPr>
        <w:t>作为共同富裕示范区，在中央和国家机关有关部门的支持下，浙江构建了“1+N”配套政策体系，优先支持各地开展改革试点、探索示范任务。</w:t>
      </w:r>
      <w:r>
        <w:rPr>
          <w:rFonts w:ascii="Times New Roman" w:hAnsi="Times New Roman" w:cs="Times New Roman"/>
        </w:rPr>
        <w:t>时值县域发展再次成为政策关注点，推进以县城为重要载体的城镇化建设，明确了城镇化建设重心下移的导向，</w:t>
      </w:r>
      <w:r>
        <w:rPr>
          <w:rFonts w:hint="eastAsia" w:ascii="Times New Roman" w:hAnsi="Times New Roman" w:cs="Times New Roman"/>
        </w:rPr>
        <w:t>基础设施建设的重心</w:t>
      </w:r>
      <w:r>
        <w:rPr>
          <w:rFonts w:ascii="Times New Roman" w:hAnsi="Times New Roman" w:cs="Times New Roman"/>
        </w:rPr>
        <w:t>由城市</w:t>
      </w:r>
      <w:r>
        <w:rPr>
          <w:rFonts w:hint="eastAsia" w:ascii="Times New Roman" w:hAnsi="Times New Roman" w:cs="Times New Roman"/>
        </w:rPr>
        <w:t>转向农村</w:t>
      </w:r>
      <w:r>
        <w:rPr>
          <w:rFonts w:ascii="Times New Roman" w:hAnsi="Times New Roman" w:cs="Times New Roman"/>
        </w:rPr>
        <w:t>。双重机遇下，瑞安作为全省乃至全国的重量级县级城市，</w:t>
      </w:r>
      <w:r>
        <w:rPr>
          <w:rFonts w:hint="eastAsia" w:ascii="Times New Roman" w:hAnsi="Times New Roman" w:cs="Times New Roman"/>
        </w:rPr>
        <w:t>能在更大格局中协调推进工业化、城镇化、农业现代化，发挥城镇化综合效应，</w:t>
      </w:r>
      <w:r>
        <w:rPr>
          <w:rFonts w:ascii="Times New Roman" w:hAnsi="Times New Roman" w:cs="Times New Roman"/>
        </w:rPr>
        <w:t>形成县域经济的核心竞争力。</w:t>
      </w:r>
    </w:p>
    <w:p w14:paraId="5650C01F">
      <w:pPr>
        <w:pStyle w:val="2"/>
        <w:ind w:firstLine="640" w:firstLineChars="200"/>
        <w:rPr>
          <w:rFonts w:ascii="Times New Roman" w:hAnsi="Times New Roman" w:cs="Times New Roman"/>
        </w:rPr>
      </w:pPr>
      <w:r>
        <w:rPr>
          <w:rFonts w:hint="eastAsia" w:ascii="Times New Roman" w:hAnsi="Times New Roman" w:cs="Times New Roman"/>
        </w:rPr>
        <w:t>面对形势变化带来的趋势要求，瑞安要在透过复杂现象看清问题本质中谋定发展战略，在把握短期波动和长期趋势中调整发展战术，重点做好四方面：</w:t>
      </w:r>
      <w:r>
        <w:rPr>
          <w:rFonts w:hint="eastAsia" w:ascii="Times New Roman" w:hAnsi="Times New Roman" w:cs="Times New Roman"/>
          <w:b/>
          <w:bCs/>
        </w:rPr>
        <w:t>一是坚持以实体经济为重，巩固增强制造业竞争优势。</w:t>
      </w:r>
      <w:r>
        <w:rPr>
          <w:rFonts w:hint="eastAsia" w:ascii="Times New Roman" w:hAnsi="Times New Roman" w:cs="Times New Roman"/>
        </w:rPr>
        <w:t>全市产业的结构性矛盾依然存在，制造业形成了</w:t>
      </w:r>
      <w:r>
        <w:rPr>
          <w:rFonts w:ascii="Times New Roman" w:hAnsi="Times New Roman" w:cs="Times New Roman"/>
        </w:rPr>
        <w:t>“大而不强、全而不优”、高端供给不足、中低端供给过剩</w:t>
      </w:r>
      <w:r>
        <w:rPr>
          <w:rFonts w:hint="eastAsia" w:ascii="Times New Roman" w:hAnsi="Times New Roman" w:cs="Times New Roman"/>
        </w:rPr>
        <w:t>的局面，归根结底还需增强内生动力，要加快补上产业高质量发展短板、锻造产业竞争优势长板，精准招引关键环节、核心部件、重点项目、重点企业，补齐汽车零部件、新材料等重点产业链空白薄弱及头部企业核心供应链环节，加快产业平台能级跃升，强化土地、资金等各项要素供给，推进优势产业高端化、传统产业新型化、新兴产业规模化。</w:t>
      </w:r>
      <w:r>
        <w:rPr>
          <w:rFonts w:hint="eastAsia" w:ascii="Times New Roman" w:hAnsi="Times New Roman" w:cs="Times New Roman"/>
          <w:b/>
          <w:bCs/>
        </w:rPr>
        <w:t>二是把握创新发展第一动力，强化企业创新主体地位。</w:t>
      </w:r>
      <w:r>
        <w:rPr>
          <w:rFonts w:hint="eastAsia" w:ascii="Times New Roman" w:hAnsi="Times New Roman" w:cs="Times New Roman"/>
        </w:rPr>
        <w:t>全市在创新平台建设、加大研发投入等方面取得一定成果，但反映出研发力量分散、成果转化机制混乱和投入产出效果不佳等问题。这就需要进一步变革创新体系，依托工业强市优势，强化企业作为出题人、主答题人和阅卷人作用，构建科技领军企业牵头</w:t>
      </w:r>
      <w:r>
        <w:rPr>
          <w:rFonts w:ascii="Times New Roman" w:hAnsi="Times New Roman" w:cs="Times New Roman"/>
        </w:rPr>
        <w:t>“</w:t>
      </w:r>
      <w:r>
        <w:rPr>
          <w:rFonts w:hint="eastAsia" w:ascii="Times New Roman" w:hAnsi="Times New Roman" w:cs="Times New Roman"/>
        </w:rPr>
        <w:t>大兵团作战</w:t>
      </w:r>
      <w:r>
        <w:rPr>
          <w:rFonts w:ascii="Times New Roman" w:hAnsi="Times New Roman" w:cs="Times New Roman"/>
        </w:rPr>
        <w:t>”</w:t>
      </w:r>
      <w:r>
        <w:rPr>
          <w:rFonts w:hint="eastAsia" w:ascii="Times New Roman" w:hAnsi="Times New Roman" w:cs="Times New Roman"/>
        </w:rPr>
        <w:t>的研发模式，提升产业创新能力和制造业核心竞争力。</w:t>
      </w:r>
      <w:r>
        <w:rPr>
          <w:rFonts w:hint="eastAsia" w:ascii="Times New Roman" w:hAnsi="Times New Roman" w:cs="Times New Roman"/>
          <w:b/>
          <w:bCs/>
        </w:rPr>
        <w:t>三是聚焦城市首位度提升，着力扩大中心城区影响力。</w:t>
      </w:r>
      <w:r>
        <w:rPr>
          <w:rFonts w:hint="eastAsia" w:ascii="Times New Roman" w:hAnsi="Times New Roman" w:cs="Times New Roman"/>
        </w:rPr>
        <w:t>全市在统筹城乡发展、推进新型城镇化方面取得显著进展，但城乡之间、区域之间、新城与老城之间发展不平衡的问题没有得到根本解决。下一步要系统谋划市域空间布局，重塑新型城乡关系，做大做强做热中心城区，立住产业、留住人才、保住环境，引领带动老城产业活化、人口复兴、功能提升。</w:t>
      </w:r>
      <w:r>
        <w:rPr>
          <w:rFonts w:hint="eastAsia" w:ascii="Times New Roman" w:hAnsi="Times New Roman" w:cs="Times New Roman"/>
          <w:b/>
          <w:bCs/>
        </w:rPr>
        <w:t>四是勇担共同富裕历史使命，持续推动人的全面发展。</w:t>
      </w:r>
      <w:r>
        <w:rPr>
          <w:rFonts w:hint="eastAsia" w:ascii="Times New Roman" w:hAnsi="Times New Roman" w:cs="Times New Roman"/>
        </w:rPr>
        <w:t>人口结构变迁背景下，人口红利转向人才红利、消费需求也将更加个性化和复杂化，妥善处理老龄化、区域人口增减分化所产生的社会问题和消费升级带来的产业变革，对资源的供给与分配提出更高要求。下一步要秉持“人民城市人民建，人民城市为人民”理念，因地制宜</w:t>
      </w:r>
      <w:r>
        <w:rPr>
          <w:rFonts w:ascii="Times New Roman" w:hAnsi="Times New Roman" w:cs="Times New Roman"/>
        </w:rPr>
        <w:t>配置各类养老设施、教育设施等综合性配套设施</w:t>
      </w:r>
      <w:r>
        <w:rPr>
          <w:rFonts w:hint="eastAsia" w:ascii="Times New Roman" w:hAnsi="Times New Roman" w:cs="Times New Roman"/>
        </w:rPr>
        <w:t>，提升居民高品质生活的含金量，</w:t>
      </w:r>
      <w:r>
        <w:rPr>
          <w:rFonts w:ascii="Times New Roman" w:hAnsi="Times New Roman" w:cs="Times New Roman"/>
        </w:rPr>
        <w:t>满足全年龄段人群的多样化生活服务需求</w:t>
      </w:r>
      <w:r>
        <w:rPr>
          <w:rFonts w:hint="eastAsia" w:ascii="Times New Roman" w:hAnsi="Times New Roman" w:cs="Times New Roman"/>
        </w:rPr>
        <w:t>。</w:t>
      </w:r>
    </w:p>
    <w:p w14:paraId="3C1D27A3">
      <w:pPr>
        <w:pStyle w:val="9"/>
        <w:ind w:firstLine="643" w:firstLineChars="200"/>
        <w:outlineLvl w:val="1"/>
        <w:rPr>
          <w:rFonts w:ascii="Times New Roman" w:hAnsi="Times New Roman" w:cs="Times New Roman"/>
          <w:b/>
          <w:bCs/>
          <w:shd w:val="clear" w:color="auto" w:fill="FFFFFF" w:themeFill="background1"/>
        </w:rPr>
      </w:pPr>
      <w:bookmarkStart w:id="57" w:name="_Toc31949"/>
      <w:bookmarkStart w:id="58" w:name="_Toc31141"/>
      <w:r>
        <w:rPr>
          <w:rFonts w:ascii="Times New Roman" w:hAnsi="Times New Roman" w:cs="Times New Roman"/>
          <w:b/>
          <w:bCs/>
          <w:shd w:val="clear" w:color="auto" w:fill="FFFFFF" w:themeFill="background1"/>
        </w:rPr>
        <w:t>（二）</w:t>
      </w:r>
      <w:bookmarkEnd w:id="57"/>
      <w:r>
        <w:rPr>
          <w:rFonts w:hint="eastAsia" w:ascii="Times New Roman" w:hAnsi="Times New Roman" w:cs="Times New Roman"/>
          <w:b/>
          <w:bCs/>
          <w:shd w:val="clear" w:color="auto" w:fill="FFFFFF" w:themeFill="background1"/>
        </w:rPr>
        <w:t>指标展望</w:t>
      </w:r>
      <w:bookmarkEnd w:id="58"/>
    </w:p>
    <w:p w14:paraId="24AA8E16">
      <w:pPr>
        <w:ind w:firstLine="643"/>
        <w:rPr>
          <w:rFonts w:ascii="Times New Roman" w:hAnsi="Times New Roman" w:cs="Times New Roman"/>
          <w:szCs w:val="32"/>
        </w:rPr>
      </w:pPr>
      <w:bookmarkStart w:id="59" w:name="_Toc1120"/>
      <w:r>
        <w:rPr>
          <w:rFonts w:ascii="Times New Roman" w:hAnsi="Times New Roman" w:cs="Times New Roman"/>
          <w:szCs w:val="32"/>
        </w:rPr>
        <w:t>结合指标实现进度与发展环境变化，38项指标</w:t>
      </w:r>
      <w:r>
        <w:rPr>
          <w:rFonts w:hint="eastAsia" w:ascii="Times New Roman" w:hAnsi="Times New Roman" w:cs="Times New Roman"/>
          <w:szCs w:val="32"/>
        </w:rPr>
        <w:t>（包括分指标）</w:t>
      </w:r>
      <w:r>
        <w:rPr>
          <w:rFonts w:ascii="Times New Roman" w:hAnsi="Times New Roman" w:cs="Times New Roman"/>
          <w:szCs w:val="32"/>
        </w:rPr>
        <w:t>中，</w:t>
      </w:r>
      <w:r>
        <w:rPr>
          <w:rFonts w:hint="eastAsia" w:ascii="Times New Roman" w:hAnsi="Times New Roman" w:cs="Times New Roman"/>
          <w:szCs w:val="32"/>
        </w:rPr>
        <w:t>26</w:t>
      </w:r>
      <w:r>
        <w:rPr>
          <w:rFonts w:ascii="Times New Roman" w:hAnsi="Times New Roman" w:cs="Times New Roman"/>
          <w:szCs w:val="32"/>
        </w:rPr>
        <w:t>项指标预计可以实现规划目标，</w:t>
      </w:r>
      <w:r>
        <w:rPr>
          <w:rFonts w:hint="eastAsia" w:ascii="Times New Roman" w:hAnsi="Times New Roman" w:cs="Times New Roman"/>
          <w:szCs w:val="32"/>
        </w:rPr>
        <w:t>6</w:t>
      </w:r>
      <w:r>
        <w:rPr>
          <w:rFonts w:ascii="Times New Roman" w:hAnsi="Times New Roman" w:cs="Times New Roman"/>
          <w:szCs w:val="32"/>
        </w:rPr>
        <w:t>项指标力争完成，</w:t>
      </w:r>
      <w:r>
        <w:rPr>
          <w:rFonts w:hint="eastAsia" w:ascii="Times New Roman" w:hAnsi="Times New Roman" w:cs="Times New Roman"/>
          <w:szCs w:val="32"/>
        </w:rPr>
        <w:t>5</w:t>
      </w:r>
      <w:r>
        <w:rPr>
          <w:rFonts w:ascii="Times New Roman" w:hAnsi="Times New Roman" w:cs="Times New Roman"/>
          <w:szCs w:val="32"/>
        </w:rPr>
        <w:t>项指标难以完成。单位GDP二氧化碳降低</w:t>
      </w:r>
      <w:r>
        <w:rPr>
          <w:rFonts w:hint="eastAsia" w:ascii="Times New Roman" w:hAnsi="Times New Roman" w:cs="Times New Roman"/>
          <w:szCs w:val="32"/>
        </w:rPr>
        <w:t>1</w:t>
      </w:r>
      <w:r>
        <w:rPr>
          <w:rFonts w:ascii="Times New Roman" w:hAnsi="Times New Roman" w:cs="Times New Roman"/>
          <w:szCs w:val="32"/>
        </w:rPr>
        <w:t>项指标因统计方法发生变化，无法预测期末完成情况。</w:t>
      </w:r>
    </w:p>
    <w:p w14:paraId="5B8D2DC8">
      <w:pPr>
        <w:ind w:firstLine="643"/>
        <w:rPr>
          <w:rFonts w:ascii="Times New Roman" w:hAnsi="Times New Roman" w:cs="Times New Roman"/>
          <w:b/>
          <w:bCs/>
          <w:szCs w:val="32"/>
        </w:rPr>
      </w:pPr>
      <w:r>
        <w:rPr>
          <w:rFonts w:ascii="Times New Roman" w:hAnsi="Times New Roman" w:cs="Times New Roman"/>
          <w:b/>
          <w:bCs/>
          <w:szCs w:val="32"/>
        </w:rPr>
        <w:t>1.可以实现的指标（</w:t>
      </w:r>
      <w:r>
        <w:rPr>
          <w:rFonts w:hint="eastAsia" w:ascii="Times New Roman" w:hAnsi="Times New Roman" w:cs="Times New Roman"/>
          <w:b/>
          <w:bCs/>
          <w:szCs w:val="32"/>
        </w:rPr>
        <w:t>26</w:t>
      </w:r>
      <w:r>
        <w:rPr>
          <w:rFonts w:ascii="Times New Roman" w:hAnsi="Times New Roman" w:cs="Times New Roman"/>
          <w:b/>
          <w:bCs/>
          <w:szCs w:val="32"/>
        </w:rPr>
        <w:t>项）</w:t>
      </w:r>
    </w:p>
    <w:p w14:paraId="78044969">
      <w:pPr>
        <w:ind w:firstLine="643"/>
        <w:rPr>
          <w:rFonts w:ascii="Times New Roman" w:hAnsi="Times New Roman" w:cs="Times New Roman"/>
          <w:szCs w:val="32"/>
        </w:rPr>
      </w:pPr>
      <w:r>
        <w:rPr>
          <w:rFonts w:ascii="Times New Roman" w:hAnsi="Times New Roman" w:cs="Times New Roman"/>
          <w:szCs w:val="32"/>
        </w:rPr>
        <w:t>战略性新兴产业增加值占规上工业增加值比重、文化与相关产业增加值、常住人口城市化率、全员劳动生产率、新引育人才数、每万人发明专利拥有量、货物贸易进出口额、实际利用外资、依申请政府服务办件“一网通办”率、常住居民人均可支配收入（城镇）、常住居民人均可支配收入（农村）、城镇新增就业人数、每千人拥有3岁以下婴幼儿托位数、劳动年龄人口平均受教育年限、每万老年人拥有持证养老护理员数、青少年总体近视率降低、人均体育场地面积、</w:t>
      </w:r>
      <w:r>
        <w:rPr>
          <w:rFonts w:hint="eastAsia" w:ascii="Times New Roman" w:hAnsi="Times New Roman" w:cs="Times New Roman"/>
          <w:szCs w:val="32"/>
        </w:rPr>
        <w:t>人均预期寿命、</w:t>
      </w:r>
      <w:r>
        <w:rPr>
          <w:rFonts w:ascii="Times New Roman" w:hAnsi="Times New Roman" w:cs="Times New Roman"/>
          <w:szCs w:val="32"/>
        </w:rPr>
        <w:t>居民综合阅读率、万元GDP用水量降低、全市空气质量优良天数比率、PM2.5平均浓度、达到或优于三类水体占地表水比例（省控以上断面）、森林覆盖率、粮食总产量、亿元GDP生产安全事故死亡率等</w:t>
      </w:r>
      <w:r>
        <w:rPr>
          <w:rFonts w:hint="eastAsia" w:ascii="Times New Roman" w:hAnsi="Times New Roman" w:cs="Times New Roman"/>
          <w:szCs w:val="32"/>
        </w:rPr>
        <w:t>26</w:t>
      </w:r>
      <w:r>
        <w:rPr>
          <w:rFonts w:ascii="Times New Roman" w:hAnsi="Times New Roman" w:cs="Times New Roman"/>
          <w:szCs w:val="32"/>
        </w:rPr>
        <w:t>项指标，按照规划正常实施，预计在“十四五”期末年顺利完成规划目标。</w:t>
      </w:r>
    </w:p>
    <w:p w14:paraId="5DF45091">
      <w:pPr>
        <w:ind w:firstLine="643"/>
        <w:rPr>
          <w:rFonts w:ascii="Times New Roman" w:hAnsi="Times New Roman" w:cs="Times New Roman"/>
          <w:b/>
          <w:bCs/>
          <w:szCs w:val="32"/>
        </w:rPr>
      </w:pPr>
      <w:r>
        <w:rPr>
          <w:rFonts w:ascii="Times New Roman" w:hAnsi="Times New Roman" w:cs="Times New Roman"/>
          <w:b/>
          <w:bCs/>
          <w:szCs w:val="32"/>
        </w:rPr>
        <w:t>2.力争完成的指标（</w:t>
      </w:r>
      <w:r>
        <w:rPr>
          <w:rFonts w:hint="eastAsia" w:ascii="Times New Roman" w:hAnsi="Times New Roman" w:cs="Times New Roman"/>
          <w:b/>
          <w:bCs/>
          <w:szCs w:val="32"/>
        </w:rPr>
        <w:t>6</w:t>
      </w:r>
      <w:r>
        <w:rPr>
          <w:rFonts w:ascii="Times New Roman" w:hAnsi="Times New Roman" w:cs="Times New Roman"/>
          <w:b/>
          <w:bCs/>
          <w:szCs w:val="32"/>
        </w:rPr>
        <w:t>项）</w:t>
      </w:r>
    </w:p>
    <w:p w14:paraId="7F09EEA5">
      <w:pPr>
        <w:ind w:firstLine="641"/>
        <w:rPr>
          <w:rFonts w:ascii="Times New Roman" w:hAnsi="Times New Roman" w:cs="Times New Roman"/>
          <w:color w:val="000000" w:themeColor="text1"/>
          <w:szCs w:val="32"/>
          <w14:textFill>
            <w14:solidFill>
              <w14:schemeClr w14:val="tx1"/>
            </w14:solidFill>
          </w14:textFill>
        </w:rPr>
      </w:pPr>
      <w:r>
        <w:rPr>
          <w:rFonts w:ascii="Times New Roman" w:hAnsi="Times New Roman" w:eastAsia="楷体_GB2312" w:cs="Times New Roman"/>
          <w:b/>
          <w:bCs/>
          <w:szCs w:val="32"/>
        </w:rPr>
        <w:t>全市生产总值。</w:t>
      </w:r>
      <w:r>
        <w:rPr>
          <w:rFonts w:ascii="Times New Roman" w:hAnsi="Times New Roman" w:cs="Times New Roman"/>
          <w:color w:val="000000" w:themeColor="text1"/>
          <w:szCs w:val="32"/>
          <w14:textFill>
            <w14:solidFill>
              <w14:schemeClr w14:val="tx1"/>
            </w14:solidFill>
          </w14:textFill>
        </w:rPr>
        <w:t>“十四五”前半期，受疫情反复、大国博弈等宏观环境，以及居民消费意愿下降、实体经济发展信心有所转弱等因素叠加影响，</w:t>
      </w:r>
      <w:r>
        <w:rPr>
          <w:rFonts w:hint="eastAsia" w:ascii="Times New Roman" w:hAnsi="Times New Roman" w:cs="Times New Roman"/>
          <w:color w:val="000000" w:themeColor="text1"/>
          <w:szCs w:val="32"/>
          <w14:textFill>
            <w14:solidFill>
              <w14:schemeClr w14:val="tx1"/>
            </w14:solidFill>
          </w14:textFill>
        </w:rPr>
        <w:t>全市</w:t>
      </w:r>
      <w:r>
        <w:rPr>
          <w:rFonts w:ascii="Times New Roman" w:hAnsi="Times New Roman" w:cs="Times New Roman"/>
          <w:color w:val="000000" w:themeColor="text1"/>
          <w:szCs w:val="36"/>
          <w14:textFill>
            <w14:solidFill>
              <w14:schemeClr w14:val="tx1"/>
            </w14:solidFill>
          </w14:textFill>
        </w:rPr>
        <w:t>传统优势产业增速放缓</w:t>
      </w:r>
      <w:r>
        <w:rPr>
          <w:rFonts w:hint="eastAsia" w:ascii="Times New Roman" w:hAnsi="Times New Roman" w:cs="Times New Roman"/>
          <w:color w:val="000000" w:themeColor="text1"/>
          <w:szCs w:val="36"/>
          <w14:textFill>
            <w14:solidFill>
              <w14:schemeClr w14:val="tx1"/>
            </w14:solidFill>
          </w14:textFill>
        </w:rPr>
        <w:t>，</w:t>
      </w:r>
      <w:r>
        <w:rPr>
          <w:rFonts w:ascii="Times New Roman" w:hAnsi="Times New Roman" w:cs="Times New Roman"/>
          <w:color w:val="000000" w:themeColor="text1"/>
          <w:szCs w:val="36"/>
          <w14:textFill>
            <w14:solidFill>
              <w14:schemeClr w14:val="tx1"/>
            </w14:solidFill>
          </w14:textFill>
        </w:rPr>
        <w:t>新兴产业培育仍需时日</w:t>
      </w:r>
      <w:r>
        <w:rPr>
          <w:rFonts w:hint="eastAsia" w:ascii="Times New Roman" w:hAnsi="Times New Roman" w:cs="Times New Roman"/>
          <w:color w:val="000000" w:themeColor="text1"/>
          <w:szCs w:val="36"/>
          <w14:textFill>
            <w14:solidFill>
              <w14:schemeClr w14:val="tx1"/>
            </w14:solidFill>
          </w14:textFill>
        </w:rPr>
        <w:t>，而新兴消费、民间投资还需激发，导致</w:t>
      </w:r>
      <w:r>
        <w:rPr>
          <w:rFonts w:ascii="Times New Roman" w:hAnsi="Times New Roman" w:cs="Times New Roman"/>
          <w:color w:val="000000" w:themeColor="text1"/>
          <w:szCs w:val="32"/>
          <w14:textFill>
            <w14:solidFill>
              <w14:schemeClr w14:val="tx1"/>
            </w14:solidFill>
          </w14:textFill>
        </w:rPr>
        <w:t>全市地区生产总值增长乏力。2022年全市地区生产总值1197.</w:t>
      </w:r>
      <w:r>
        <w:rPr>
          <w:rFonts w:hint="eastAsia" w:ascii="Times New Roman" w:hAnsi="Times New Roman" w:cs="Times New Roman"/>
          <w:color w:val="000000" w:themeColor="text1"/>
          <w:szCs w:val="32"/>
          <w14:textFill>
            <w14:solidFill>
              <w14:schemeClr w14:val="tx1"/>
            </w14:solidFill>
          </w14:textFill>
        </w:rPr>
        <w:t>9</w:t>
      </w:r>
      <w:r>
        <w:rPr>
          <w:rFonts w:ascii="Times New Roman" w:hAnsi="Times New Roman" w:cs="Times New Roman"/>
          <w:color w:val="000000" w:themeColor="text1"/>
          <w:szCs w:val="32"/>
          <w14:textFill>
            <w14:solidFill>
              <w14:schemeClr w14:val="tx1"/>
            </w14:solidFill>
          </w14:textFill>
        </w:rPr>
        <w:t>亿元，若要实现“2025年达到1500亿元”的规划目标，2023-2025年年均增长需达到6.5%左右（按可比价计算）。“十四五”后半期，全市要统筹推进三个“一号工程”，实施“一十百千”项目倍增计划，培育壮大“321”现代产业集群，做大做强实体经济，</w:t>
      </w:r>
      <w:r>
        <w:rPr>
          <w:rFonts w:ascii="Times New Roman" w:hAnsi="Times New Roman" w:cs="Times New Roman"/>
          <w:spacing w:val="-4"/>
          <w:szCs w:val="32"/>
        </w:rPr>
        <w:t>有望在“十四五”期末完成规划目标。</w:t>
      </w:r>
    </w:p>
    <w:p w14:paraId="369AAFA7">
      <w:pPr>
        <w:ind w:firstLine="641"/>
        <w:rPr>
          <w:rFonts w:ascii="Times New Roman" w:hAnsi="Times New Roman" w:cs="Times New Roman"/>
          <w:color w:val="000000" w:themeColor="text1"/>
          <w:szCs w:val="32"/>
          <w14:textFill>
            <w14:solidFill>
              <w14:schemeClr w14:val="tx1"/>
            </w14:solidFill>
          </w14:textFill>
        </w:rPr>
      </w:pPr>
      <w:r>
        <w:rPr>
          <w:rFonts w:ascii="Times New Roman" w:hAnsi="Times New Roman" w:eastAsia="楷体_GB2312" w:cs="Times New Roman"/>
          <w:b/>
          <w:bCs/>
          <w:szCs w:val="32"/>
        </w:rPr>
        <w:t>人均生产总值。</w:t>
      </w:r>
      <w:r>
        <w:rPr>
          <w:rFonts w:hint="eastAsia" w:ascii="仿宋_GB2312" w:hAnsi="仿宋_GB2312" w:cs="仿宋_GB2312"/>
          <w:color w:val="000000"/>
          <w:szCs w:val="32"/>
        </w:rPr>
        <w:t>该指标是地区生产总值的关联性指标，由于经济下行压力大，整体经济指标增速不理想，进而影响人均生产总值。</w:t>
      </w:r>
      <w:r>
        <w:rPr>
          <w:rFonts w:ascii="Times New Roman" w:hAnsi="Times New Roman" w:cs="Times New Roman"/>
          <w:color w:val="000000" w:themeColor="text1"/>
          <w:szCs w:val="32"/>
          <w14:textFill>
            <w14:solidFill>
              <w14:schemeClr w14:val="tx1"/>
            </w14:solidFill>
          </w14:textFill>
        </w:rPr>
        <w:t>2022年全市人均生产总值78446元，较2020年68385元提高了10061元，2023-2025年提高16554元可达到“2025年实现95000元”的规划目标。考虑“十四五”后半期全市生产总值年均增速情况，以及全市常住人口规模基本稳定趋势，有望在“十四五”期末完成规划目标。</w:t>
      </w:r>
    </w:p>
    <w:p w14:paraId="3C55994F">
      <w:pPr>
        <w:ind w:firstLine="641"/>
        <w:rPr>
          <w:rFonts w:ascii="Times New Roman" w:hAnsi="Times New Roman" w:cs="Times New Roman"/>
          <w:spacing w:val="-4"/>
          <w:szCs w:val="32"/>
        </w:rPr>
      </w:pPr>
      <w:r>
        <w:rPr>
          <w:rFonts w:ascii="Times New Roman" w:hAnsi="Times New Roman" w:eastAsia="楷体_GB2312" w:cs="Times New Roman"/>
          <w:b/>
          <w:bCs/>
          <w:szCs w:val="32"/>
        </w:rPr>
        <w:t>工业增加值占GDP比重。</w:t>
      </w:r>
      <w:r>
        <w:rPr>
          <w:rFonts w:hint="eastAsia" w:ascii="Times New Roman" w:hAnsi="Times New Roman" w:cs="Times New Roman"/>
          <w:szCs w:val="32"/>
        </w:rPr>
        <w:t>受外贸市场订单下滑、化工原材料价格持续下跌、企业外迁外流等因素影响，全市化工、鞋服等优势主导产业稳增长压力较大，建设用地供需矛盾、产业平台运营不顺等问题仍然突出，制约大企业、大项目建设发展，工业经济承压明显，</w:t>
      </w:r>
      <w:r>
        <w:rPr>
          <w:rFonts w:hint="eastAsia" w:ascii="仿宋_GB2312"/>
          <w:color w:val="000000"/>
          <w:szCs w:val="32"/>
        </w:rPr>
        <w:t>导致该指标未达时序要求。</w:t>
      </w:r>
      <w:r>
        <w:rPr>
          <w:rFonts w:ascii="Times New Roman" w:hAnsi="Times New Roman" w:eastAsia="楷体_GB2312" w:cs="Times New Roman"/>
          <w:szCs w:val="32"/>
        </w:rPr>
        <w:t>2021、2022年</w:t>
      </w:r>
      <w:r>
        <w:rPr>
          <w:rFonts w:ascii="Times New Roman" w:hAnsi="Times New Roman" w:cs="Times New Roman"/>
          <w:szCs w:val="32"/>
        </w:rPr>
        <w:t>全市工业增加值占GDP比重</w:t>
      </w:r>
      <w:r>
        <w:rPr>
          <w:rFonts w:hint="eastAsia" w:ascii="Times New Roman" w:hAnsi="Times New Roman" w:cs="Times New Roman"/>
          <w:szCs w:val="32"/>
        </w:rPr>
        <w:t>先升后降，两年</w:t>
      </w:r>
      <w:r>
        <w:rPr>
          <w:rFonts w:ascii="Times New Roman" w:hAnsi="Times New Roman" w:cs="Times New Roman"/>
          <w:szCs w:val="32"/>
        </w:rPr>
        <w:t>累计下降0.06个百分点</w:t>
      </w:r>
      <w:r>
        <w:rPr>
          <w:rFonts w:ascii="Times New Roman" w:hAnsi="Times New Roman" w:cs="Times New Roman"/>
          <w:spacing w:val="-4"/>
          <w:szCs w:val="32"/>
        </w:rPr>
        <w:t>。“十四五”后半期，全市要攻坚项目兴产业，实施“产业提振”攻坚，开展百企智能化改造、百企增资扩产等工程，推进行业纾困、狠抓高增加值率企业等举措，有望在“十四五”期末完成规划目标。</w:t>
      </w:r>
    </w:p>
    <w:p w14:paraId="285BA2EE">
      <w:pPr>
        <w:pStyle w:val="2"/>
        <w:ind w:firstLine="643" w:firstLineChars="200"/>
      </w:pPr>
      <w:r>
        <w:rPr>
          <w:rFonts w:hint="eastAsia" w:ascii="Times New Roman" w:hAnsi="Times New Roman" w:eastAsia="楷体_GB2312" w:cs="Times New Roman"/>
          <w:b/>
          <w:bCs/>
          <w:szCs w:val="32"/>
        </w:rPr>
        <w:t>R&amp;D经费支出占GDP比重。</w:t>
      </w:r>
      <w:r>
        <w:rPr>
          <w:rFonts w:hint="eastAsia" w:ascii="Times New Roman" w:hAnsi="Times New Roman" w:cs="Times New Roman"/>
          <w:spacing w:val="-4"/>
          <w:szCs w:val="32"/>
        </w:rPr>
        <w:t>企业是技术创新的主体，</w:t>
      </w:r>
      <w:r>
        <w:rPr>
          <w:rFonts w:ascii="Times New Roman" w:hAnsi="Times New Roman" w:cs="Times New Roman"/>
          <w:spacing w:val="-4"/>
          <w:szCs w:val="32"/>
        </w:rPr>
        <w:t>经济低位运行、承压</w:t>
      </w:r>
      <w:r>
        <w:rPr>
          <w:rFonts w:hint="eastAsia" w:ascii="Times New Roman" w:hAnsi="Times New Roman" w:cs="Times New Roman"/>
          <w:spacing w:val="-4"/>
          <w:szCs w:val="32"/>
        </w:rPr>
        <w:t>前行</w:t>
      </w:r>
      <w:r>
        <w:rPr>
          <w:rFonts w:ascii="Times New Roman" w:hAnsi="Times New Roman" w:cs="Times New Roman"/>
          <w:spacing w:val="-4"/>
          <w:szCs w:val="32"/>
        </w:rPr>
        <w:t>态势</w:t>
      </w:r>
      <w:r>
        <w:rPr>
          <w:rFonts w:hint="eastAsia" w:ascii="Times New Roman" w:hAnsi="Times New Roman" w:cs="Times New Roman"/>
          <w:spacing w:val="-4"/>
          <w:szCs w:val="32"/>
        </w:rPr>
        <w:t>下，一定程度影响了创新活动开展，</w:t>
      </w:r>
      <w:r>
        <w:rPr>
          <w:rFonts w:hint="eastAsia" w:ascii="Times New Roman" w:hAnsi="Times New Roman" w:cs="Times New Roman"/>
          <w:szCs w:val="32"/>
        </w:rPr>
        <w:t>2021、2022年全市</w:t>
      </w:r>
      <w:r>
        <w:rPr>
          <w:rFonts w:ascii="Times New Roman" w:hAnsi="Times New Roman" w:cs="Times New Roman"/>
          <w:szCs w:val="32"/>
        </w:rPr>
        <w:t>R&amp;D经费支出占GDP比重</w:t>
      </w:r>
      <w:r>
        <w:rPr>
          <w:rFonts w:hint="eastAsia" w:ascii="Times New Roman" w:hAnsi="Times New Roman" w:cs="Times New Roman"/>
          <w:szCs w:val="32"/>
        </w:rPr>
        <w:t>累计提高0.14个百分点，提升幅度较小，与规划目标存在一定差距</w:t>
      </w:r>
      <w:r>
        <w:rPr>
          <w:rFonts w:hint="eastAsia" w:ascii="Times New Roman" w:hAnsi="Times New Roman" w:cs="Times New Roman"/>
          <w:spacing w:val="-4"/>
          <w:szCs w:val="32"/>
        </w:rPr>
        <w:t>。</w:t>
      </w:r>
      <w:r>
        <w:rPr>
          <w:rFonts w:ascii="Times New Roman" w:hAnsi="Times New Roman" w:cs="Times New Roman"/>
          <w:spacing w:val="-4"/>
          <w:szCs w:val="32"/>
        </w:rPr>
        <w:t>“十四五”后半期，围绕争创国家创新型县</w:t>
      </w:r>
      <w:r>
        <w:rPr>
          <w:rFonts w:hint="eastAsia" w:ascii="Times New Roman" w:hAnsi="Times New Roman" w:cs="Times New Roman"/>
          <w:spacing w:val="-4"/>
          <w:szCs w:val="32"/>
        </w:rPr>
        <w:t>，全力推动“315”科技创新体系建设工程落地见效，积极建设新型研发机构（高能级平台），引导创新主体加大研发攻关和自主创新，</w:t>
      </w:r>
      <w:r>
        <w:rPr>
          <w:rFonts w:ascii="Times New Roman" w:hAnsi="Times New Roman" w:cs="Times New Roman"/>
          <w:spacing w:val="-4"/>
          <w:szCs w:val="32"/>
        </w:rPr>
        <w:t>有望在“十四五”期末完成规划目标。</w:t>
      </w:r>
    </w:p>
    <w:p w14:paraId="49BEC1AE">
      <w:pPr>
        <w:ind w:firstLine="641"/>
        <w:rPr>
          <w:rFonts w:ascii="Times New Roman" w:hAnsi="Times New Roman" w:cs="Times New Roman"/>
          <w:spacing w:val="-4"/>
          <w:szCs w:val="32"/>
        </w:rPr>
      </w:pPr>
      <w:r>
        <w:rPr>
          <w:rFonts w:hint="eastAsia" w:ascii="Times New Roman" w:hAnsi="Times New Roman" w:eastAsia="楷体_GB2312" w:cs="Times New Roman"/>
          <w:b/>
          <w:bCs/>
          <w:szCs w:val="32"/>
        </w:rPr>
        <w:t>数字经济核心产业增加值占GDP比重。</w:t>
      </w:r>
      <w:r>
        <w:rPr>
          <w:rFonts w:hint="eastAsia" w:ascii="Times New Roman" w:hAnsi="Times New Roman" w:cs="Times New Roman"/>
          <w:spacing w:val="-4"/>
          <w:szCs w:val="32"/>
        </w:rPr>
        <w:t>全市数字经济</w:t>
      </w:r>
      <w:r>
        <w:rPr>
          <w:rFonts w:ascii="Times New Roman" w:hAnsi="Times New Roman" w:cs="Times New Roman"/>
          <w:spacing w:val="-4"/>
          <w:szCs w:val="32"/>
        </w:rPr>
        <w:t>产业层次较低、体量较小</w:t>
      </w:r>
      <w:r>
        <w:rPr>
          <w:rFonts w:hint="eastAsia" w:ascii="Times New Roman" w:hAnsi="Times New Roman" w:cs="Times New Roman"/>
          <w:spacing w:val="-4"/>
          <w:szCs w:val="32"/>
        </w:rPr>
        <w:t>，科技含量高、平台型、雁首型的大企业和具有较强竞争力的优势企业还比较少，难以形成产业优势，制约数字经济产业做大做强，</w:t>
      </w:r>
      <w:r>
        <w:rPr>
          <w:rFonts w:ascii="Times New Roman" w:hAnsi="Times New Roman" w:cs="Times New Roman"/>
          <w:spacing w:val="-4"/>
          <w:szCs w:val="32"/>
        </w:rPr>
        <w:t>2021</w:t>
      </w:r>
      <w:r>
        <w:rPr>
          <w:rFonts w:hint="eastAsia" w:ascii="Times New Roman" w:hAnsi="Times New Roman" w:cs="Times New Roman"/>
          <w:spacing w:val="-4"/>
          <w:szCs w:val="32"/>
        </w:rPr>
        <w:t>、</w:t>
      </w:r>
      <w:r>
        <w:rPr>
          <w:rFonts w:ascii="Times New Roman" w:hAnsi="Times New Roman" w:cs="Times New Roman"/>
          <w:spacing w:val="-4"/>
          <w:szCs w:val="32"/>
        </w:rPr>
        <w:t>2022</w:t>
      </w:r>
      <w:r>
        <w:rPr>
          <w:rFonts w:hint="eastAsia" w:ascii="Times New Roman" w:hAnsi="Times New Roman" w:cs="Times New Roman"/>
          <w:spacing w:val="-4"/>
          <w:szCs w:val="32"/>
        </w:rPr>
        <w:t>年全市数字经济核心产业增加值占GDP比重累计下降0.8个百分点。</w:t>
      </w:r>
      <w:r>
        <w:rPr>
          <w:rFonts w:ascii="Times New Roman" w:hAnsi="Times New Roman" w:cs="Times New Roman"/>
          <w:spacing w:val="-4"/>
          <w:szCs w:val="32"/>
        </w:rPr>
        <w:t>“十四五”后半期，</w:t>
      </w:r>
      <w:r>
        <w:rPr>
          <w:rFonts w:hint="eastAsia" w:ascii="Times New Roman" w:hAnsi="Times New Roman" w:cs="Times New Roman"/>
          <w:spacing w:val="-4"/>
          <w:szCs w:val="32"/>
        </w:rPr>
        <w:t>用好全市产业链优势，聚焦汽车电子、车联网、光伏设备、机器人、软件信息服务等行业热点重点方向，积极引培一批数字经济重点企业、重点项目落地，</w:t>
      </w:r>
      <w:r>
        <w:rPr>
          <w:rFonts w:ascii="Times New Roman" w:hAnsi="Times New Roman" w:cs="Times New Roman"/>
          <w:spacing w:val="-4"/>
          <w:szCs w:val="32"/>
        </w:rPr>
        <w:t>有望在“十四五”期末完成规划目标。</w:t>
      </w:r>
    </w:p>
    <w:p w14:paraId="15EC227C">
      <w:pPr>
        <w:ind w:firstLine="641"/>
        <w:rPr>
          <w:rFonts w:ascii="Times New Roman" w:hAnsi="Times New Roman" w:cs="Times New Roman"/>
          <w:szCs w:val="32"/>
          <w:shd w:val="clear" w:color="auto" w:fill="FFFF00"/>
        </w:rPr>
      </w:pPr>
      <w:r>
        <w:rPr>
          <w:rFonts w:ascii="Times New Roman" w:hAnsi="Times New Roman" w:eastAsia="楷体_GB2312" w:cs="Times New Roman"/>
          <w:b/>
          <w:bCs/>
          <w:szCs w:val="32"/>
        </w:rPr>
        <w:t>基本养老保险参保率。</w:t>
      </w:r>
      <w:r>
        <w:rPr>
          <w:rFonts w:ascii="Times New Roman" w:hAnsi="Times New Roman" w:cs="Times New Roman"/>
          <w:szCs w:val="32"/>
        </w:rPr>
        <w:t>在新冠疫情</w:t>
      </w:r>
      <w:r>
        <w:rPr>
          <w:rFonts w:hint="eastAsia" w:ascii="Times New Roman" w:hAnsi="Times New Roman" w:cs="Times New Roman"/>
          <w:szCs w:val="32"/>
        </w:rPr>
        <w:t>反复，以及</w:t>
      </w:r>
      <w:r>
        <w:rPr>
          <w:rFonts w:ascii="Times New Roman" w:hAnsi="Times New Roman" w:cs="Times New Roman"/>
          <w:szCs w:val="32"/>
        </w:rPr>
        <w:t>需求收缩、供给冲击、预期转弱三重压力下，全市经济形势也不乐观，</w:t>
      </w:r>
      <w:r>
        <w:rPr>
          <w:rFonts w:hint="eastAsia" w:ascii="Times New Roman" w:hAnsi="Times New Roman" w:cs="Times New Roman"/>
          <w:szCs w:val="32"/>
        </w:rPr>
        <w:t>用工需求和求职人数下降</w:t>
      </w:r>
      <w:r>
        <w:rPr>
          <w:rFonts w:ascii="Times New Roman" w:hAnsi="Times New Roman" w:cs="Times New Roman"/>
          <w:szCs w:val="32"/>
        </w:rPr>
        <w:t>，2021、2022年全市基本养老保险参保率累计下降1.78个百分点。</w:t>
      </w:r>
      <w:r>
        <w:rPr>
          <w:rFonts w:ascii="Times New Roman" w:hAnsi="Times New Roman" w:cs="Times New Roman"/>
          <w:spacing w:val="-4"/>
          <w:szCs w:val="32"/>
        </w:rPr>
        <w:t>“十四五”后半期，全市通过稳步推进社保征缴扩面五年专项行为等措施，有望在“十四五”期末完成规划目标。</w:t>
      </w:r>
    </w:p>
    <w:p w14:paraId="618D0257">
      <w:pPr>
        <w:ind w:firstLine="643"/>
        <w:rPr>
          <w:rFonts w:ascii="Times New Roman" w:hAnsi="Times New Roman" w:cs="Times New Roman"/>
          <w:b/>
          <w:bCs/>
          <w:szCs w:val="32"/>
        </w:rPr>
      </w:pPr>
      <w:r>
        <w:rPr>
          <w:rFonts w:ascii="Times New Roman" w:hAnsi="Times New Roman" w:cs="Times New Roman"/>
          <w:b/>
          <w:bCs/>
          <w:szCs w:val="32"/>
        </w:rPr>
        <w:t>3.较难完成的指标（</w:t>
      </w:r>
      <w:r>
        <w:rPr>
          <w:rFonts w:hint="eastAsia" w:ascii="Times New Roman" w:hAnsi="Times New Roman" w:cs="Times New Roman"/>
          <w:b/>
          <w:bCs/>
          <w:szCs w:val="32"/>
        </w:rPr>
        <w:t>5</w:t>
      </w:r>
      <w:r>
        <w:rPr>
          <w:rFonts w:ascii="Times New Roman" w:hAnsi="Times New Roman" w:cs="Times New Roman"/>
          <w:b/>
          <w:bCs/>
          <w:szCs w:val="32"/>
        </w:rPr>
        <w:t>项）</w:t>
      </w:r>
    </w:p>
    <w:p w14:paraId="3989282C">
      <w:pPr>
        <w:ind w:firstLine="643"/>
        <w:rPr>
          <w:rFonts w:ascii="Times New Roman" w:hAnsi="Times New Roman" w:cs="Times New Roman"/>
          <w:szCs w:val="32"/>
        </w:rPr>
      </w:pPr>
      <w:r>
        <w:rPr>
          <w:rFonts w:ascii="Times New Roman" w:hAnsi="Times New Roman" w:eastAsia="楷体_GB2312" w:cs="Times New Roman"/>
          <w:b/>
          <w:bCs/>
          <w:szCs w:val="32"/>
        </w:rPr>
        <w:t>一般公共预算收入。</w:t>
      </w:r>
      <w:r>
        <w:rPr>
          <w:rFonts w:ascii="Times New Roman" w:hAnsi="Times New Roman" w:cs="Times New Roman"/>
          <w:szCs w:val="32"/>
        </w:rPr>
        <w:t>近两年税收收入受疫情，</w:t>
      </w:r>
      <w:r>
        <w:rPr>
          <w:rFonts w:hint="eastAsia" w:ascii="仿宋_GB2312" w:hAnsi="仿宋_GB2312" w:cs="仿宋_GB2312"/>
          <w:color w:val="000000"/>
          <w:szCs w:val="32"/>
        </w:rPr>
        <w:t>房地产业持续低迷，以及</w:t>
      </w:r>
      <w:r>
        <w:rPr>
          <w:rFonts w:ascii="Times New Roman" w:hAnsi="Times New Roman" w:cs="Times New Roman"/>
          <w:szCs w:val="32"/>
        </w:rPr>
        <w:t>减税降费跟留抵退税等因素影响，一般公共预算收入2021、2022年年均下降10.2</w:t>
      </w:r>
      <w:r>
        <w:rPr>
          <w:rFonts w:hint="eastAsia" w:ascii="Times New Roman" w:hAnsi="Times New Roman" w:cs="Times New Roman"/>
          <w:szCs w:val="32"/>
        </w:rPr>
        <w:t>4</w:t>
      </w:r>
      <w:r>
        <w:rPr>
          <w:rFonts w:ascii="Times New Roman" w:hAnsi="Times New Roman" w:cs="Times New Roman"/>
          <w:szCs w:val="32"/>
        </w:rPr>
        <w:t>%，2023-2025年一般公共预算收入需保持22%以上方可达到“五年年均增长8%”的规划目标。</w:t>
      </w:r>
      <w:bookmarkStart w:id="60" w:name="_Hlk145341833"/>
      <w:r>
        <w:rPr>
          <w:rFonts w:ascii="Times New Roman" w:hAnsi="Times New Roman" w:cs="Times New Roman"/>
          <w:szCs w:val="32"/>
        </w:rPr>
        <w:t>“十四五”后半期，考虑实体经济发展情况，以及促进经济发展、营造良好营商环境，全市企业减税降费等政策仍要保持较大力度，预计较难完成期末规划目标。</w:t>
      </w:r>
      <w:bookmarkEnd w:id="60"/>
    </w:p>
    <w:p w14:paraId="16AA8B44">
      <w:pPr>
        <w:ind w:firstLine="643"/>
        <w:rPr>
          <w:rFonts w:ascii="Times New Roman" w:hAnsi="Times New Roman" w:cs="Times New Roman"/>
          <w:szCs w:val="32"/>
        </w:rPr>
      </w:pPr>
      <w:r>
        <w:rPr>
          <w:rFonts w:ascii="Times New Roman" w:hAnsi="Times New Roman" w:eastAsia="楷体_GB2312" w:cs="Times New Roman"/>
          <w:b/>
          <w:bCs/>
          <w:szCs w:val="32"/>
        </w:rPr>
        <w:t>社会消费品零售总额。</w:t>
      </w:r>
      <w:r>
        <w:rPr>
          <w:rFonts w:ascii="Times New Roman" w:hAnsi="Times New Roman" w:cs="Times New Roman"/>
          <w:szCs w:val="32"/>
        </w:rPr>
        <w:t>受疫情冲击影响面广量大、居民消费意愿下降等方面因素影响，2021、2022年全市社会消费品零售总额年均增长5.89%，</w:t>
      </w:r>
      <w:bookmarkStart w:id="61" w:name="_Hlk145341724"/>
      <w:r>
        <w:rPr>
          <w:rFonts w:ascii="Times New Roman" w:hAnsi="Times New Roman" w:cs="Times New Roman"/>
          <w:szCs w:val="32"/>
        </w:rPr>
        <w:t>2023-2025年社会消费品零售总额年均增速需保持9.4%以上方可达到“五年年均增长8%”的规划目标</w:t>
      </w:r>
      <w:bookmarkEnd w:id="61"/>
      <w:r>
        <w:rPr>
          <w:rFonts w:ascii="Times New Roman" w:hAnsi="Times New Roman" w:cs="Times New Roman"/>
          <w:szCs w:val="32"/>
        </w:rPr>
        <w:t>。考虑“十四五”后半期消费市场尚处于逐步回暖阶段，</w:t>
      </w:r>
      <w:r>
        <w:rPr>
          <w:rFonts w:hint="eastAsia" w:ascii="Times New Roman" w:hAnsi="Times New Roman" w:cs="Times New Roman"/>
          <w:szCs w:val="32"/>
        </w:rPr>
        <w:t>全市汽车行业以燃油车为主，</w:t>
      </w:r>
      <w:r>
        <w:rPr>
          <w:rFonts w:ascii="Times New Roman" w:hAnsi="Times New Roman" w:cs="Times New Roman"/>
          <w:szCs w:val="32"/>
        </w:rPr>
        <w:t>受新能源汽车冲击较大</w:t>
      </w:r>
      <w:r>
        <w:rPr>
          <w:rFonts w:hint="eastAsia" w:ascii="Times New Roman" w:hAnsi="Times New Roman" w:cs="Times New Roman"/>
          <w:szCs w:val="32"/>
        </w:rPr>
        <w:t>，占比较高的汽车类消费增长缓慢，京东等一批</w:t>
      </w:r>
      <w:r>
        <w:rPr>
          <w:rFonts w:ascii="Times New Roman" w:hAnsi="Times New Roman" w:cs="Times New Roman"/>
          <w:szCs w:val="32"/>
        </w:rPr>
        <w:t>重点零售项目未履约达产</w:t>
      </w:r>
      <w:r>
        <w:rPr>
          <w:rFonts w:hint="eastAsia" w:ascii="Times New Roman" w:hAnsi="Times New Roman" w:cs="Times New Roman"/>
          <w:szCs w:val="32"/>
        </w:rPr>
        <w:t>，都对社会消费品零售总额增速产生较大影响</w:t>
      </w:r>
      <w:r>
        <w:rPr>
          <w:rFonts w:ascii="Times New Roman" w:hAnsi="Times New Roman" w:cs="Times New Roman"/>
          <w:szCs w:val="32"/>
        </w:rPr>
        <w:t>。综上考虑，本指标预计较难完成期末规划目标。</w:t>
      </w:r>
    </w:p>
    <w:p w14:paraId="30F9A401">
      <w:pPr>
        <w:pStyle w:val="49"/>
        <w:spacing w:line="600" w:lineRule="exact"/>
        <w:ind w:firstLine="643" w:firstLineChars="200"/>
        <w:rPr>
          <w:rFonts w:cs="Times New Roman"/>
          <w:szCs w:val="32"/>
          <w:u w:val="single"/>
        </w:rPr>
      </w:pPr>
      <w:bookmarkStart w:id="62" w:name="_Hlk145338602"/>
      <w:r>
        <w:rPr>
          <w:rFonts w:eastAsia="楷体_GB2312" w:cs="Times New Roman"/>
          <w:b/>
          <w:bCs/>
          <w:szCs w:val="32"/>
        </w:rPr>
        <w:t>每千人口执业（助理）医生数</w:t>
      </w:r>
      <w:bookmarkEnd w:id="62"/>
      <w:r>
        <w:rPr>
          <w:rFonts w:eastAsia="楷体_GB2312" w:cs="Times New Roman"/>
          <w:b/>
          <w:bCs/>
          <w:szCs w:val="32"/>
        </w:rPr>
        <w:t>。</w:t>
      </w:r>
      <w:r>
        <w:rPr>
          <w:rFonts w:hint="eastAsia" w:cs="Times New Roman"/>
          <w:szCs w:val="32"/>
        </w:rPr>
        <w:t>受全市大型医疗机构较少、常住人口基数大</w:t>
      </w:r>
      <w:r>
        <w:rPr>
          <w:rFonts w:cs="Times New Roman"/>
          <w:szCs w:val="32"/>
        </w:rPr>
        <w:t>（温州排名第一）</w:t>
      </w:r>
      <w:r>
        <w:rPr>
          <w:rFonts w:hint="eastAsia" w:cs="Times New Roman"/>
          <w:szCs w:val="32"/>
        </w:rPr>
        <w:t>等因素影响，</w:t>
      </w:r>
      <w:r>
        <w:rPr>
          <w:rFonts w:cs="Times New Roman"/>
          <w:szCs w:val="32"/>
        </w:rPr>
        <w:t>2022年全市每千人口执业（助理）医生数为3.16人，两年累计提高0.29人、指标实现仅为29.9%，与“2025年3.84人”的规划目标差距较大。</w:t>
      </w:r>
      <w:r>
        <w:rPr>
          <w:rFonts w:hint="eastAsia" w:cs="Times New Roman"/>
          <w:szCs w:val="32"/>
        </w:rPr>
        <w:t>该指标在参照温州市的规划目标要求的基础上（3.41张），提高要求设置（3.84张）；全市</w:t>
      </w:r>
      <w:r>
        <w:rPr>
          <w:rFonts w:cs="Times New Roman"/>
          <w:szCs w:val="32"/>
        </w:rPr>
        <w:t>“招人难、留人难”问题</w:t>
      </w:r>
      <w:r>
        <w:rPr>
          <w:rFonts w:hint="eastAsia" w:cs="Times New Roman"/>
          <w:szCs w:val="32"/>
        </w:rPr>
        <w:t>仍然</w:t>
      </w:r>
      <w:r>
        <w:rPr>
          <w:rFonts w:cs="Times New Roman"/>
          <w:szCs w:val="32"/>
        </w:rPr>
        <w:t>突出</w:t>
      </w:r>
      <w:r>
        <w:rPr>
          <w:rFonts w:hint="eastAsia" w:cs="Times New Roman"/>
          <w:szCs w:val="32"/>
        </w:rPr>
        <w:t>，</w:t>
      </w:r>
      <w:r>
        <w:rPr>
          <w:rFonts w:cs="Times New Roman"/>
          <w:szCs w:val="32"/>
        </w:rPr>
        <w:t>全市只有1家三甲医院</w:t>
      </w:r>
      <w:r>
        <w:rPr>
          <w:rFonts w:hint="eastAsia" w:cs="Times New Roman"/>
          <w:szCs w:val="32"/>
        </w:rPr>
        <w:t>，执业（助理）医师外流较多。</w:t>
      </w:r>
      <w:r>
        <w:rPr>
          <w:rFonts w:cs="Times New Roman"/>
          <w:szCs w:val="32"/>
        </w:rPr>
        <w:t>综上考虑，本指标预计较难完成期末规划目标。</w:t>
      </w:r>
    </w:p>
    <w:p w14:paraId="04577042">
      <w:pPr>
        <w:pStyle w:val="49"/>
        <w:spacing w:line="600" w:lineRule="exact"/>
        <w:ind w:firstLine="643" w:firstLineChars="200"/>
        <w:rPr>
          <w:rFonts w:cs="Times New Roman"/>
          <w:szCs w:val="32"/>
        </w:rPr>
      </w:pPr>
      <w:r>
        <w:rPr>
          <w:rFonts w:eastAsia="楷体_GB2312" w:cs="Times New Roman"/>
          <w:b/>
          <w:bCs/>
          <w:szCs w:val="32"/>
        </w:rPr>
        <w:t>每千人医疗机构床位数。</w:t>
      </w:r>
      <w:r>
        <w:rPr>
          <w:rFonts w:hint="eastAsia" w:cs="Times New Roman"/>
          <w:szCs w:val="32"/>
        </w:rPr>
        <w:t>受</w:t>
      </w:r>
      <w:r>
        <w:rPr>
          <w:rFonts w:cs="Times New Roman"/>
          <w:bCs/>
          <w:color w:val="000000" w:themeColor="text1"/>
          <w:szCs w:val="36"/>
          <w14:textFill>
            <w14:solidFill>
              <w14:schemeClr w14:val="tx1"/>
            </w14:solidFill>
          </w14:textFill>
        </w:rPr>
        <w:t>医疗设施建设周期较长</w:t>
      </w:r>
      <w:r>
        <w:rPr>
          <w:rFonts w:hint="eastAsia" w:cs="Times New Roman"/>
          <w:szCs w:val="32"/>
        </w:rPr>
        <w:t>、社会办医床位数增长缓慢等因素影响，</w:t>
      </w:r>
      <w:r>
        <w:rPr>
          <w:rFonts w:cs="Times New Roman"/>
          <w:spacing w:val="-4"/>
          <w:szCs w:val="32"/>
        </w:rPr>
        <w:t>2022</w:t>
      </w:r>
      <w:r>
        <w:rPr>
          <w:rFonts w:cs="Times New Roman"/>
          <w:szCs w:val="32"/>
        </w:rPr>
        <w:t>年全市每千人医疗机构床位数为3.36张，两年累计提高0.27张、实现度仅为9.9%，与“2025年5.83张”的规划目标差距较大。</w:t>
      </w:r>
      <w:r>
        <w:rPr>
          <w:rFonts w:hint="eastAsia" w:cs="Times New Roman"/>
          <w:szCs w:val="32"/>
        </w:rPr>
        <w:t>该指标在参照温州市的规划目标要求的基础上（4.2张），提高要求设置（5.83张），提高目标产生的床位缺口，缺少相应的新项目支撑；在建医疗项目建设进度未达预期，进一步影响床位数增长</w:t>
      </w:r>
      <w:r>
        <w:rPr>
          <w:rFonts w:cs="Times New Roman"/>
          <w:szCs w:val="32"/>
        </w:rPr>
        <w:t>。综上考虑，本指标预计较难完成期末规划目标。</w:t>
      </w:r>
    </w:p>
    <w:p w14:paraId="3955AAD5">
      <w:pPr>
        <w:ind w:firstLine="641"/>
        <w:rPr>
          <w:rFonts w:ascii="Times New Roman" w:hAnsi="Times New Roman" w:cs="Times New Roman"/>
          <w:szCs w:val="32"/>
        </w:rPr>
      </w:pPr>
      <w:r>
        <w:rPr>
          <w:rFonts w:ascii="Times New Roman" w:hAnsi="Times New Roman" w:cs="Times New Roman"/>
          <w:b/>
          <w:bCs/>
          <w:szCs w:val="32"/>
        </w:rPr>
        <w:t>单位GDP能耗降幅。</w:t>
      </w:r>
      <w:r>
        <w:rPr>
          <w:rFonts w:ascii="Times New Roman" w:hAnsi="Times New Roman" w:cs="Times New Roman"/>
          <w:szCs w:val="32"/>
        </w:rPr>
        <w:t>2021、2022年全市单位GDP能耗降幅未达到下降指标，</w:t>
      </w:r>
      <w:r>
        <w:rPr>
          <w:rFonts w:hint="eastAsia" w:ascii="Times New Roman" w:hAnsi="Times New Roman" w:cs="Times New Roman"/>
          <w:szCs w:val="32"/>
        </w:rPr>
        <w:t>不降反增，两年累计增加0.5%，“十四五”后三年需年均下降5.2%，才可实现规划目标。一方面，全市</w:t>
      </w:r>
      <w:r>
        <w:rPr>
          <w:rFonts w:ascii="Times New Roman" w:hAnsi="Times New Roman" w:cs="Times New Roman"/>
          <w:szCs w:val="32"/>
        </w:rPr>
        <w:t>单位GDP能耗基数已较低</w:t>
      </w:r>
      <w:r>
        <w:rPr>
          <w:rFonts w:hint="eastAsia" w:ascii="Times New Roman" w:hAnsi="Times New Roman" w:cs="Times New Roman"/>
          <w:szCs w:val="32"/>
        </w:rPr>
        <w:t>，下降空间有限；另一方面，</w:t>
      </w:r>
      <w:r>
        <w:rPr>
          <w:rFonts w:ascii="Times New Roman" w:hAnsi="Times New Roman" w:cs="Times New Roman"/>
          <w:szCs w:val="32"/>
        </w:rPr>
        <w:t>经济增长对能源的刚性需求并未减弱，全市电力、热力等能源需求仍维持增长</w:t>
      </w:r>
      <w:r>
        <w:rPr>
          <w:rFonts w:hint="eastAsia" w:ascii="Times New Roman" w:hAnsi="Times New Roman" w:cs="Times New Roman"/>
          <w:szCs w:val="32"/>
        </w:rPr>
        <w:t>。综上考虑，</w:t>
      </w:r>
      <w:r>
        <w:rPr>
          <w:rFonts w:cs="Times New Roman"/>
          <w:szCs w:val="32"/>
        </w:rPr>
        <w:t>本指标预计较难完成期末规划目标。</w:t>
      </w:r>
    </w:p>
    <w:p w14:paraId="2F71A575">
      <w:pPr>
        <w:ind w:firstLine="640" w:firstLineChars="200"/>
        <w:outlineLvl w:val="0"/>
        <w:rPr>
          <w:rFonts w:ascii="Times New Roman" w:hAnsi="Times New Roman" w:eastAsia="黑体" w:cs="Times New Roman"/>
          <w:szCs w:val="40"/>
          <w:shd w:val="clear" w:color="auto" w:fill="FFFFFF" w:themeFill="background1"/>
        </w:rPr>
      </w:pPr>
      <w:bookmarkStart w:id="63" w:name="_Toc15366"/>
      <w:r>
        <w:rPr>
          <w:rFonts w:hint="eastAsia" w:ascii="Times New Roman" w:hAnsi="Times New Roman" w:eastAsia="黑体" w:cs="Times New Roman"/>
          <w:szCs w:val="40"/>
          <w:shd w:val="clear" w:color="auto" w:fill="FFFFFF" w:themeFill="background1"/>
        </w:rPr>
        <w:t>五</w:t>
      </w:r>
      <w:r>
        <w:rPr>
          <w:rFonts w:ascii="Times New Roman" w:hAnsi="Times New Roman" w:eastAsia="黑体" w:cs="Times New Roman"/>
          <w:szCs w:val="40"/>
          <w:shd w:val="clear" w:color="auto" w:fill="FFFFFF" w:themeFill="background1"/>
        </w:rPr>
        <w:t>、进一步实施“十四五”规划纲要的对策措施</w:t>
      </w:r>
      <w:bookmarkEnd w:id="59"/>
      <w:bookmarkEnd w:id="63"/>
    </w:p>
    <w:p w14:paraId="2CF594C9">
      <w:pPr>
        <w:ind w:firstLine="640" w:firstLineChars="200"/>
        <w:rPr>
          <w:rFonts w:ascii="仿宋_GB2312" w:hAnsi="黑体"/>
          <w:szCs w:val="32"/>
        </w:rPr>
      </w:pPr>
      <w:bookmarkStart w:id="64" w:name="_Toc22691"/>
      <w:r>
        <w:rPr>
          <w:rFonts w:hint="eastAsia" w:ascii="仿宋_GB2312" w:hAnsi="黑体"/>
          <w:szCs w:val="32"/>
        </w:rPr>
        <w:t>展望“十四五”后半期发展，面对复杂严峻的国内外环境和多重超预期因素叠加冲击，以习近平新时代中国特色社会主义思想为指引，认真学习贯彻党的二十大精神，以忠实践行“八八战略”、努力打造“重要窗口”为主题主线，以高质量发展为首要任务，大力实施三个“一号工程”“十项重大工程”，全面推进“四大振兴”，争政策、争要素、争位次、争荣誉、争试点，奋力打造共同富裕和中国式现代化瑞安样板。</w:t>
      </w:r>
    </w:p>
    <w:p w14:paraId="33A08E0C">
      <w:pPr>
        <w:pStyle w:val="9"/>
        <w:spacing w:line="600" w:lineRule="exact"/>
        <w:ind w:firstLine="643" w:firstLineChars="200"/>
        <w:outlineLvl w:val="1"/>
        <w:rPr>
          <w:rFonts w:ascii="Times New Roman" w:hAnsi="Times New Roman" w:cs="Times New Roman"/>
          <w:b/>
          <w:bCs/>
          <w:shd w:val="clear" w:color="auto" w:fill="FFFFFF" w:themeFill="background1"/>
        </w:rPr>
      </w:pPr>
      <w:bookmarkStart w:id="65" w:name="_Toc14314"/>
      <w:r>
        <w:rPr>
          <w:rFonts w:ascii="Times New Roman" w:hAnsi="Times New Roman" w:cs="Times New Roman"/>
          <w:b/>
          <w:bCs/>
          <w:shd w:val="clear" w:color="auto" w:fill="FFFFFF" w:themeFill="background1"/>
        </w:rPr>
        <w:t>（一）强链条兴业态，提升现代产业综合实力</w:t>
      </w:r>
      <w:bookmarkEnd w:id="64"/>
      <w:bookmarkEnd w:id="65"/>
    </w:p>
    <w:p w14:paraId="6929833B">
      <w:pPr>
        <w:ind w:firstLine="643" w:firstLineChars="200"/>
        <w:rPr>
          <w:rFonts w:hint="eastAsia" w:ascii="仿宋_GB2312" w:hAnsiTheme="majorEastAsia"/>
          <w:szCs w:val="32"/>
        </w:rPr>
      </w:pPr>
      <w:r>
        <w:rPr>
          <w:rFonts w:ascii="Times New Roman" w:hAnsi="Times New Roman" w:cs="Times New Roman"/>
          <w:b/>
          <w:bCs/>
          <w:szCs w:val="40"/>
          <w:shd w:val="clear" w:color="auto" w:fill="FFFFFF" w:themeFill="background1"/>
        </w:rPr>
        <w:t>1.打造“世界级+区域级”先进制造业集群。</w:t>
      </w:r>
      <w:r>
        <w:rPr>
          <w:rFonts w:ascii="Times New Roman" w:hAnsi="Times New Roman" w:cs="Times New Roman"/>
          <w:szCs w:val="40"/>
          <w:shd w:val="clear" w:color="auto" w:fill="FFFFFF" w:themeFill="background1"/>
        </w:rPr>
        <w:t>围绕构建“321”现代产业集群体系，以产业链链长制为抓手，布局一批链主领航强基、链属增资扩产项目</w:t>
      </w:r>
      <w:r>
        <w:rPr>
          <w:rFonts w:ascii="Times New Roman" w:hAnsi="Times New Roman" w:cs="Times New Roman"/>
        </w:rPr>
        <w:t>，</w:t>
      </w:r>
      <w:r>
        <w:rPr>
          <w:rFonts w:ascii="Times New Roman" w:hAnsi="Times New Roman" w:cs="Times New Roman"/>
          <w:szCs w:val="40"/>
          <w:shd w:val="clear" w:color="auto" w:fill="FFFFFF" w:themeFill="background1"/>
        </w:rPr>
        <w:t>争取更多细分赛道融入省级体系，</w:t>
      </w:r>
      <w:r>
        <w:rPr>
          <w:rFonts w:ascii="Times New Roman" w:hAnsi="Times New Roman" w:cs="Times New Roman"/>
        </w:rPr>
        <w:t>全力构建汽车零部件、化工等9条自主安全可控的重点产业链，打造全国最大的世界级汽车零部件后市场供应基地、区域优势特色的机械电子基地、地域特色的高分子材料产业园区、时尚轻工区域品牌建设示范区、数字经济赋能传统产业新标杆</w:t>
      </w:r>
      <w:r>
        <w:rPr>
          <w:rFonts w:ascii="Times New Roman" w:hAnsi="Times New Roman" w:cs="Times New Roman"/>
          <w:szCs w:val="40"/>
          <w:shd w:val="clear" w:color="auto" w:fill="FFFFFF" w:themeFill="background1"/>
        </w:rPr>
        <w:t>。</w:t>
      </w:r>
      <w:r>
        <w:rPr>
          <w:rFonts w:ascii="Times New Roman" w:hAnsi="Times New Roman" w:cs="Times New Roman"/>
          <w:bCs/>
          <w:szCs w:val="32"/>
        </w:rPr>
        <w:t>滚动更新产业招商地图</w:t>
      </w:r>
      <w:r>
        <w:rPr>
          <w:rFonts w:ascii="Times New Roman" w:hAnsi="Times New Roman" w:cs="Times New Roman"/>
          <w:szCs w:val="40"/>
          <w:shd w:val="clear" w:color="auto" w:fill="FFFFFF" w:themeFill="background1"/>
        </w:rPr>
        <w:t>，落实“谋划-储备-盯引-签约-落地-开工”一条龙服务，每年招引10亿元以上</w:t>
      </w:r>
      <w:r>
        <w:rPr>
          <w:rFonts w:ascii="Times New Roman" w:hAnsi="Times New Roman" w:cs="Times New Roman"/>
          <w:bCs/>
          <w:szCs w:val="32"/>
        </w:rPr>
        <w:t>重大产业项目</w:t>
      </w:r>
      <w:r>
        <w:rPr>
          <w:rFonts w:hint="eastAsia" w:ascii="Times New Roman" w:hAnsi="Times New Roman" w:cs="Times New Roman"/>
          <w:bCs/>
          <w:szCs w:val="32"/>
        </w:rPr>
        <w:t>5</w:t>
      </w:r>
      <w:r>
        <w:rPr>
          <w:rFonts w:ascii="Times New Roman" w:hAnsi="Times New Roman" w:cs="Times New Roman"/>
          <w:bCs/>
          <w:szCs w:val="32"/>
        </w:rPr>
        <w:t>个以上，</w:t>
      </w:r>
      <w:r>
        <w:rPr>
          <w:rFonts w:ascii="Times New Roman" w:hAnsi="Times New Roman" w:cs="Times New Roman"/>
          <w:szCs w:val="40"/>
          <w:shd w:val="clear" w:color="auto" w:fill="FFFFFF" w:themeFill="background1"/>
        </w:rPr>
        <w:t>每</w:t>
      </w:r>
      <w:r>
        <w:rPr>
          <w:rFonts w:ascii="Times New Roman" w:hAnsi="Times New Roman" w:cs="Times New Roman"/>
          <w:bCs/>
          <w:szCs w:val="32"/>
        </w:rPr>
        <w:t>年竣工投产10亿元以上制造业重大项目2个以上，制造业投资年均增长12%以上。打响“单项冠军”之城、“专精特新”之城“双品牌”，阶梯式培育“小微企业-规上企业-隐形冠军企业-小巨人企业-单项冠军企业-上市企业”。深入开展</w:t>
      </w:r>
      <w:r>
        <w:rPr>
          <w:rFonts w:ascii="Times New Roman" w:hAnsi="Times New Roman" w:cs="Times New Roman"/>
          <w:szCs w:val="32"/>
        </w:rPr>
        <w:t>浙江精品培育、新一轮质量提升、“标准化+”等行动，</w:t>
      </w:r>
      <w:r>
        <w:rPr>
          <w:rFonts w:ascii="Times New Roman" w:hAnsi="Times New Roman" w:cs="Times New Roman"/>
          <w:szCs w:val="40"/>
          <w:shd w:val="clear" w:color="auto" w:fill="FFFFFF" w:themeFill="background1"/>
        </w:rPr>
        <w:t>争创国家知识产权强县建设示范县。</w:t>
      </w:r>
      <w:r>
        <w:rPr>
          <w:rFonts w:ascii="Times New Roman" w:hAnsi="Times New Roman" w:cs="Times New Roman"/>
          <w:bCs/>
          <w:szCs w:val="32"/>
        </w:rPr>
        <w:t>力争</w:t>
      </w:r>
      <w:r>
        <w:rPr>
          <w:rFonts w:hint="eastAsia" w:ascii="Times New Roman" w:hAnsi="Times New Roman" w:cs="Times New Roman"/>
          <w:bCs/>
          <w:szCs w:val="32"/>
        </w:rPr>
        <w:t>每年新增</w:t>
      </w:r>
      <w:r>
        <w:rPr>
          <w:rFonts w:hint="eastAsia" w:ascii="仿宋_GB2312" w:hAnsiTheme="majorEastAsia"/>
          <w:szCs w:val="32"/>
        </w:rPr>
        <w:t>省隐形冠军企业3家、品字标企业10家、专精特新企业100家、小升规200家、亿元企业20家、挂牌企业20家、上市报会（辅导）企业5家。</w:t>
      </w:r>
    </w:p>
    <w:p w14:paraId="339BF41D">
      <w:pPr>
        <w:ind w:firstLine="643" w:firstLineChars="200"/>
        <w:rPr>
          <w:rFonts w:ascii="Times New Roman" w:hAnsi="Times New Roman" w:cs="Times New Roman"/>
          <w:szCs w:val="40"/>
          <w:shd w:val="clear" w:color="auto" w:fill="FFFFFF" w:themeFill="background1"/>
        </w:rPr>
      </w:pPr>
      <w:r>
        <w:rPr>
          <w:rFonts w:ascii="Times New Roman" w:hAnsi="Times New Roman" w:cs="Times New Roman"/>
          <w:b/>
          <w:bCs/>
          <w:szCs w:val="40"/>
          <w:shd w:val="clear" w:color="auto" w:fill="FFFFFF" w:themeFill="background1"/>
        </w:rPr>
        <w:t>2.高水平建设先进制造业与现代服务业融合发展示范市。</w:t>
      </w:r>
      <w:r>
        <w:rPr>
          <w:rFonts w:ascii="Times New Roman" w:hAnsi="Times New Roman" w:cs="Times New Roman"/>
          <w:szCs w:val="40"/>
          <w:shd w:val="clear" w:color="auto" w:fill="FFFFFF" w:themeFill="background1"/>
        </w:rPr>
        <w:t>深入实施服务业高质量发展“十百千”工程，形成一批具有引领作用的服务业重点平台、重大项目、企业、人才。2023-2025年，实施10亿级服务业重大项目5个以上，推动</w:t>
      </w:r>
      <w:r>
        <w:rPr>
          <w:rFonts w:hint="eastAsia" w:ascii="Times New Roman" w:hAnsi="Times New Roman" w:cs="Times New Roman"/>
          <w:szCs w:val="40"/>
          <w:shd w:val="clear" w:color="auto" w:fill="FFFFFF" w:themeFill="background1"/>
        </w:rPr>
        <w:t>瑞安</w:t>
      </w:r>
      <w:r>
        <w:rPr>
          <w:rFonts w:ascii="Times New Roman" w:hAnsi="Times New Roman" w:cs="Times New Roman"/>
          <w:szCs w:val="40"/>
          <w:shd w:val="clear" w:color="auto" w:fill="FFFFFF" w:themeFill="background1"/>
        </w:rPr>
        <w:t>侨贸物流</w:t>
      </w:r>
      <w:r>
        <w:rPr>
          <w:rFonts w:hint="eastAsia" w:ascii="Times New Roman" w:hAnsi="Times New Roman" w:cs="Times New Roman"/>
          <w:szCs w:val="40"/>
          <w:shd w:val="clear" w:color="auto" w:fill="FFFFFF" w:themeFill="background1"/>
        </w:rPr>
        <w:t>创新发展区</w:t>
      </w:r>
      <w:r>
        <w:rPr>
          <w:rFonts w:ascii="Times New Roman" w:hAnsi="Times New Roman" w:cs="Times New Roman"/>
          <w:szCs w:val="40"/>
          <w:shd w:val="clear" w:color="auto" w:fill="FFFFFF" w:themeFill="background1"/>
        </w:rPr>
        <w:t>、数贸金融港创新发展区争创省级高能级现代服务业创新发展区。</w:t>
      </w:r>
      <w:r>
        <w:rPr>
          <w:rFonts w:ascii="Times New Roman" w:hAnsi="Times New Roman" w:cs="Times New Roman"/>
          <w:color w:val="000000" w:themeColor="text1"/>
          <w:kern w:val="21"/>
          <w:szCs w:val="32"/>
          <w:shd w:val="clear" w:color="auto" w:fill="FFFFFF"/>
          <w14:textFill>
            <w14:solidFill>
              <w14:schemeClr w14:val="tx1"/>
            </w14:solidFill>
          </w14:textFill>
        </w:rPr>
        <w:t>全面开展生产性服务业“强翼行动”，重点发展科技服务、信息服务、创意设计、商务服务、现代物流、现代金融等六大重点生产性服务业，积极推动新业态向中心城区集聚，着力引进全国性、区域性总部，</w:t>
      </w:r>
      <w:r>
        <w:rPr>
          <w:rFonts w:ascii="Times New Roman" w:hAnsi="Times New Roman" w:cs="Times New Roman"/>
          <w:bCs/>
          <w:szCs w:val="32"/>
        </w:rPr>
        <w:t>引领带动个性化定制、共享制造、供应链管理等服务型制造新业态新模式发展。到2025年，力争全市生产性服务业实现增加值</w:t>
      </w:r>
      <w:r>
        <w:rPr>
          <w:rFonts w:hint="eastAsia" w:ascii="Times New Roman" w:hAnsi="Times New Roman" w:cs="Times New Roman"/>
          <w:bCs/>
          <w:szCs w:val="32"/>
        </w:rPr>
        <w:t>480</w:t>
      </w:r>
      <w:r>
        <w:rPr>
          <w:rFonts w:ascii="Times New Roman" w:hAnsi="Times New Roman" w:cs="Times New Roman"/>
          <w:bCs/>
          <w:szCs w:val="32"/>
        </w:rPr>
        <w:t>亿元左右，占服务业增加值比重达60%。联动推进兴消费旺市场十大行动、智慧商圈“四化”提升、夜间经济六大品牌创建、百亿级特色智慧商圈矩阵建设等工作，加快生活服务业转型步伐。</w:t>
      </w:r>
    </w:p>
    <w:p w14:paraId="29327D44">
      <w:pPr>
        <w:ind w:firstLine="643" w:firstLineChars="200"/>
        <w:rPr>
          <w:rFonts w:ascii="Times New Roman" w:hAnsi="Times New Roman" w:cs="Times New Roman"/>
          <w:b/>
          <w:bCs/>
          <w:szCs w:val="32"/>
        </w:rPr>
      </w:pPr>
      <w:r>
        <w:rPr>
          <w:rFonts w:ascii="Times New Roman" w:hAnsi="Times New Roman" w:cs="Times New Roman"/>
          <w:b/>
          <w:bCs/>
          <w:szCs w:val="40"/>
          <w:shd w:val="clear" w:color="auto" w:fill="FFFFFF" w:themeFill="background1"/>
        </w:rPr>
        <w:t>3.</w:t>
      </w:r>
      <w:r>
        <w:rPr>
          <w:rFonts w:hint="eastAsia" w:ascii="Times New Roman" w:hAnsi="Times New Roman" w:cs="Times New Roman"/>
          <w:b/>
          <w:bCs/>
          <w:szCs w:val="40"/>
          <w:shd w:val="clear" w:color="auto" w:fill="FFFFFF" w:themeFill="background1"/>
        </w:rPr>
        <w:t>提质</w:t>
      </w:r>
      <w:r>
        <w:rPr>
          <w:rFonts w:ascii="Times New Roman" w:hAnsi="Times New Roman" w:cs="Times New Roman"/>
          <w:b/>
          <w:bCs/>
          <w:szCs w:val="40"/>
          <w:shd w:val="clear" w:color="auto" w:fill="FFFFFF" w:themeFill="background1"/>
        </w:rPr>
        <w:t>打造“3+N”现代产业平台体系。</w:t>
      </w:r>
      <w:r>
        <w:rPr>
          <w:rFonts w:ascii="Times New Roman" w:hAnsi="Times New Roman" w:cs="Times New Roman"/>
          <w:szCs w:val="40"/>
          <w:shd w:val="clear" w:color="auto" w:fill="FFFFFF" w:themeFill="background1"/>
        </w:rPr>
        <w:t>聚焦“万亩千亿”新产业平台、经济开发区和海洋经济区，全面铺开“顶层设计、空间拓展、路网贯通、项目落地”四大工程，推动“万亩千亿”新产业平台向“全国一流、全球有影响的智能汽车关键零部件产业基地”目标加速迈进，经济开发区力争列入省高能级战略平台培育名单、争创国家级经济开发区，海洋经济区谋划打造海洋清洁能源产业集群。</w:t>
      </w:r>
      <w:r>
        <w:rPr>
          <w:rFonts w:ascii="Times New Roman" w:hAnsi="Times New Roman" w:cs="Times New Roman"/>
          <w:szCs w:val="32"/>
        </w:rPr>
        <w:t>升级打造侨贸小镇、智控小镇、智配小镇等特色小镇，科学设置基础配套产业园，规范化运营管理</w:t>
      </w:r>
      <w:r>
        <w:rPr>
          <w:rFonts w:ascii="Times New Roman" w:hAnsi="Times New Roman" w:cs="Times New Roman"/>
          <w:szCs w:val="40"/>
          <w:shd w:val="clear" w:color="auto" w:fill="FFFFFF" w:themeFill="background1"/>
        </w:rPr>
        <w:t>小微园。</w:t>
      </w:r>
      <w:r>
        <w:rPr>
          <w:rFonts w:ascii="Times New Roman" w:hAnsi="Times New Roman" w:cs="Times New Roman"/>
          <w:bCs/>
          <w:szCs w:val="32"/>
        </w:rPr>
        <w:t>2023-2025年，新增省级命名特色小镇1个，新建成小微企业园</w:t>
      </w:r>
      <w:r>
        <w:rPr>
          <w:rFonts w:ascii="Times New Roman" w:hAnsi="Times New Roman" w:cs="Times New Roman"/>
          <w:bCs/>
          <w:szCs w:val="32"/>
          <w:lang w:val="en"/>
        </w:rPr>
        <w:t>6</w:t>
      </w:r>
      <w:r>
        <w:rPr>
          <w:rFonts w:ascii="Times New Roman" w:hAnsi="Times New Roman" w:cs="Times New Roman"/>
          <w:bCs/>
          <w:szCs w:val="32"/>
        </w:rPr>
        <w:t>家。</w:t>
      </w:r>
      <w:r>
        <w:rPr>
          <w:rFonts w:ascii="Times New Roman" w:hAnsi="Times New Roman" w:cs="Times New Roman"/>
          <w:szCs w:val="32"/>
        </w:rPr>
        <w:t>加快老旧开发区（园区）有机更新和扩容利用，推动工业上楼，</w:t>
      </w:r>
      <w:r>
        <w:rPr>
          <w:rFonts w:ascii="Times New Roman" w:hAnsi="Times New Roman" w:cs="Times New Roman"/>
          <w:szCs w:val="40"/>
          <w:shd w:val="clear" w:color="auto" w:fill="FFFFFF" w:themeFill="background1"/>
        </w:rPr>
        <w:t>打造一批老工业园区“脱胎换骨”示范项目。</w:t>
      </w:r>
      <w:r>
        <w:rPr>
          <w:rFonts w:hint="eastAsia" w:ascii="Times New Roman" w:hAnsi="Times New Roman" w:cs="Times New Roman"/>
          <w:szCs w:val="40"/>
          <w:shd w:val="clear" w:color="auto" w:fill="FFFFFF" w:themeFill="background1"/>
        </w:rPr>
        <w:t>提升产业园区管理运营水平，实施专业化管理、坚持专业化运营、建强专业化团队、加强专业化协作，加快构建统筹有力、运行高效、服务专业的“管委会</w:t>
      </w:r>
      <w:r>
        <w:rPr>
          <w:rFonts w:ascii="Times New Roman" w:hAnsi="Times New Roman" w:cs="Times New Roman"/>
          <w:szCs w:val="40"/>
          <w:shd w:val="clear" w:color="auto" w:fill="FFFFFF" w:themeFill="background1"/>
        </w:rPr>
        <w:t>+</w:t>
      </w:r>
      <w:r>
        <w:rPr>
          <w:rFonts w:hint="eastAsia" w:ascii="Times New Roman" w:hAnsi="Times New Roman" w:cs="Times New Roman"/>
          <w:szCs w:val="40"/>
          <w:shd w:val="clear" w:color="auto" w:fill="FFFFFF" w:themeFill="background1"/>
        </w:rPr>
        <w:t>平台公司</w:t>
      </w:r>
      <w:r>
        <w:rPr>
          <w:rFonts w:ascii="Times New Roman" w:hAnsi="Times New Roman" w:cs="Times New Roman"/>
          <w:szCs w:val="40"/>
          <w:shd w:val="clear" w:color="auto" w:fill="FFFFFF" w:themeFill="background1"/>
        </w:rPr>
        <w:t>+</w:t>
      </w:r>
      <w:r>
        <w:rPr>
          <w:rFonts w:hint="eastAsia" w:ascii="Times New Roman" w:hAnsi="Times New Roman" w:cs="Times New Roman"/>
          <w:szCs w:val="40"/>
          <w:shd w:val="clear" w:color="auto" w:fill="FFFFFF" w:themeFill="background1"/>
        </w:rPr>
        <w:t>专业公司”体制机制。</w:t>
      </w:r>
    </w:p>
    <w:p w14:paraId="7A64BB20">
      <w:pPr>
        <w:ind w:firstLine="643" w:firstLineChars="200"/>
      </w:pPr>
      <w:r>
        <w:rPr>
          <w:rFonts w:ascii="Times New Roman" w:hAnsi="Times New Roman" w:cs="Times New Roman"/>
          <w:b/>
          <w:bCs/>
          <w:kern w:val="0"/>
          <w:szCs w:val="32"/>
        </w:rPr>
        <w:t>4.</w:t>
      </w:r>
      <w:r>
        <w:rPr>
          <w:rFonts w:hint="eastAsia" w:ascii="Times New Roman" w:hAnsi="Times New Roman" w:cs="Times New Roman"/>
          <w:b/>
          <w:bCs/>
          <w:kern w:val="0"/>
          <w:szCs w:val="32"/>
        </w:rPr>
        <w:t>健全产业发展保障机制。</w:t>
      </w:r>
      <w:r>
        <w:rPr>
          <w:rFonts w:hint="eastAsia" w:ascii="Times New Roman" w:hAnsi="Times New Roman" w:cs="Times New Roman"/>
        </w:rPr>
        <w:t>坚持“资金跟着项目走、土地跟着项目走、资源跟着项目走”导向，着力破解土地、能耗、污染物排放总量指标、资金等要素制约，为项目落地创造良好环境。改革土地供给方式，新增建设用地指标重点保障重点项目建设，优先支持省级重点项目。鼓励推行“标准地”出让方式，推动项目“拿地即开工”。加大批而未供和闲置土地的盘活利用，</w:t>
      </w:r>
      <w:r>
        <w:rPr>
          <w:rFonts w:hint="eastAsia" w:ascii="Times New Roman" w:hAnsi="Times New Roman" w:cs="Times New Roman"/>
          <w:szCs w:val="40"/>
          <w:shd w:val="clear" w:color="auto" w:fill="FFFFFF" w:themeFill="background1"/>
        </w:rPr>
        <w:t>实施万亩盘活增效、万千垦造“两万”工程，</w:t>
      </w:r>
      <w:r>
        <w:rPr>
          <w:rFonts w:hint="eastAsia" w:ascii="Times New Roman" w:hAnsi="Times New Roman" w:cs="Times New Roman"/>
        </w:rPr>
        <w:t>每年完成低效工业用地整治提升</w:t>
      </w:r>
      <w:r>
        <w:rPr>
          <w:rFonts w:ascii="Times New Roman" w:hAnsi="Times New Roman" w:cs="Times New Roman"/>
        </w:rPr>
        <w:t>1800</w:t>
      </w:r>
      <w:r>
        <w:rPr>
          <w:rFonts w:hint="eastAsia" w:ascii="Times New Roman" w:hAnsi="Times New Roman" w:cs="Times New Roman"/>
        </w:rPr>
        <w:t>亩以上。</w:t>
      </w:r>
      <w:r>
        <w:rPr>
          <w:rFonts w:hint="eastAsia" w:ascii="Times New Roman" w:hAnsi="Times New Roman" w:cs="Times New Roman"/>
          <w:kern w:val="0"/>
          <w:szCs w:val="32"/>
        </w:rPr>
        <w:t>完善以贴息、风险补偿、信用保证基金、政银合作产品等为主的政策措施体系，</w:t>
      </w:r>
      <w:r>
        <w:rPr>
          <w:rFonts w:hint="eastAsia" w:ascii="Times New Roman" w:hAnsi="Times New Roman" w:cs="Times New Roman"/>
        </w:rPr>
        <w:t>加强政府投资资金统筹使用，</w:t>
      </w:r>
      <w:r>
        <w:rPr>
          <w:rFonts w:hint="eastAsia" w:ascii="Times New Roman" w:hAnsi="Times New Roman" w:cs="Times New Roman"/>
          <w:kern w:val="0"/>
          <w:szCs w:val="32"/>
        </w:rPr>
        <w:t>引导更多金融主体投入到实体经济壮大、重点项目建设、企业做优做强上来。推行能耗总量控制指标分解、污染物排放总量替代等模式，鼓励企业实施污染物减排措施，采取减排措施并发挥减排效益的单位，形成的可替代总量指标可优先用于本单位新建项目。</w:t>
      </w:r>
    </w:p>
    <w:p w14:paraId="4A40DEBA">
      <w:pPr>
        <w:pStyle w:val="9"/>
        <w:spacing w:line="600" w:lineRule="exact"/>
        <w:ind w:firstLine="643" w:firstLineChars="200"/>
        <w:outlineLvl w:val="1"/>
        <w:rPr>
          <w:rFonts w:ascii="Times New Roman" w:hAnsi="Times New Roman" w:cs="Times New Roman"/>
          <w:b/>
          <w:bCs/>
          <w:shd w:val="clear" w:color="auto" w:fill="FFFFFF" w:themeFill="background1"/>
        </w:rPr>
      </w:pPr>
      <w:bookmarkStart w:id="66" w:name="_Toc1564"/>
      <w:bookmarkStart w:id="67" w:name="_Toc26842"/>
      <w:r>
        <w:rPr>
          <w:rFonts w:ascii="Times New Roman" w:hAnsi="Times New Roman" w:cs="Times New Roman"/>
          <w:b/>
          <w:bCs/>
          <w:shd w:val="clear" w:color="auto" w:fill="FFFFFF" w:themeFill="background1"/>
        </w:rPr>
        <w:t>（二）谋创新聚人才，打造高水平创新型城市</w:t>
      </w:r>
      <w:bookmarkEnd w:id="66"/>
      <w:bookmarkEnd w:id="67"/>
    </w:p>
    <w:p w14:paraId="0A19B767">
      <w:pPr>
        <w:pStyle w:val="8"/>
        <w:spacing w:after="0"/>
        <w:ind w:firstLine="643" w:firstLineChars="200"/>
        <w:rPr>
          <w:rFonts w:ascii="仿宋_GB2312"/>
          <w:szCs w:val="32"/>
          <w:shd w:val="clear" w:color="auto" w:fill="FFFF00"/>
        </w:rPr>
      </w:pPr>
      <w:r>
        <w:rPr>
          <w:rFonts w:ascii="Times New Roman" w:hAnsi="Times New Roman" w:cs="Times New Roman"/>
          <w:b/>
          <w:bCs/>
        </w:rPr>
        <w:t>1.打造区域创新高地战略支点。</w:t>
      </w:r>
      <w:r>
        <w:rPr>
          <w:rFonts w:ascii="Times New Roman" w:hAnsi="Times New Roman" w:cs="Times New Roman"/>
        </w:rPr>
        <w:t>聚焦国家创新型县（市）创建，健全“一区一廊一芯一会”创新格局，深化温州国家自主创新示范区“瑞安园”、环大罗山科创走廊瑞安科技城建设，放大云江科创大会品牌效应，提升滨海新区东新科创芯。强化基础研究和原始创新，开展科技创新强基项目规划，每年完成重大项目（不包含网络基础设施项目）投资额超1亿元。聚力应用研究和产业技术研究，做好产业研发机构新赛道布局，到2025年实现主导产业新型研发机构全覆盖。提升高能级创新平台服务带动能力，推动</w:t>
      </w:r>
      <w:r>
        <w:rPr>
          <w:rFonts w:ascii="Times New Roman" w:hAnsi="Times New Roman" w:cs="Times New Roman"/>
          <w:szCs w:val="32"/>
        </w:rPr>
        <w:t>智能汽车关键零部件产业工程师协同创新中心、</w:t>
      </w:r>
      <w:r>
        <w:rPr>
          <w:rFonts w:hint="eastAsia" w:ascii="Times New Roman" w:hAnsi="Times New Roman" w:cs="Times New Roman"/>
          <w:szCs w:val="32"/>
        </w:rPr>
        <w:t>温州大学碳材料与氢能产业技术研究院</w:t>
      </w:r>
      <w:r>
        <w:rPr>
          <w:rFonts w:ascii="Times New Roman" w:hAnsi="Times New Roman" w:cs="Times New Roman"/>
        </w:rPr>
        <w:t>等建设，力促形成一批创新源动力。开展大孵化集群建设攻坚行动，</w:t>
      </w:r>
      <w:r>
        <w:rPr>
          <w:rFonts w:hint="eastAsia" w:ascii="Times New Roman" w:hAnsi="Times New Roman" w:cs="Times New Roman"/>
        </w:rPr>
        <w:t>到</w:t>
      </w:r>
      <w:r>
        <w:rPr>
          <w:rFonts w:ascii="Times New Roman" w:hAnsi="Times New Roman" w:cs="Times New Roman"/>
        </w:rPr>
        <w:t>2025年孵化器（众创空间）孵化场地面积达到100万平方米以上。</w:t>
      </w:r>
    </w:p>
    <w:p w14:paraId="31BD7271">
      <w:pPr>
        <w:pStyle w:val="9"/>
        <w:spacing w:line="600" w:lineRule="exact"/>
        <w:ind w:firstLine="643" w:firstLineChars="200"/>
        <w:rPr>
          <w:rFonts w:ascii="Times New Roman" w:hAnsi="Times New Roman" w:cs="Times New Roman"/>
        </w:rPr>
      </w:pPr>
      <w:r>
        <w:rPr>
          <w:rFonts w:ascii="Times New Roman" w:hAnsi="Times New Roman" w:cs="Times New Roman"/>
          <w:b/>
          <w:bCs/>
        </w:rPr>
        <w:t>2.</w:t>
      </w:r>
      <w:r>
        <w:fldChar w:fldCharType="begin"/>
      </w:r>
      <w:r>
        <w:instrText xml:space="preserve"> HYPERLINK "http://www.baidu.com/link?url=r0VQEwtOcQjsV1ASV3cmBQXe4IkFul-qF9hoerfuv6kfCuJqUIqJ-GzM_39XL_u4tjcyQiPipmRySPsjqQHfEzsymJa526sqGr-bLQcPvM3" \t "https://www.baidu.com/_blank" </w:instrText>
      </w:r>
      <w:r>
        <w:fldChar w:fldCharType="separate"/>
      </w:r>
      <w:r>
        <w:rPr>
          <w:rFonts w:ascii="Times New Roman" w:hAnsi="Times New Roman" w:cs="Times New Roman"/>
          <w:b/>
          <w:bCs/>
        </w:rPr>
        <w:t>打造科技企业“雁阵</w:t>
      </w:r>
      <w:r>
        <w:rPr>
          <w:rFonts w:hint="eastAsia" w:ascii="Times New Roman" w:hAnsi="Times New Roman" w:cs="Times New Roman"/>
          <w:b/>
          <w:bCs/>
        </w:rPr>
        <w:t>式</w:t>
      </w:r>
      <w:r>
        <w:rPr>
          <w:rFonts w:ascii="Times New Roman" w:hAnsi="Times New Roman" w:cs="Times New Roman"/>
          <w:b/>
          <w:bCs/>
        </w:rPr>
        <w:t>”梯队</w:t>
      </w:r>
      <w:r>
        <w:rPr>
          <w:rFonts w:ascii="Times New Roman" w:hAnsi="Times New Roman" w:cs="Times New Roman"/>
          <w:b/>
          <w:bCs/>
        </w:rPr>
        <w:fldChar w:fldCharType="end"/>
      </w:r>
      <w:r>
        <w:rPr>
          <w:rFonts w:ascii="Times New Roman" w:hAnsi="Times New Roman" w:cs="Times New Roman"/>
          <w:b/>
          <w:bCs/>
        </w:rPr>
        <w:t>。</w:t>
      </w:r>
      <w:r>
        <w:rPr>
          <w:rFonts w:ascii="Times New Roman" w:hAnsi="Times New Roman" w:cs="Times New Roman"/>
        </w:rPr>
        <w:t>培育壮大创新型企业梯队，实施高新技术企业新火炬培育计划、科技小巨人培育计划、“雄鹰行动”企业主体，到2025年，累计认定高新技术企业1000家、省科技型中小企业2600家。促进创新链产业链协同融合，打造“龙头企业+高校院所+行业协会”创新联合体模式，构建“企业出题、政府张榜、联合攻榜”的“揭榜挂帅”机制。2023-2025年，新增</w:t>
      </w:r>
      <w:r>
        <w:rPr>
          <w:rFonts w:ascii="Times New Roman" w:hAnsi="Times New Roman" w:cs="Times New Roman"/>
          <w:bCs/>
        </w:rPr>
        <w:t>省企业研究院3家、省企业技术中心3家，</w:t>
      </w:r>
      <w:r>
        <w:rPr>
          <w:rFonts w:ascii="Times New Roman" w:hAnsi="Times New Roman" w:cs="Times New Roman"/>
        </w:rPr>
        <w:t>规上工业企业研究开发经费占营业收入比重达3.7%。营造一流创新创业生态，推动“百亿云江基金港”增资扩容，探索“科创指数贷”“先投后股”等融资模式，做好网上技术市场创新赋能、技术产权证券化等试点工作，实施知识产权全链条集成改革。到2025年，实现年技术交易额</w:t>
      </w:r>
      <w:r>
        <w:rPr>
          <w:rFonts w:ascii="Times New Roman" w:hAnsi="Times New Roman" w:cs="Times New Roman"/>
          <w:kern w:val="2"/>
          <w:lang w:bidi="ar"/>
        </w:rPr>
        <w:t>51</w:t>
      </w:r>
      <w:r>
        <w:rPr>
          <w:rFonts w:ascii="Times New Roman" w:hAnsi="Times New Roman" w:cs="Times New Roman"/>
        </w:rPr>
        <w:t>亿元、每万人高价值发明专利拥有量7件。</w:t>
      </w:r>
    </w:p>
    <w:p w14:paraId="388AA514">
      <w:pPr>
        <w:pStyle w:val="9"/>
        <w:spacing w:line="600" w:lineRule="exact"/>
        <w:rPr>
          <w:rFonts w:ascii="Times New Roman" w:hAnsi="Times New Roman" w:cs="Times New Roman"/>
          <w:kern w:val="2"/>
          <w:szCs w:val="40"/>
          <w:shd w:val="clear" w:color="auto" w:fill="FFFFFF" w:themeFill="background1"/>
        </w:rPr>
      </w:pPr>
      <w:r>
        <w:rPr>
          <w:rFonts w:ascii="Times New Roman" w:hAnsi="Times New Roman" w:cs="Times New Roman"/>
          <w:b/>
          <w:bCs/>
        </w:rPr>
        <w:t>3.打造区域重要人才中心。</w:t>
      </w:r>
      <w:r>
        <w:rPr>
          <w:rFonts w:ascii="Times New Roman" w:hAnsi="Times New Roman" w:cs="Times New Roman"/>
        </w:rPr>
        <w:t>开展人才引育“个十百千万”行动计划，办好“院士温州行”、“百名博士家乡行”、创新创业大赛、“</w:t>
      </w:r>
      <w:r>
        <w:rPr>
          <w:rFonts w:ascii="Times New Roman" w:hAnsi="Times New Roman" w:cs="Times New Roman"/>
          <w:kern w:val="2"/>
          <w:lang w:bidi="ar"/>
        </w:rPr>
        <w:t>千企百校”人才合作对接会</w:t>
      </w:r>
      <w:r>
        <w:rPr>
          <w:rFonts w:ascii="Times New Roman" w:hAnsi="Times New Roman" w:cs="Times New Roman"/>
        </w:rPr>
        <w:t>等活动，精准招引全球顶尖人才和高水平创新创业团队。2023-2025年，新增领军型创新创业人才30人、海内外高层次人才500人、高技能人才13500人、大学生6万人。推动产业与人才深度融合，构建产教训融合、政企社协同、育选用贯通的产业人才培育体系，完善市场化人才认定机制，探索实行“技术高管”“产业教授”制度。营造“近悦远来”浓厚引才氛围，深入落实人才新政4.0，做细做实人才服务体系，注重解决人才子女入学、住房安居、医疗保障等“关键小事”。</w:t>
      </w:r>
    </w:p>
    <w:p w14:paraId="5E03551B">
      <w:pPr>
        <w:pStyle w:val="9"/>
        <w:spacing w:line="600" w:lineRule="exact"/>
        <w:ind w:firstLine="643" w:firstLineChars="200"/>
        <w:outlineLvl w:val="1"/>
        <w:rPr>
          <w:rFonts w:ascii="Times New Roman" w:hAnsi="Times New Roman" w:cs="Times New Roman"/>
          <w:b/>
          <w:bCs/>
          <w:shd w:val="clear" w:color="auto" w:fill="FFFFFF" w:themeFill="background1"/>
        </w:rPr>
      </w:pPr>
      <w:bookmarkStart w:id="68" w:name="_Toc29979"/>
      <w:bookmarkStart w:id="69" w:name="_Toc26468"/>
      <w:r>
        <w:rPr>
          <w:rFonts w:ascii="Times New Roman" w:hAnsi="Times New Roman" w:cs="Times New Roman"/>
          <w:b/>
          <w:bCs/>
          <w:shd w:val="clear" w:color="auto" w:fill="FFFFFF" w:themeFill="background1"/>
        </w:rPr>
        <w:t>（三）提能级塑品质，推动城市发展蝶变跃升</w:t>
      </w:r>
      <w:bookmarkEnd w:id="68"/>
      <w:bookmarkEnd w:id="69"/>
    </w:p>
    <w:p w14:paraId="54104A68">
      <w:pPr>
        <w:pStyle w:val="9"/>
        <w:spacing w:line="600" w:lineRule="exact"/>
        <w:ind w:firstLine="643" w:firstLineChars="200"/>
        <w:rPr>
          <w:rFonts w:ascii="Times New Roman" w:hAnsi="Times New Roman" w:cs="Times New Roman"/>
        </w:rPr>
      </w:pPr>
      <w:r>
        <w:rPr>
          <w:rFonts w:ascii="Times New Roman" w:hAnsi="Times New Roman" w:cs="Times New Roman"/>
          <w:b/>
          <w:bCs/>
        </w:rPr>
        <w:t>1.打造温州大都市区主中心南部新区。</w:t>
      </w:r>
      <w:r>
        <w:rPr>
          <w:rFonts w:ascii="Times New Roman" w:hAnsi="Times New Roman" w:cs="Times New Roman"/>
        </w:rPr>
        <w:t>优化城乡布局，坚持温瑞一体、拥江面海，聚焦产业人口回归、辐射龙平文苍泰，联动推进空间规划、公共设施等“六个一体化”，提速建设巾子山城市客厅、南滨江景观带等地标，以城市封面巨著推动城区常住人口突破百万，不断优化“一心两翼三带”城市格局。强化</w:t>
      </w:r>
      <w:r>
        <w:rPr>
          <w:rFonts w:hint="eastAsia" w:ascii="Times New Roman" w:hAnsi="Times New Roman" w:cs="Times New Roman"/>
        </w:rPr>
        <w:t>安阳</w:t>
      </w:r>
      <w:r>
        <w:rPr>
          <w:rFonts w:ascii="Times New Roman" w:hAnsi="Times New Roman" w:cs="Times New Roman"/>
        </w:rPr>
        <w:t>中心</w:t>
      </w:r>
      <w:r>
        <w:rPr>
          <w:rFonts w:hint="eastAsia" w:ascii="Times New Roman" w:hAnsi="Times New Roman" w:cs="Times New Roman"/>
        </w:rPr>
        <w:t>城区</w:t>
      </w:r>
      <w:r>
        <w:rPr>
          <w:rFonts w:ascii="Times New Roman" w:hAnsi="Times New Roman" w:cs="Times New Roman"/>
        </w:rPr>
        <w:t>引领作用，</w:t>
      </w:r>
      <w:r>
        <w:rPr>
          <w:rFonts w:hint="eastAsia" w:ascii="Times New Roman" w:hAnsi="Times New Roman" w:cs="Times New Roman"/>
        </w:rPr>
        <w:t>推动高铁新城和城市芯综合开发，</w:t>
      </w:r>
      <w:r>
        <w:rPr>
          <w:rFonts w:ascii="Times New Roman" w:hAnsi="Times New Roman" w:cs="Times New Roman"/>
        </w:rPr>
        <w:t>联动推进百大团块征地拆改、百大城市精建精美“双百”项目，统筹</w:t>
      </w:r>
      <w:r>
        <w:rPr>
          <w:rFonts w:hint="eastAsia" w:ascii="Times New Roman" w:hAnsi="Times New Roman" w:cs="Times New Roman"/>
        </w:rPr>
        <w:t>建设</w:t>
      </w:r>
      <w:r>
        <w:rPr>
          <w:rFonts w:ascii="Times New Roman" w:hAnsi="Times New Roman" w:cs="Times New Roman"/>
        </w:rPr>
        <w:t>瑞安外滩</w:t>
      </w:r>
      <w:r>
        <w:rPr>
          <w:rFonts w:hint="eastAsia" w:ascii="Times New Roman" w:hAnsi="Times New Roman" w:cs="Times New Roman"/>
        </w:rPr>
        <w:t>等</w:t>
      </w:r>
      <w:r>
        <w:rPr>
          <w:rFonts w:ascii="Times New Roman" w:hAnsi="Times New Roman" w:cs="Times New Roman"/>
        </w:rPr>
        <w:t>五大亮点区块，加快老旧小区改造、省级未来社区试点、</w:t>
      </w:r>
      <w:r>
        <w:rPr>
          <w:rFonts w:ascii="Times New Roman" w:hAnsi="Times New Roman" w:cs="Times New Roman"/>
          <w:color w:val="000000" w:themeColor="text1"/>
          <w:kern w:val="21"/>
          <w:shd w:val="clear" w:color="auto" w:fill="FFFFFF"/>
          <w14:textFill>
            <w14:solidFill>
              <w14:schemeClr w14:val="tx1"/>
            </w14:solidFill>
          </w14:textFill>
        </w:rPr>
        <w:t>省级风貌样板区</w:t>
      </w:r>
      <w:r>
        <w:rPr>
          <w:rFonts w:ascii="Times New Roman" w:hAnsi="Times New Roman" w:cs="Times New Roman"/>
        </w:rPr>
        <w:t>建设。提升城市综合承载力，加速路网、水网、气网、信息网等“多网”融合，联动实施海绵城市、韧性城市、新型“智慧城市”建设，</w:t>
      </w:r>
      <w:r>
        <w:rPr>
          <w:rFonts w:hint="eastAsia" w:ascii="Times New Roman" w:hAnsi="Times New Roman" w:cs="Times New Roman"/>
        </w:rPr>
        <w:t>争取实施瓯江引水延伸工程、林宅—潘山渠道引水工程、滩脚堰坝引水工程</w:t>
      </w:r>
      <w:r>
        <w:rPr>
          <w:rFonts w:ascii="Times New Roman" w:hAnsi="Times New Roman" w:cs="Times New Roman"/>
        </w:rPr>
        <w:t>，抓好天然气置换、照明设施节能化改造等工程</w:t>
      </w:r>
      <w:r>
        <w:rPr>
          <w:rFonts w:hint="eastAsia" w:ascii="Times New Roman" w:hAnsi="Times New Roman" w:cs="Times New Roman"/>
        </w:rPr>
        <w:t>。加快山区跨越式发展，推动陶山镇、桐浦镇、湖岭镇、林川镇、芳庄乡、马屿镇、曹村镇、高楼镇、平阳坑镇等中西部乡镇进一步补齐基础设施、公共事业、乡村旅游等短板，分类引导小城镇特色发展和乡村振兴，依法依规提供土地保障。分步实施，加快推进全市范围内拆迁安置、保障性住房、安置留地建设、老旧工业区改造提升、低效土地利用。</w:t>
      </w:r>
    </w:p>
    <w:p w14:paraId="249C2BAD">
      <w:pPr>
        <w:pStyle w:val="2"/>
        <w:ind w:firstLine="643" w:firstLineChars="200"/>
        <w:rPr>
          <w:rFonts w:ascii="仿宋_GB2312"/>
          <w:szCs w:val="32"/>
          <w:shd w:val="clear" w:color="auto" w:fill="FFFF00"/>
        </w:rPr>
      </w:pPr>
      <w:r>
        <w:rPr>
          <w:rFonts w:ascii="Times New Roman" w:hAnsi="Times New Roman" w:cs="Times New Roman"/>
          <w:b/>
          <w:bCs/>
        </w:rPr>
        <w:t>2.打造温州南部综合交通枢纽。</w:t>
      </w:r>
      <w:r>
        <w:rPr>
          <w:rFonts w:ascii="Times New Roman" w:hAnsi="Times New Roman" w:cs="Times New Roman"/>
        </w:rPr>
        <w:t>围绕“1+2出行圈”建设，配合温州力争开工温福高铁，加速推进温武吉铁路项目前期工作，实现杭州、宁波等省内城市1小时交通圈，上海、福州等周边省市2小时交通圈。着眼同城共振，加快构建“两横三纵一连”的高速公路网、“三横四纵”的国省干线网络体系，加密农村公路网络。聚焦温瑞一体，加快建设市域铁路S3线一期瑞安段</w:t>
      </w:r>
      <w:r>
        <w:rPr>
          <w:rFonts w:hint="eastAsia" w:ascii="Times New Roman" w:hAnsi="Times New Roman" w:cs="Times New Roman"/>
        </w:rPr>
        <w:t>等轨道交通</w:t>
      </w:r>
      <w:r>
        <w:rPr>
          <w:rFonts w:ascii="Times New Roman" w:hAnsi="Times New Roman" w:cs="Times New Roman"/>
        </w:rPr>
        <w:t>，</w:t>
      </w:r>
      <w:r>
        <w:rPr>
          <w:rFonts w:hint="eastAsia" w:ascii="Times New Roman" w:hAnsi="Times New Roman" w:cs="Times New Roman"/>
        </w:rPr>
        <w:t>加快建设</w:t>
      </w:r>
      <w:r>
        <w:rPr>
          <w:rFonts w:ascii="Times New Roman" w:hAnsi="Times New Roman" w:cs="Times New Roman"/>
        </w:rPr>
        <w:t>塘岙底隧道、南山隧道及永宁大桥等城市快速路及主干路网。</w:t>
      </w:r>
      <w:r>
        <w:rPr>
          <w:rFonts w:hint="eastAsia" w:ascii="Times New Roman" w:hAnsi="Times New Roman" w:cs="Times New Roman"/>
        </w:rPr>
        <w:t>围绕温州打造东南沿海重要枢纽港定位，加快</w:t>
      </w:r>
      <w:r>
        <w:rPr>
          <w:rFonts w:ascii="Times New Roman" w:hAnsi="Times New Roman" w:cs="Times New Roman"/>
        </w:rPr>
        <w:t>瑞安东山综合陆岛交通码头、上望作业区一期工程、凤凰山作业区综合开发工程等项目</w:t>
      </w:r>
      <w:r>
        <w:rPr>
          <w:rFonts w:hint="eastAsia" w:ascii="Times New Roman" w:hAnsi="Times New Roman" w:cs="Times New Roman"/>
        </w:rPr>
        <w:t>建设</w:t>
      </w:r>
      <w:r>
        <w:rPr>
          <w:rFonts w:ascii="Times New Roman" w:hAnsi="Times New Roman" w:cs="Times New Roman"/>
        </w:rPr>
        <w:t>，服务北龙、北麂、南麂等海上客运需求和</w:t>
      </w:r>
      <w:r>
        <w:rPr>
          <w:rFonts w:hint="eastAsia" w:ascii="Times New Roman" w:hAnsi="Times New Roman" w:cs="Times New Roman"/>
        </w:rPr>
        <w:t>构建</w:t>
      </w:r>
      <w:r>
        <w:rPr>
          <w:rFonts w:ascii="Times New Roman" w:hAnsi="Times New Roman" w:cs="Times New Roman"/>
        </w:rPr>
        <w:t>多式联运的温州南部水上交通枢纽</w:t>
      </w:r>
      <w:r>
        <w:rPr>
          <w:rFonts w:hint="eastAsia" w:ascii="Times New Roman" w:hAnsi="Times New Roman" w:cs="Times New Roman"/>
        </w:rPr>
        <w:t>；谋划打造以凤凰山岛、北龙岛为串联的万吨级港口，联动推进瓯飞工程（瑞安围垦区域）政策审批，开展北龙山作业区开发工程前期研究，打造国际化深水大港。</w:t>
      </w:r>
    </w:p>
    <w:p w14:paraId="1A3433B6">
      <w:pPr>
        <w:widowControl/>
        <w:ind w:firstLine="643" w:firstLineChars="200"/>
        <w:rPr>
          <w:rFonts w:ascii="仿宋_GB2312"/>
          <w:szCs w:val="32"/>
          <w:shd w:val="clear" w:color="auto" w:fill="FFFF00"/>
        </w:rPr>
      </w:pPr>
      <w:r>
        <w:rPr>
          <w:rFonts w:ascii="Times New Roman" w:hAnsi="Times New Roman" w:cs="Times New Roman"/>
          <w:b/>
          <w:bCs/>
        </w:rPr>
        <w:t>3.提升都市文化辨识度</w:t>
      </w:r>
      <w:r>
        <w:rPr>
          <w:rFonts w:ascii="Times New Roman" w:hAnsi="Times New Roman" w:cs="Times New Roman"/>
        </w:rPr>
        <w:t>。擦亮特色文化标识，深入推进永嘉学派研究、红色印迹研究和文化核心基因解码转化，举办南戏国际论坛，谋划“实学思想家故里行”活动，推进“玉海古迹”</w:t>
      </w:r>
      <w:r>
        <w:rPr>
          <w:rFonts w:hint="eastAsia" w:ascii="Times New Roman" w:hAnsi="Times New Roman" w:cs="Times New Roman"/>
        </w:rPr>
        <w:t>、</w:t>
      </w:r>
      <w:r>
        <w:rPr>
          <w:rFonts w:ascii="Times New Roman" w:hAnsi="Times New Roman" w:cs="Times New Roman"/>
        </w:rPr>
        <w:t>瑞安图书馆新馆、儿童文学动漫馆</w:t>
      </w:r>
      <w:r>
        <w:rPr>
          <w:rFonts w:hint="eastAsia" w:ascii="Times New Roman" w:hAnsi="Times New Roman" w:cs="Times New Roman"/>
        </w:rPr>
        <w:t>等项目建设</w:t>
      </w:r>
      <w:r>
        <w:rPr>
          <w:rFonts w:ascii="Times New Roman" w:hAnsi="Times New Roman" w:cs="Times New Roman"/>
        </w:rPr>
        <w:t>，谋划建设文化馆、美术馆、博物馆新馆、瑞安大剧院，高标准打造15分钟“品质文化生活圈、阅读服务圈、文明实践服务圈”，争创国家历史文化名城。持续推进文化产业“双百”计划、“三年百项”文产项目建设，高标准打造“两园两街区一基地”，加快塘河文化产业带、环集云山休闲文化产业园等项目建设，提高文化产业附加值和品牌竞争力。文旅赋能提升城市吸引力，实施南戏故里、小马过河、塘河夜游、木活字非遗小镇、寨寮溪星空草坪音乐小镇、都市夜光等六大文旅金名片培育计划，推动东梨文化产业园、曹村进士产业园、蓝夹缬非遗工坊创新发展。到2025年，旅游总收入达到62亿元，年均增长12%；旅游业增加值占GDP比重达到8.7%。</w:t>
      </w:r>
    </w:p>
    <w:p w14:paraId="5E72959E">
      <w:pPr>
        <w:pStyle w:val="9"/>
        <w:spacing w:line="600" w:lineRule="exact"/>
        <w:ind w:firstLine="643" w:firstLineChars="200"/>
        <w:outlineLvl w:val="1"/>
        <w:rPr>
          <w:rFonts w:ascii="Times New Roman" w:hAnsi="Times New Roman" w:cs="Times New Roman"/>
          <w:b/>
          <w:bCs/>
          <w:shd w:val="clear" w:color="auto" w:fill="FFFFFF" w:themeFill="background1"/>
        </w:rPr>
      </w:pPr>
      <w:bookmarkStart w:id="70" w:name="_Toc32205"/>
      <w:bookmarkStart w:id="71" w:name="_Toc7076"/>
      <w:r>
        <w:rPr>
          <w:rFonts w:ascii="Times New Roman" w:hAnsi="Times New Roman" w:cs="Times New Roman"/>
          <w:b/>
          <w:bCs/>
          <w:shd w:val="clear" w:color="auto" w:fill="FFFFFF" w:themeFill="background1"/>
        </w:rPr>
        <w:t>（四）造优势抓发展，聚力助推三个“一号工程”</w:t>
      </w:r>
      <w:bookmarkEnd w:id="70"/>
      <w:bookmarkEnd w:id="71"/>
    </w:p>
    <w:p w14:paraId="11256E72">
      <w:pPr>
        <w:pStyle w:val="9"/>
        <w:spacing w:line="600" w:lineRule="exact"/>
        <w:rPr>
          <w:rFonts w:ascii="Times New Roman" w:hAnsi="Times New Roman" w:cs="Times New Roman"/>
          <w:kern w:val="2"/>
          <w:szCs w:val="40"/>
          <w:shd w:val="clear" w:color="auto" w:fill="FFFFFF" w:themeFill="background1"/>
        </w:rPr>
      </w:pPr>
      <w:r>
        <w:rPr>
          <w:rFonts w:ascii="Times New Roman" w:hAnsi="Times New Roman" w:cs="Times New Roman"/>
          <w:b/>
          <w:bCs/>
          <w:kern w:val="2"/>
          <w:szCs w:val="24"/>
        </w:rPr>
        <w:t>1.推进数字经济创新提质“一号发展工程”。</w:t>
      </w:r>
      <w:r>
        <w:rPr>
          <w:rFonts w:ascii="Times New Roman" w:hAnsi="Times New Roman" w:cs="Times New Roman"/>
          <w:kern w:val="2"/>
          <w:szCs w:val="24"/>
        </w:rPr>
        <w:t>深入实施“数字经济三年翻番、五年三倍增”计划，推动云计算、大数据、移动互联网等新一代信息技术向各行业融合渗透。到2025年，数字经济核心产业增加值突破100亿元</w:t>
      </w:r>
      <w:r>
        <w:rPr>
          <w:rFonts w:hint="eastAsia" w:ascii="Times New Roman" w:hAnsi="Times New Roman" w:cs="Times New Roman"/>
          <w:kern w:val="2"/>
          <w:szCs w:val="24"/>
        </w:rPr>
        <w:t>，</w:t>
      </w:r>
      <w:r>
        <w:rPr>
          <w:rFonts w:hint="eastAsia" w:ascii="仿宋_GB2312" w:hAnsiTheme="majorEastAsia"/>
          <w:kern w:val="2"/>
        </w:rPr>
        <w:t>每年新增招引落地超亿元数字经济项目5个以上</w:t>
      </w:r>
      <w:r>
        <w:rPr>
          <w:rFonts w:ascii="Times New Roman" w:hAnsi="Times New Roman" w:cs="Times New Roman"/>
          <w:kern w:val="2"/>
          <w:szCs w:val="24"/>
        </w:rPr>
        <w:t>。全面实施数字化改造行动，推进“产业大脑＋未来工厂”建设，加速构建“行业－区域－企业”三级工业互联网平台体系。到2025年前，规上工业企业数字化改造1.0覆盖率实现100%，建成省级智能工厂10家。加快新型数字基础设施建设，争创</w:t>
      </w:r>
      <w:r>
        <w:rPr>
          <w:rFonts w:hint="eastAsia" w:ascii="Times New Roman" w:hAnsi="Times New Roman" w:cs="Times New Roman"/>
          <w:kern w:val="2"/>
          <w:szCs w:val="24"/>
        </w:rPr>
        <w:t>国家（省级）工业互联网平台</w:t>
      </w:r>
      <w:r>
        <w:rPr>
          <w:rFonts w:ascii="Times New Roman" w:hAnsi="Times New Roman" w:cs="Times New Roman"/>
          <w:kern w:val="2"/>
          <w:szCs w:val="24"/>
        </w:rPr>
        <w:t>。加快释放数据新要素活力，促进公共数据与社会数据融合开发利用，选择条件相对成熟的行业和区域开展数据要素市场化配置流通场景试点。</w:t>
      </w:r>
    </w:p>
    <w:p w14:paraId="28558837">
      <w:pPr>
        <w:widowControl/>
        <w:ind w:firstLine="643" w:firstLineChars="200"/>
        <w:rPr>
          <w:rFonts w:ascii="Times New Roman" w:hAnsi="Times New Roman" w:cs="Times New Roman"/>
          <w:szCs w:val="40"/>
          <w:shd w:val="clear" w:color="auto" w:fill="FFFFFF" w:themeFill="background1"/>
        </w:rPr>
      </w:pPr>
      <w:r>
        <w:rPr>
          <w:rFonts w:ascii="Times New Roman" w:hAnsi="Times New Roman" w:cs="Times New Roman"/>
          <w:b/>
          <w:bCs/>
        </w:rPr>
        <w:t>2.推进营商环境优化提升“一号改革工程”</w:t>
      </w:r>
      <w:r>
        <w:rPr>
          <w:rFonts w:ascii="Times New Roman" w:hAnsi="Times New Roman" w:cs="Times New Roman"/>
        </w:rPr>
        <w:t>。紧盯一流营商环境标准，建立营商环境优化提升“五个零</w:t>
      </w:r>
      <w:r>
        <w:rPr>
          <w:rStyle w:val="29"/>
          <w:rFonts w:ascii="Times New Roman" w:hAnsi="Times New Roman" w:cs="Times New Roman"/>
        </w:rPr>
        <w:footnoteReference w:id="0"/>
      </w:r>
      <w:r>
        <w:rPr>
          <w:rFonts w:ascii="Times New Roman" w:hAnsi="Times New Roman" w:cs="Times New Roman"/>
        </w:rPr>
        <w:t>”机制，全面形成有求必应、无事不扰“五最优</w:t>
      </w:r>
      <w:r>
        <w:rPr>
          <w:rStyle w:val="29"/>
          <w:rFonts w:ascii="Times New Roman" w:hAnsi="Times New Roman" w:cs="Times New Roman"/>
        </w:rPr>
        <w:footnoteReference w:id="1"/>
      </w:r>
      <w:r>
        <w:rPr>
          <w:rFonts w:ascii="Times New Roman" w:hAnsi="Times New Roman" w:cs="Times New Roman"/>
        </w:rPr>
        <w:t>”环境，打造全省营商环境改革县级标杆城市。</w:t>
      </w:r>
      <w:r>
        <w:rPr>
          <w:rFonts w:ascii="Times New Roman" w:hAnsi="Times New Roman" w:cs="Times New Roman"/>
          <w:kern w:val="0"/>
          <w:szCs w:val="32"/>
          <w:lang w:bidi="ar"/>
        </w:rPr>
        <w:t>推</w:t>
      </w:r>
      <w:r>
        <w:rPr>
          <w:rFonts w:hint="eastAsia" w:cs="Times New Roman"/>
          <w:kern w:val="0"/>
          <w:szCs w:val="32"/>
          <w:lang w:bidi="ar"/>
        </w:rPr>
        <w:t>进</w:t>
      </w:r>
      <w:r>
        <w:rPr>
          <w:rFonts w:hint="eastAsia" w:ascii="仿宋_GB2312" w:hAnsi="仿宋_GB2312" w:cs="仿宋_GB2312"/>
          <w:kern w:val="0"/>
          <w:szCs w:val="32"/>
          <w:lang w:bidi="ar"/>
        </w:rPr>
        <w:t>政务服务事项“网上办、掌上办”能力建设，</w:t>
      </w:r>
      <w:r>
        <w:rPr>
          <w:rFonts w:hint="eastAsia" w:ascii="Times New Roman" w:hAnsi="Times New Roman"/>
          <w:szCs w:val="32"/>
        </w:rPr>
        <w:t>深化“一件事”集成改革，落实“最多评一次”改革，持续优化商事登记制度，健全惠企政策直达和涉企问题化解服务机制。深化要素市场化配置改革，健全市场主体准入准营机制，强化公平竞争审查，构建事前事中事后全链条全流程监管机制，加强社会信用体系建设，规范整治中介市场。</w:t>
      </w:r>
      <w:r>
        <w:rPr>
          <w:rFonts w:ascii="Times New Roman" w:hAnsi="Times New Roman" w:cs="Times New Roman"/>
        </w:rPr>
        <w:t>统筹推进重点领域和关键环节改革，持续深化农村“三位一体”综合合作改革、</w:t>
      </w:r>
      <w:r>
        <w:rPr>
          <w:rFonts w:hint="eastAsia" w:ascii="Times New Roman" w:hAnsi="Times New Roman" w:cs="Times New Roman"/>
        </w:rPr>
        <w:t>“扩中提低”集成改革、国资国企改革、“大综合一体化”行政执法改革、房票制度改革等重大改革</w:t>
      </w:r>
      <w:r>
        <w:rPr>
          <w:rFonts w:ascii="Times New Roman" w:hAnsi="Times New Roman" w:cs="Times New Roman"/>
        </w:rPr>
        <w:t>，打造一批具有瑞安辨识度、全省贡献度的标志性成果。</w:t>
      </w:r>
    </w:p>
    <w:p w14:paraId="6A428466">
      <w:pPr>
        <w:pStyle w:val="9"/>
        <w:spacing w:line="600" w:lineRule="exact"/>
        <w:rPr>
          <w:rFonts w:ascii="仿宋_GB2312"/>
          <w:kern w:val="2"/>
          <w:shd w:val="clear" w:color="auto" w:fill="FFFF00"/>
        </w:rPr>
      </w:pPr>
      <w:r>
        <w:rPr>
          <w:rFonts w:ascii="Times New Roman" w:hAnsi="Times New Roman" w:cs="Times New Roman"/>
          <w:b/>
          <w:bCs/>
          <w:kern w:val="2"/>
          <w:szCs w:val="24"/>
        </w:rPr>
        <w:t>3.推进“地瓜经济”提能升级“一号开放工程”。</w:t>
      </w:r>
      <w:r>
        <w:rPr>
          <w:rFonts w:ascii="Times New Roman" w:hAnsi="Times New Roman" w:cs="Times New Roman"/>
          <w:kern w:val="2"/>
          <w:szCs w:val="24"/>
        </w:rPr>
        <w:t>深度融入“双循环”新发展格局，加强与长三角城市群、粤闽浙沿海城市群交流合作，积极融入温州打造数字海上丝绸之路战略节点城市，力争列入金丽温开放大通道重要出海节点。</w:t>
      </w:r>
      <w:r>
        <w:rPr>
          <w:rFonts w:ascii="Times New Roman" w:hAnsi="Times New Roman" w:cs="Times New Roman"/>
        </w:rPr>
        <w:t>发挥山海并利优势，深化东西部协作、对口支援和山海协作。积极参与“一带一路”和RCEP合作，实施“百企出海抢订单”、跨境电商主体培育、品牌出海、外贸主体培育等行动计划，发挥侨贸小镇平台优势，做强浙南跨境公共货物集拼中心，全域推行组货拼箱、“国际物流＋海外仓贸易”等外贸服务新模式，积极争取义新欧班列延伸到瑞安。到2025年，进出口总额超400亿元，每年新增外贸主体300家以上、实绩企业100家以上。充分利用瑞商大会、世界瑞安人大会、侨服务“全球通”等活动和平台，引导高端产业、创新成果、海外资源、境外利润回归瑞安，助力总部经济</w:t>
      </w:r>
      <w:r>
        <w:rPr>
          <w:rFonts w:ascii="Times New Roman" w:hAnsi="Times New Roman" w:cs="Times New Roman"/>
          <w:kern w:val="21"/>
        </w:rPr>
        <w:t>做优做强</w:t>
      </w:r>
      <w:r>
        <w:rPr>
          <w:rFonts w:ascii="Times New Roman" w:hAnsi="Times New Roman" w:cs="Times New Roman"/>
        </w:rPr>
        <w:t>。2023-2025年，累计招引培育企业（机构）总部45家左右。</w:t>
      </w:r>
    </w:p>
    <w:p w14:paraId="5419CC1F">
      <w:pPr>
        <w:pStyle w:val="9"/>
        <w:spacing w:line="600" w:lineRule="exact"/>
        <w:ind w:firstLine="643" w:firstLineChars="200"/>
        <w:outlineLvl w:val="1"/>
        <w:rPr>
          <w:rFonts w:ascii="Times New Roman" w:hAnsi="Times New Roman" w:cs="Times New Roman"/>
          <w:b/>
          <w:bCs/>
          <w:shd w:val="clear" w:color="auto" w:fill="FFFFFF" w:themeFill="background1"/>
        </w:rPr>
      </w:pPr>
      <w:bookmarkStart w:id="72" w:name="_Toc31580"/>
      <w:bookmarkStart w:id="73" w:name="_Toc30458"/>
      <w:r>
        <w:rPr>
          <w:rFonts w:ascii="Times New Roman" w:hAnsi="Times New Roman" w:cs="Times New Roman"/>
          <w:b/>
          <w:bCs/>
          <w:shd w:val="clear" w:color="auto" w:fill="FFFFFF" w:themeFill="background1"/>
        </w:rPr>
        <w:t>（五）惠民生促共富，交出“幸福瑞安”高分答卷</w:t>
      </w:r>
      <w:bookmarkEnd w:id="72"/>
      <w:bookmarkEnd w:id="73"/>
    </w:p>
    <w:p w14:paraId="5105703F">
      <w:pPr>
        <w:widowControl/>
        <w:ind w:firstLine="643" w:firstLineChars="200"/>
        <w:rPr>
          <w:rFonts w:ascii="Times New Roman" w:hAnsi="Times New Roman" w:cs="Times New Roman"/>
        </w:rPr>
      </w:pPr>
      <w:r>
        <w:rPr>
          <w:rFonts w:ascii="Times New Roman" w:hAnsi="Times New Roman" w:cs="Times New Roman"/>
          <w:b/>
          <w:bCs/>
        </w:rPr>
        <w:t>1.构建共同富裕新场景。</w:t>
      </w:r>
      <w:r>
        <w:rPr>
          <w:rFonts w:ascii="Times New Roman" w:hAnsi="Times New Roman" w:cs="Times New Roman"/>
        </w:rPr>
        <w:t>做实扩中提低基本盘，谋划国家级公共服务示范平台、技师学院建设，推动重点群体就业帮扶应用场景全覆盖，城镇调查失业率控制在5%以内。深化开展“农户＋农民合作社”共富合作社试点，多渠道增加中低收入群体要素收入和城乡居民财产性收入，确保有劳动力低收入农户家庭至少1人就业。建好现代农业产业链，做优国家现代农业产业园、滨海十万亩都市田园新天地等平台，加快国家海洋牧场示范区和省级绿色农田项目建设，推进预制菜等产业规模化集群化发展，提升“云江丰味”区域公用品牌影响力，争创滨海省级现代农业产业园。丰富乡村度假产品，串联马屿“问道圣井”、曹村“田园牧歌”、高楼“水上寨寮”、湖岭“温泉度假”、桐浦“休闲桐溪”、陶山“康养福泉”等优质文旅特色项目，优化提升民宿村民宿群，争创省级全域旅游示范区。</w:t>
      </w:r>
      <w:r>
        <w:rPr>
          <w:rFonts w:hint="eastAsia" w:ascii="Times New Roman" w:hAnsi="Times New Roman" w:cs="Times New Roman"/>
        </w:rPr>
        <w:t>铸牢中华民族共同体意识，加强各民族交往交流交融，推动各民族共同走向社会主义现代化，为共同富裕凝聚强大力量。</w:t>
      </w:r>
    </w:p>
    <w:p w14:paraId="08B08201">
      <w:pPr>
        <w:pStyle w:val="9"/>
        <w:spacing w:line="600" w:lineRule="exact"/>
        <w:ind w:firstLine="643" w:firstLineChars="200"/>
        <w:rPr>
          <w:rFonts w:ascii="仿宋_GB2312"/>
          <w:kern w:val="2"/>
          <w:shd w:val="clear" w:color="auto" w:fill="FFFF00"/>
        </w:rPr>
      </w:pPr>
      <w:r>
        <w:rPr>
          <w:rFonts w:ascii="Times New Roman" w:hAnsi="Times New Roman" w:cs="Times New Roman"/>
          <w:b/>
          <w:bCs/>
        </w:rPr>
        <w:t>2.提升民生优享获得感。</w:t>
      </w:r>
      <w:r>
        <w:rPr>
          <w:rFonts w:hint="eastAsia" w:ascii="Times New Roman" w:hAnsi="Times New Roman" w:cs="Times New Roman"/>
        </w:rPr>
        <w:t>推进中心城区“15分钟公共服务圈”全覆盖，补齐西部教育、医疗、体育等短板。</w:t>
      </w:r>
      <w:r>
        <w:rPr>
          <w:rFonts w:ascii="Times New Roman" w:hAnsi="Times New Roman" w:cs="Times New Roman"/>
        </w:rPr>
        <w:t>构建以“一老一幼”为重点的全龄友好型社会，启动老年友好样板创建行动，</w:t>
      </w:r>
      <w:r>
        <w:rPr>
          <w:rFonts w:hint="eastAsia" w:ascii="Times New Roman" w:hAnsi="Times New Roman" w:cs="Times New Roman"/>
        </w:rPr>
        <w:t>推进“医疗+养老”深度融合，</w:t>
      </w:r>
      <w:r>
        <w:rPr>
          <w:rFonts w:ascii="Times New Roman" w:hAnsi="Times New Roman" w:cs="Times New Roman"/>
        </w:rPr>
        <w:t>提速建设市安心养老中心、桃源幸福颐养院，实现康养联合体乡镇（街道）全覆盖</w:t>
      </w:r>
      <w:r>
        <w:rPr>
          <w:rFonts w:hint="eastAsia" w:ascii="Times New Roman" w:hAnsi="Times New Roman" w:cs="Times New Roman"/>
        </w:rPr>
        <w:t>；深化儿童友好十大标志性工程，基本实现儿童友好元素在公共空间全覆盖；迭代升级青年发展“一方案四清单”，打响青年群体“来瑞安、创未来”品牌。实施“瑞有安学”工程，开展“县中崛起”行动，深化推进城乡“教共体”建设，扩大优质教育资源共享面，争创全国义务教育优质均衡市。高水平打造“瑞有安康”品牌，加强全市公共卫生基础设施建设，谋划打造利济医学研究院、温郁金研究院、利济医学高峰论坛，推动建立</w:t>
      </w:r>
      <w:r>
        <w:rPr>
          <w:rFonts w:ascii="仿宋_GB2312" w:hAnsi="宋体" w:cs="仿宋_GB2312"/>
          <w:sz w:val="31"/>
          <w:szCs w:val="31"/>
          <w:lang w:bidi="ar"/>
        </w:rPr>
        <w:t>覆盖全民和全生命周期的中医药服务</w:t>
      </w:r>
      <w:r>
        <w:rPr>
          <w:rFonts w:hint="eastAsia" w:ascii="仿宋_GB2312" w:hAnsi="宋体" w:cs="仿宋_GB2312"/>
          <w:sz w:val="31"/>
          <w:szCs w:val="31"/>
          <w:lang w:bidi="ar"/>
        </w:rPr>
        <w:t>体系，</w:t>
      </w:r>
      <w:r>
        <w:rPr>
          <w:rFonts w:hint="eastAsia" w:ascii="Times New Roman" w:hAnsi="Times New Roman" w:cs="Times New Roman"/>
        </w:rPr>
        <w:t>争创全国基层中医药工作示范县。提升社会组织服务能力，通过技能培训、政府购买服务、公益创投等方式加大社会组织扶持。</w:t>
      </w:r>
    </w:p>
    <w:p w14:paraId="44A04447">
      <w:pPr>
        <w:ind w:firstLine="643" w:firstLineChars="200"/>
        <w:rPr>
          <w:rFonts w:ascii="Times New Roman" w:hAnsi="Times New Roman" w:cs="Times New Roman"/>
          <w:szCs w:val="40"/>
          <w:shd w:val="clear" w:color="auto" w:fill="FFFFFF" w:themeFill="background1"/>
        </w:rPr>
        <w:sectPr>
          <w:headerReference r:id="rId12" w:type="default"/>
          <w:footerReference r:id="rId13" w:type="default"/>
          <w:pgSz w:w="11906" w:h="16838"/>
          <w:pgMar w:top="1440" w:right="1800" w:bottom="1440" w:left="1800" w:header="851" w:footer="992" w:gutter="0"/>
          <w:pgNumType w:fmt="numberInDash" w:start="1"/>
          <w:cols w:space="425" w:num="1"/>
          <w:docGrid w:type="lines" w:linePitch="312" w:charSpace="0"/>
        </w:sectPr>
      </w:pPr>
      <w:r>
        <w:rPr>
          <w:rFonts w:hint="eastAsia" w:ascii="Times New Roman" w:hAnsi="Times New Roman" w:cs="Times New Roman"/>
          <w:b/>
          <w:bCs/>
        </w:rPr>
        <w:t>3.绘就全域和美新图景。</w:t>
      </w:r>
      <w:r>
        <w:rPr>
          <w:rFonts w:hint="eastAsia" w:ascii="Times New Roman" w:hAnsi="Times New Roman" w:cs="Times New Roman"/>
        </w:rPr>
        <w:t>全面推进新一轮蓝天碧水净土清废降噪行动，加快“管网一张图”系统建设，扩面提升“污水零直排区”建设，不断完善噪声污染防治管理体系，工业噪声、建筑施工噪声、交通运输噪声和社会生活噪声等得到有效控制，力争创成省级全域“无废城市”、夺取五水共治“大禹鼎”。强化防范环境风险，加强危险货物、危险废物道路运输管控，提升环境应急处置能力。强化新型公共卫生风险防控能力，完善疾病预防控制体系和重大疫情防控救治体系。建立健全生物科技管理体制机制，构建严密的生物安全体系。高标准推进全域人居环境整治提升三年行动，一体推进“八美八化”“三拆三整三清”等行动，深化“河湖林田长制”和厕所、垃圾、污水、风</w:t>
      </w:r>
      <w:r>
        <w:rPr>
          <w:rFonts w:ascii="Times New Roman" w:hAnsi="Times New Roman" w:cs="Times New Roman"/>
        </w:rPr>
        <w:t>貌、庭院五大革命。推进国家园林城市、森林城市建设，加强北麂列岛生态系统保护开发，统筹推进塘下、汀田等乡镇的美丽生态廊道建设和陶山、马屿等乡镇的战略储备林建设。稳步实施碳达峰碳中和行动，打造一批省级低（零）碳试点。深化和美乡村“示范引领、全域整洁”行动，按照“一县一带一片”和“十不十宜”要求，三年打造新建省级低（零）碳试点村（社区）7个、省级未来乡村5个、和美连片提升示范区5个。</w:t>
      </w:r>
    </w:p>
    <w:p w14:paraId="508ECB2E">
      <w:pPr>
        <w:outlineLvl w:val="0"/>
        <w:rPr>
          <w:rFonts w:ascii="Times New Roman" w:hAnsi="Times New Roman" w:eastAsia="黑体" w:cs="Times New Roman"/>
          <w:szCs w:val="40"/>
          <w:shd w:val="clear" w:color="auto" w:fill="FFFFFF" w:themeFill="background1"/>
        </w:rPr>
      </w:pPr>
      <w:bookmarkStart w:id="74" w:name="_Toc12720"/>
      <w:bookmarkStart w:id="75" w:name="_Toc9639"/>
      <w:r>
        <w:rPr>
          <w:rFonts w:ascii="Times New Roman" w:hAnsi="Times New Roman" w:eastAsia="黑体" w:cs="Times New Roman"/>
          <w:szCs w:val="40"/>
          <w:shd w:val="clear" w:color="auto" w:fill="FFFFFF" w:themeFill="background1"/>
        </w:rPr>
        <w:t>附件1：主要指标进展情况表</w:t>
      </w:r>
      <w:bookmarkEnd w:id="74"/>
      <w:bookmarkEnd w:id="75"/>
    </w:p>
    <w:tbl>
      <w:tblPr>
        <w:tblStyle w:val="18"/>
        <w:tblW w:w="1502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418"/>
        <w:gridCol w:w="851"/>
        <w:gridCol w:w="867"/>
        <w:gridCol w:w="835"/>
        <w:gridCol w:w="983"/>
        <w:gridCol w:w="1073"/>
        <w:gridCol w:w="847"/>
        <w:gridCol w:w="738"/>
        <w:gridCol w:w="831"/>
        <w:gridCol w:w="780"/>
        <w:gridCol w:w="1035"/>
        <w:gridCol w:w="870"/>
        <w:gridCol w:w="780"/>
        <w:gridCol w:w="969"/>
        <w:gridCol w:w="954"/>
        <w:gridCol w:w="770"/>
      </w:tblGrid>
      <w:tr w14:paraId="3B19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5" w:type="dxa"/>
            <w:vMerge w:val="restart"/>
            <w:shd w:val="clear" w:color="auto" w:fill="auto"/>
            <w:vAlign w:val="center"/>
          </w:tcPr>
          <w:p w14:paraId="57998394">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序号</w:t>
            </w:r>
          </w:p>
        </w:tc>
        <w:tc>
          <w:tcPr>
            <w:tcW w:w="2269" w:type="dxa"/>
            <w:gridSpan w:val="2"/>
            <w:vMerge w:val="restart"/>
            <w:shd w:val="clear" w:color="auto" w:fill="auto"/>
            <w:vAlign w:val="center"/>
          </w:tcPr>
          <w:p w14:paraId="7C8020DA">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二级指标</w:t>
            </w:r>
          </w:p>
        </w:tc>
        <w:tc>
          <w:tcPr>
            <w:tcW w:w="867" w:type="dxa"/>
            <w:vMerge w:val="restart"/>
            <w:shd w:val="clear" w:color="auto" w:fill="auto"/>
            <w:vAlign w:val="center"/>
          </w:tcPr>
          <w:p w14:paraId="1DCA27A8">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单位</w:t>
            </w:r>
          </w:p>
        </w:tc>
        <w:tc>
          <w:tcPr>
            <w:tcW w:w="835" w:type="dxa"/>
            <w:vMerge w:val="restart"/>
            <w:shd w:val="clear" w:color="auto" w:fill="auto"/>
            <w:vAlign w:val="center"/>
          </w:tcPr>
          <w:p w14:paraId="6FD7DCDF">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2020年实际</w:t>
            </w:r>
          </w:p>
        </w:tc>
        <w:tc>
          <w:tcPr>
            <w:tcW w:w="2056" w:type="dxa"/>
            <w:gridSpan w:val="2"/>
            <w:shd w:val="clear" w:color="auto" w:fill="auto"/>
            <w:vAlign w:val="center"/>
          </w:tcPr>
          <w:p w14:paraId="3C66EE61">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2025年规划目标</w:t>
            </w:r>
          </w:p>
        </w:tc>
        <w:tc>
          <w:tcPr>
            <w:tcW w:w="1585" w:type="dxa"/>
            <w:gridSpan w:val="2"/>
            <w:shd w:val="clear" w:color="auto" w:fill="auto"/>
            <w:vAlign w:val="center"/>
          </w:tcPr>
          <w:p w14:paraId="0A88EFD6">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2021年</w:t>
            </w:r>
          </w:p>
        </w:tc>
        <w:tc>
          <w:tcPr>
            <w:tcW w:w="1611" w:type="dxa"/>
            <w:gridSpan w:val="2"/>
            <w:shd w:val="clear" w:color="auto" w:fill="auto"/>
            <w:vAlign w:val="center"/>
          </w:tcPr>
          <w:p w14:paraId="1E6C9302">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2022年</w:t>
            </w:r>
          </w:p>
        </w:tc>
        <w:tc>
          <w:tcPr>
            <w:tcW w:w="1035" w:type="dxa"/>
            <w:vMerge w:val="restart"/>
            <w:shd w:val="clear" w:color="auto" w:fill="auto"/>
            <w:vAlign w:val="center"/>
          </w:tcPr>
          <w:p w14:paraId="32BE2ABD">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2021-2022年平均增长率</w:t>
            </w:r>
          </w:p>
        </w:tc>
        <w:tc>
          <w:tcPr>
            <w:tcW w:w="1650" w:type="dxa"/>
            <w:gridSpan w:val="2"/>
            <w:shd w:val="clear" w:color="auto" w:fill="auto"/>
            <w:vAlign w:val="center"/>
          </w:tcPr>
          <w:p w14:paraId="799C3BE7">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2023年上半年</w:t>
            </w:r>
          </w:p>
          <w:p w14:paraId="263A5FC8">
            <w:pPr>
              <w:widowControl/>
              <w:spacing w:line="240" w:lineRule="exact"/>
              <w:jc w:val="center"/>
              <w:rPr>
                <w:rFonts w:ascii="Times New Roman" w:hAnsi="Times New Roman" w:cs="Times New Roman"/>
                <w:b/>
                <w:bCs/>
                <w:kern w:val="0"/>
                <w:sz w:val="18"/>
                <w:szCs w:val="18"/>
              </w:rPr>
            </w:pPr>
            <w:r>
              <w:rPr>
                <w:rFonts w:hint="eastAsia" w:ascii="Times New Roman" w:hAnsi="Times New Roman" w:cs="Times New Roman"/>
                <w:b/>
                <w:bCs/>
                <w:kern w:val="0"/>
                <w:sz w:val="18"/>
                <w:szCs w:val="18"/>
              </w:rPr>
              <w:t>实际值</w:t>
            </w:r>
          </w:p>
        </w:tc>
        <w:tc>
          <w:tcPr>
            <w:tcW w:w="969" w:type="dxa"/>
            <w:vMerge w:val="restart"/>
            <w:shd w:val="clear" w:color="auto" w:fill="auto"/>
            <w:vAlign w:val="center"/>
          </w:tcPr>
          <w:p w14:paraId="2E773439">
            <w:pPr>
              <w:widowControl/>
              <w:spacing w:line="28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进度评价</w:t>
            </w:r>
          </w:p>
        </w:tc>
        <w:tc>
          <w:tcPr>
            <w:tcW w:w="954" w:type="dxa"/>
            <w:vMerge w:val="restart"/>
            <w:shd w:val="clear" w:color="auto" w:fill="auto"/>
            <w:vAlign w:val="center"/>
          </w:tcPr>
          <w:p w14:paraId="7E70792D">
            <w:pPr>
              <w:widowControl/>
              <w:spacing w:line="28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期末评价</w:t>
            </w:r>
          </w:p>
        </w:tc>
        <w:tc>
          <w:tcPr>
            <w:tcW w:w="770" w:type="dxa"/>
            <w:vMerge w:val="restart"/>
            <w:shd w:val="clear" w:color="auto" w:fill="auto"/>
            <w:noWrap/>
            <w:vAlign w:val="center"/>
          </w:tcPr>
          <w:p w14:paraId="1BC6D456">
            <w:pPr>
              <w:widowControl/>
              <w:spacing w:line="28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备注</w:t>
            </w:r>
          </w:p>
        </w:tc>
      </w:tr>
      <w:tr w14:paraId="60AF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5" w:type="dxa"/>
            <w:vMerge w:val="continue"/>
            <w:shd w:val="clear" w:color="auto" w:fill="auto"/>
            <w:vAlign w:val="center"/>
          </w:tcPr>
          <w:p w14:paraId="6D54249B">
            <w:pPr>
              <w:widowControl/>
              <w:spacing w:line="240" w:lineRule="exact"/>
              <w:jc w:val="left"/>
              <w:rPr>
                <w:rFonts w:ascii="Times New Roman" w:hAnsi="Times New Roman" w:cs="Times New Roman"/>
                <w:b/>
                <w:bCs/>
                <w:kern w:val="0"/>
                <w:sz w:val="18"/>
                <w:szCs w:val="18"/>
              </w:rPr>
            </w:pPr>
          </w:p>
        </w:tc>
        <w:tc>
          <w:tcPr>
            <w:tcW w:w="2269" w:type="dxa"/>
            <w:gridSpan w:val="2"/>
            <w:vMerge w:val="continue"/>
            <w:shd w:val="clear" w:color="auto" w:fill="auto"/>
            <w:vAlign w:val="center"/>
          </w:tcPr>
          <w:p w14:paraId="4BB1270E">
            <w:pPr>
              <w:widowControl/>
              <w:spacing w:line="240" w:lineRule="exact"/>
              <w:jc w:val="left"/>
              <w:rPr>
                <w:rFonts w:ascii="Times New Roman" w:hAnsi="Times New Roman" w:cs="Times New Roman"/>
                <w:b/>
                <w:bCs/>
                <w:kern w:val="0"/>
                <w:sz w:val="18"/>
                <w:szCs w:val="18"/>
              </w:rPr>
            </w:pPr>
          </w:p>
        </w:tc>
        <w:tc>
          <w:tcPr>
            <w:tcW w:w="867" w:type="dxa"/>
            <w:vMerge w:val="continue"/>
            <w:shd w:val="clear" w:color="auto" w:fill="auto"/>
            <w:vAlign w:val="center"/>
          </w:tcPr>
          <w:p w14:paraId="2A0900A0">
            <w:pPr>
              <w:widowControl/>
              <w:spacing w:line="240" w:lineRule="exact"/>
              <w:jc w:val="left"/>
              <w:rPr>
                <w:rFonts w:ascii="Times New Roman" w:hAnsi="Times New Roman" w:cs="Times New Roman"/>
                <w:b/>
                <w:bCs/>
                <w:kern w:val="0"/>
                <w:sz w:val="18"/>
                <w:szCs w:val="18"/>
              </w:rPr>
            </w:pPr>
          </w:p>
        </w:tc>
        <w:tc>
          <w:tcPr>
            <w:tcW w:w="835" w:type="dxa"/>
            <w:vMerge w:val="continue"/>
            <w:shd w:val="clear" w:color="auto" w:fill="auto"/>
            <w:vAlign w:val="center"/>
          </w:tcPr>
          <w:p w14:paraId="1678886D">
            <w:pPr>
              <w:widowControl/>
              <w:spacing w:line="240" w:lineRule="exact"/>
              <w:jc w:val="left"/>
              <w:rPr>
                <w:rFonts w:ascii="Times New Roman" w:hAnsi="Times New Roman" w:cs="Times New Roman"/>
                <w:b/>
                <w:bCs/>
                <w:kern w:val="0"/>
                <w:sz w:val="18"/>
                <w:szCs w:val="18"/>
              </w:rPr>
            </w:pPr>
          </w:p>
        </w:tc>
        <w:tc>
          <w:tcPr>
            <w:tcW w:w="983" w:type="dxa"/>
            <w:shd w:val="clear" w:color="auto" w:fill="auto"/>
            <w:vAlign w:val="center"/>
          </w:tcPr>
          <w:p w14:paraId="487E3F91">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规划值</w:t>
            </w:r>
          </w:p>
        </w:tc>
        <w:tc>
          <w:tcPr>
            <w:tcW w:w="1073" w:type="dxa"/>
            <w:shd w:val="clear" w:color="auto" w:fill="auto"/>
            <w:vAlign w:val="center"/>
          </w:tcPr>
          <w:p w14:paraId="58206C01">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年均增</w:t>
            </w:r>
            <w:r>
              <w:rPr>
                <w:rFonts w:hint="eastAsia" w:ascii="Times New Roman" w:hAnsi="Times New Roman" w:cs="Times New Roman"/>
                <w:b/>
                <w:bCs/>
                <w:kern w:val="0"/>
                <w:sz w:val="18"/>
                <w:szCs w:val="18"/>
              </w:rPr>
              <w:t>长</w:t>
            </w:r>
            <w:r>
              <w:rPr>
                <w:rFonts w:ascii="Times New Roman" w:hAnsi="Times New Roman" w:cs="Times New Roman"/>
                <w:b/>
                <w:bCs/>
                <w:kern w:val="0"/>
                <w:sz w:val="18"/>
                <w:szCs w:val="18"/>
              </w:rPr>
              <w:t>[累计提高]</w:t>
            </w:r>
          </w:p>
        </w:tc>
        <w:tc>
          <w:tcPr>
            <w:tcW w:w="847" w:type="dxa"/>
            <w:shd w:val="clear" w:color="auto" w:fill="auto"/>
            <w:vAlign w:val="center"/>
          </w:tcPr>
          <w:p w14:paraId="366E5EA4">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实际值</w:t>
            </w:r>
          </w:p>
        </w:tc>
        <w:tc>
          <w:tcPr>
            <w:tcW w:w="738" w:type="dxa"/>
            <w:shd w:val="clear" w:color="auto" w:fill="auto"/>
            <w:vAlign w:val="center"/>
          </w:tcPr>
          <w:p w14:paraId="1ABF27DE">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同比</w:t>
            </w:r>
          </w:p>
          <w:p w14:paraId="34583AB1">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增长</w:t>
            </w:r>
          </w:p>
        </w:tc>
        <w:tc>
          <w:tcPr>
            <w:tcW w:w="831" w:type="dxa"/>
            <w:shd w:val="clear" w:color="auto" w:fill="auto"/>
            <w:vAlign w:val="center"/>
          </w:tcPr>
          <w:p w14:paraId="05663840">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实际值</w:t>
            </w:r>
          </w:p>
        </w:tc>
        <w:tc>
          <w:tcPr>
            <w:tcW w:w="780" w:type="dxa"/>
            <w:shd w:val="clear" w:color="auto" w:fill="auto"/>
            <w:vAlign w:val="center"/>
          </w:tcPr>
          <w:p w14:paraId="364CE8BC">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同比</w:t>
            </w:r>
          </w:p>
          <w:p w14:paraId="03C2FB3A">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增长</w:t>
            </w:r>
          </w:p>
        </w:tc>
        <w:tc>
          <w:tcPr>
            <w:tcW w:w="1035" w:type="dxa"/>
            <w:vMerge w:val="continue"/>
            <w:shd w:val="clear" w:color="auto" w:fill="auto"/>
            <w:vAlign w:val="center"/>
          </w:tcPr>
          <w:p w14:paraId="60DBBDDD">
            <w:pPr>
              <w:widowControl/>
              <w:spacing w:line="240" w:lineRule="exact"/>
              <w:jc w:val="left"/>
              <w:rPr>
                <w:rFonts w:ascii="Times New Roman" w:hAnsi="Times New Roman" w:cs="Times New Roman"/>
                <w:b/>
                <w:bCs/>
                <w:kern w:val="0"/>
                <w:sz w:val="18"/>
                <w:szCs w:val="18"/>
              </w:rPr>
            </w:pPr>
          </w:p>
        </w:tc>
        <w:tc>
          <w:tcPr>
            <w:tcW w:w="870" w:type="dxa"/>
            <w:shd w:val="clear" w:color="auto" w:fill="auto"/>
            <w:vAlign w:val="center"/>
          </w:tcPr>
          <w:p w14:paraId="4AAF3CC9">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预计值</w:t>
            </w:r>
          </w:p>
        </w:tc>
        <w:tc>
          <w:tcPr>
            <w:tcW w:w="780" w:type="dxa"/>
            <w:shd w:val="clear" w:color="auto" w:fill="auto"/>
            <w:vAlign w:val="center"/>
          </w:tcPr>
          <w:p w14:paraId="4FEC200F">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同比</w:t>
            </w:r>
          </w:p>
          <w:p w14:paraId="14CD99F2">
            <w:pPr>
              <w:widowControl/>
              <w:spacing w:line="240" w:lineRule="exact"/>
              <w:jc w:val="center"/>
              <w:rPr>
                <w:rFonts w:ascii="Times New Roman" w:hAnsi="Times New Roman" w:cs="Times New Roman"/>
                <w:b/>
                <w:bCs/>
                <w:kern w:val="0"/>
                <w:sz w:val="18"/>
                <w:szCs w:val="18"/>
              </w:rPr>
            </w:pPr>
            <w:r>
              <w:rPr>
                <w:rFonts w:ascii="Times New Roman" w:hAnsi="Times New Roman" w:cs="Times New Roman"/>
                <w:b/>
                <w:bCs/>
                <w:kern w:val="0"/>
                <w:sz w:val="18"/>
                <w:szCs w:val="18"/>
              </w:rPr>
              <w:t>增长</w:t>
            </w:r>
          </w:p>
        </w:tc>
        <w:tc>
          <w:tcPr>
            <w:tcW w:w="969" w:type="dxa"/>
            <w:vMerge w:val="continue"/>
            <w:shd w:val="clear" w:color="auto" w:fill="auto"/>
            <w:vAlign w:val="center"/>
          </w:tcPr>
          <w:p w14:paraId="01F51718">
            <w:pPr>
              <w:widowControl/>
              <w:spacing w:line="280" w:lineRule="exact"/>
              <w:jc w:val="left"/>
              <w:rPr>
                <w:rFonts w:ascii="Times New Roman" w:hAnsi="Times New Roman" w:cs="Times New Roman"/>
                <w:b/>
                <w:bCs/>
                <w:kern w:val="0"/>
                <w:sz w:val="18"/>
                <w:szCs w:val="18"/>
              </w:rPr>
            </w:pPr>
          </w:p>
        </w:tc>
        <w:tc>
          <w:tcPr>
            <w:tcW w:w="954" w:type="dxa"/>
            <w:vMerge w:val="continue"/>
            <w:shd w:val="clear" w:color="auto" w:fill="auto"/>
            <w:vAlign w:val="center"/>
          </w:tcPr>
          <w:p w14:paraId="5AAA8C61">
            <w:pPr>
              <w:widowControl/>
              <w:spacing w:line="280" w:lineRule="exact"/>
              <w:jc w:val="left"/>
              <w:rPr>
                <w:rFonts w:ascii="Times New Roman" w:hAnsi="Times New Roman" w:cs="Times New Roman"/>
                <w:b/>
                <w:bCs/>
                <w:kern w:val="0"/>
                <w:sz w:val="18"/>
                <w:szCs w:val="18"/>
              </w:rPr>
            </w:pPr>
          </w:p>
        </w:tc>
        <w:tc>
          <w:tcPr>
            <w:tcW w:w="770" w:type="dxa"/>
            <w:vMerge w:val="continue"/>
            <w:shd w:val="clear" w:color="auto" w:fill="auto"/>
            <w:vAlign w:val="center"/>
          </w:tcPr>
          <w:p w14:paraId="5E3AF240">
            <w:pPr>
              <w:widowControl/>
              <w:spacing w:line="280" w:lineRule="exact"/>
              <w:jc w:val="left"/>
              <w:rPr>
                <w:rFonts w:ascii="Times New Roman" w:hAnsi="Times New Roman" w:cs="Times New Roman"/>
                <w:b/>
                <w:bCs/>
                <w:kern w:val="0"/>
                <w:sz w:val="18"/>
                <w:szCs w:val="18"/>
              </w:rPr>
            </w:pPr>
          </w:p>
        </w:tc>
      </w:tr>
      <w:tr w14:paraId="50D7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464FB86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2269" w:type="dxa"/>
            <w:gridSpan w:val="2"/>
            <w:shd w:val="clear" w:color="auto" w:fill="auto"/>
            <w:vAlign w:val="center"/>
          </w:tcPr>
          <w:p w14:paraId="639A3D29">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全市生产总值</w:t>
            </w:r>
          </w:p>
        </w:tc>
        <w:tc>
          <w:tcPr>
            <w:tcW w:w="867" w:type="dxa"/>
            <w:shd w:val="clear" w:color="auto" w:fill="auto"/>
            <w:vAlign w:val="center"/>
          </w:tcPr>
          <w:p w14:paraId="2E1B8D5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亿元</w:t>
            </w:r>
          </w:p>
        </w:tc>
        <w:tc>
          <w:tcPr>
            <w:tcW w:w="835" w:type="dxa"/>
            <w:shd w:val="clear" w:color="auto" w:fill="auto"/>
            <w:vAlign w:val="center"/>
          </w:tcPr>
          <w:p w14:paraId="5A58559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1037.1</w:t>
            </w:r>
          </w:p>
        </w:tc>
        <w:tc>
          <w:tcPr>
            <w:tcW w:w="983" w:type="dxa"/>
            <w:shd w:val="clear" w:color="auto" w:fill="auto"/>
            <w:vAlign w:val="center"/>
          </w:tcPr>
          <w:p w14:paraId="7E58135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1500</w:t>
            </w:r>
          </w:p>
        </w:tc>
        <w:tc>
          <w:tcPr>
            <w:tcW w:w="1073" w:type="dxa"/>
            <w:shd w:val="clear" w:color="auto" w:fill="auto"/>
            <w:vAlign w:val="center"/>
          </w:tcPr>
          <w:p w14:paraId="25D9F54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7%以上</w:t>
            </w:r>
          </w:p>
        </w:tc>
        <w:tc>
          <w:tcPr>
            <w:tcW w:w="847" w:type="dxa"/>
            <w:shd w:val="clear" w:color="auto" w:fill="auto"/>
            <w:vAlign w:val="center"/>
          </w:tcPr>
          <w:p w14:paraId="0EA9547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1163.9</w:t>
            </w:r>
          </w:p>
        </w:tc>
        <w:tc>
          <w:tcPr>
            <w:tcW w:w="738" w:type="dxa"/>
            <w:shd w:val="clear" w:color="auto" w:fill="auto"/>
            <w:vAlign w:val="center"/>
          </w:tcPr>
          <w:p w14:paraId="4A747E9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7.60</w:t>
            </w:r>
          </w:p>
        </w:tc>
        <w:tc>
          <w:tcPr>
            <w:tcW w:w="831" w:type="dxa"/>
            <w:shd w:val="clear" w:color="auto" w:fill="auto"/>
            <w:vAlign w:val="center"/>
          </w:tcPr>
          <w:p w14:paraId="4553D5B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1197.</w:t>
            </w:r>
            <w:r>
              <w:rPr>
                <w:rFonts w:hint="eastAsia" w:ascii="Times New Roman" w:hAnsi="Times New Roman" w:cs="Times New Roman"/>
                <w:kern w:val="0"/>
                <w:sz w:val="18"/>
                <w:szCs w:val="18"/>
              </w:rPr>
              <w:t>9</w:t>
            </w:r>
          </w:p>
        </w:tc>
        <w:tc>
          <w:tcPr>
            <w:tcW w:w="780" w:type="dxa"/>
            <w:shd w:val="clear" w:color="auto" w:fill="auto"/>
            <w:vAlign w:val="center"/>
          </w:tcPr>
          <w:p w14:paraId="6611BD7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2.3</w:t>
            </w:r>
          </w:p>
        </w:tc>
        <w:tc>
          <w:tcPr>
            <w:tcW w:w="1035" w:type="dxa"/>
            <w:shd w:val="clear" w:color="auto" w:fill="auto"/>
            <w:vAlign w:val="center"/>
          </w:tcPr>
          <w:p w14:paraId="79A3F35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4.92</w:t>
            </w:r>
          </w:p>
        </w:tc>
        <w:tc>
          <w:tcPr>
            <w:tcW w:w="870" w:type="dxa"/>
            <w:shd w:val="clear" w:color="auto" w:fill="auto"/>
            <w:vAlign w:val="center"/>
          </w:tcPr>
          <w:p w14:paraId="343054E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580.18</w:t>
            </w:r>
          </w:p>
        </w:tc>
        <w:tc>
          <w:tcPr>
            <w:tcW w:w="780" w:type="dxa"/>
            <w:shd w:val="clear" w:color="auto" w:fill="auto"/>
            <w:vAlign w:val="center"/>
          </w:tcPr>
          <w:p w14:paraId="346B4EF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6.5</w:t>
            </w:r>
          </w:p>
        </w:tc>
        <w:tc>
          <w:tcPr>
            <w:tcW w:w="969" w:type="dxa"/>
            <w:shd w:val="clear" w:color="auto" w:fill="auto"/>
            <w:vAlign w:val="center"/>
          </w:tcPr>
          <w:p w14:paraId="3907BCE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进度偏慢</w:t>
            </w:r>
          </w:p>
        </w:tc>
        <w:tc>
          <w:tcPr>
            <w:tcW w:w="954" w:type="dxa"/>
            <w:shd w:val="clear" w:color="auto" w:fill="auto"/>
            <w:vAlign w:val="center"/>
          </w:tcPr>
          <w:p w14:paraId="128C34E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力争实现</w:t>
            </w:r>
          </w:p>
        </w:tc>
        <w:tc>
          <w:tcPr>
            <w:tcW w:w="770" w:type="dxa"/>
            <w:shd w:val="clear" w:color="auto" w:fill="auto"/>
            <w:vAlign w:val="center"/>
          </w:tcPr>
          <w:p w14:paraId="4637E78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371D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6998072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2269" w:type="dxa"/>
            <w:gridSpan w:val="2"/>
            <w:shd w:val="clear" w:color="auto" w:fill="auto"/>
            <w:vAlign w:val="center"/>
          </w:tcPr>
          <w:p w14:paraId="09061E94">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人均生产总值</w:t>
            </w:r>
            <w:r>
              <w:rPr>
                <w:rFonts w:hint="eastAsia" w:ascii="Times New Roman" w:hAnsi="Times New Roman" w:cs="Times New Roman"/>
                <w:kern w:val="0"/>
                <w:sz w:val="18"/>
                <w:szCs w:val="18"/>
              </w:rPr>
              <w:t>*</w:t>
            </w:r>
          </w:p>
        </w:tc>
        <w:tc>
          <w:tcPr>
            <w:tcW w:w="867" w:type="dxa"/>
            <w:shd w:val="clear" w:color="auto" w:fill="auto"/>
            <w:vAlign w:val="center"/>
          </w:tcPr>
          <w:p w14:paraId="5D5E35D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元</w:t>
            </w:r>
          </w:p>
        </w:tc>
        <w:tc>
          <w:tcPr>
            <w:tcW w:w="835" w:type="dxa"/>
            <w:shd w:val="clear" w:color="auto" w:fill="auto"/>
            <w:vAlign w:val="center"/>
          </w:tcPr>
          <w:p w14:paraId="66AB940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68385</w:t>
            </w:r>
          </w:p>
        </w:tc>
        <w:tc>
          <w:tcPr>
            <w:tcW w:w="983" w:type="dxa"/>
            <w:shd w:val="clear" w:color="auto" w:fill="auto"/>
            <w:vAlign w:val="center"/>
          </w:tcPr>
          <w:p w14:paraId="2BF7A6B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95000</w:t>
            </w:r>
          </w:p>
        </w:tc>
        <w:tc>
          <w:tcPr>
            <w:tcW w:w="1073" w:type="dxa"/>
            <w:shd w:val="clear" w:color="auto" w:fill="auto"/>
            <w:vAlign w:val="center"/>
          </w:tcPr>
          <w:p w14:paraId="04396D3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6.80%</w:t>
            </w:r>
          </w:p>
        </w:tc>
        <w:tc>
          <w:tcPr>
            <w:tcW w:w="847" w:type="dxa"/>
            <w:shd w:val="clear" w:color="auto" w:fill="auto"/>
            <w:vAlign w:val="center"/>
          </w:tcPr>
          <w:p w14:paraId="5EDE88A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76424</w:t>
            </w:r>
          </w:p>
        </w:tc>
        <w:tc>
          <w:tcPr>
            <w:tcW w:w="738" w:type="dxa"/>
            <w:shd w:val="clear" w:color="auto" w:fill="auto"/>
            <w:vAlign w:val="center"/>
          </w:tcPr>
          <w:p w14:paraId="7DF713B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7.20</w:t>
            </w:r>
          </w:p>
        </w:tc>
        <w:tc>
          <w:tcPr>
            <w:tcW w:w="831" w:type="dxa"/>
            <w:shd w:val="clear" w:color="auto" w:fill="auto"/>
            <w:vAlign w:val="center"/>
          </w:tcPr>
          <w:p w14:paraId="1B013A2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78446</w:t>
            </w:r>
          </w:p>
        </w:tc>
        <w:tc>
          <w:tcPr>
            <w:tcW w:w="780" w:type="dxa"/>
            <w:shd w:val="clear" w:color="auto" w:fill="auto"/>
            <w:vAlign w:val="center"/>
          </w:tcPr>
          <w:p w14:paraId="5271161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1035" w:type="dxa"/>
            <w:shd w:val="clear" w:color="auto" w:fill="auto"/>
            <w:vAlign w:val="center"/>
          </w:tcPr>
          <w:p w14:paraId="53AE7E5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4.57</w:t>
            </w:r>
          </w:p>
        </w:tc>
        <w:tc>
          <w:tcPr>
            <w:tcW w:w="870" w:type="dxa"/>
            <w:shd w:val="clear" w:color="auto" w:fill="auto"/>
            <w:vAlign w:val="center"/>
          </w:tcPr>
          <w:p w14:paraId="7490184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11C7D32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2A195A7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进度偏慢</w:t>
            </w:r>
          </w:p>
        </w:tc>
        <w:tc>
          <w:tcPr>
            <w:tcW w:w="954" w:type="dxa"/>
            <w:shd w:val="clear" w:color="auto" w:fill="auto"/>
            <w:vAlign w:val="center"/>
          </w:tcPr>
          <w:p w14:paraId="4C509C8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力争实现</w:t>
            </w:r>
          </w:p>
        </w:tc>
        <w:tc>
          <w:tcPr>
            <w:tcW w:w="770" w:type="dxa"/>
            <w:shd w:val="clear" w:color="auto" w:fill="auto"/>
            <w:vAlign w:val="center"/>
          </w:tcPr>
          <w:p w14:paraId="614EC0B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3A96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1473D8A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2269" w:type="dxa"/>
            <w:gridSpan w:val="2"/>
            <w:shd w:val="clear" w:color="auto" w:fill="auto"/>
            <w:vAlign w:val="center"/>
          </w:tcPr>
          <w:p w14:paraId="158E7D4C">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一般公共预算收入</w:t>
            </w:r>
          </w:p>
        </w:tc>
        <w:tc>
          <w:tcPr>
            <w:tcW w:w="867" w:type="dxa"/>
            <w:shd w:val="clear" w:color="auto" w:fill="auto"/>
            <w:vAlign w:val="center"/>
          </w:tcPr>
          <w:p w14:paraId="467942D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亿元</w:t>
            </w:r>
          </w:p>
        </w:tc>
        <w:tc>
          <w:tcPr>
            <w:tcW w:w="835" w:type="dxa"/>
            <w:shd w:val="clear" w:color="auto" w:fill="auto"/>
            <w:vAlign w:val="center"/>
          </w:tcPr>
          <w:p w14:paraId="5F89FE0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81.9</w:t>
            </w:r>
          </w:p>
        </w:tc>
        <w:tc>
          <w:tcPr>
            <w:tcW w:w="983" w:type="dxa"/>
            <w:shd w:val="clear" w:color="auto" w:fill="auto"/>
            <w:vAlign w:val="center"/>
          </w:tcPr>
          <w:p w14:paraId="3C278B2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120</w:t>
            </w:r>
          </w:p>
        </w:tc>
        <w:tc>
          <w:tcPr>
            <w:tcW w:w="1073" w:type="dxa"/>
            <w:shd w:val="clear" w:color="auto" w:fill="auto"/>
            <w:vAlign w:val="center"/>
          </w:tcPr>
          <w:p w14:paraId="31A81E4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847" w:type="dxa"/>
            <w:shd w:val="clear" w:color="auto" w:fill="auto"/>
            <w:vAlign w:val="center"/>
          </w:tcPr>
          <w:p w14:paraId="3ECD020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84.3</w:t>
            </w:r>
          </w:p>
        </w:tc>
        <w:tc>
          <w:tcPr>
            <w:tcW w:w="738" w:type="dxa"/>
            <w:shd w:val="clear" w:color="auto" w:fill="auto"/>
            <w:vAlign w:val="center"/>
          </w:tcPr>
          <w:p w14:paraId="074A2E4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2.90</w:t>
            </w:r>
          </w:p>
        </w:tc>
        <w:tc>
          <w:tcPr>
            <w:tcW w:w="831" w:type="dxa"/>
            <w:shd w:val="clear" w:color="auto" w:fill="auto"/>
            <w:vAlign w:val="center"/>
          </w:tcPr>
          <w:p w14:paraId="49FBD4F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66</w:t>
            </w:r>
          </w:p>
        </w:tc>
        <w:tc>
          <w:tcPr>
            <w:tcW w:w="780" w:type="dxa"/>
            <w:shd w:val="clear" w:color="auto" w:fill="auto"/>
            <w:vAlign w:val="center"/>
          </w:tcPr>
          <w:p w14:paraId="4EFEF27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-21.70</w:t>
            </w:r>
          </w:p>
        </w:tc>
        <w:tc>
          <w:tcPr>
            <w:tcW w:w="1035" w:type="dxa"/>
            <w:shd w:val="clear" w:color="auto" w:fill="auto"/>
            <w:vAlign w:val="center"/>
          </w:tcPr>
          <w:p w14:paraId="245A550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-10.24</w:t>
            </w:r>
          </w:p>
        </w:tc>
        <w:tc>
          <w:tcPr>
            <w:tcW w:w="870" w:type="dxa"/>
            <w:shd w:val="clear" w:color="auto" w:fill="auto"/>
            <w:vAlign w:val="center"/>
          </w:tcPr>
          <w:p w14:paraId="344C5CD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50.08</w:t>
            </w:r>
          </w:p>
        </w:tc>
        <w:tc>
          <w:tcPr>
            <w:tcW w:w="780" w:type="dxa"/>
            <w:shd w:val="clear" w:color="auto" w:fill="auto"/>
            <w:vAlign w:val="center"/>
          </w:tcPr>
          <w:p w14:paraId="4FAEB7F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21.5</w:t>
            </w:r>
          </w:p>
        </w:tc>
        <w:tc>
          <w:tcPr>
            <w:tcW w:w="969" w:type="dxa"/>
            <w:shd w:val="clear" w:color="auto" w:fill="auto"/>
            <w:vAlign w:val="center"/>
          </w:tcPr>
          <w:p w14:paraId="642E031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进度偏慢</w:t>
            </w:r>
          </w:p>
        </w:tc>
        <w:tc>
          <w:tcPr>
            <w:tcW w:w="954" w:type="dxa"/>
            <w:shd w:val="clear" w:color="auto" w:fill="auto"/>
            <w:vAlign w:val="center"/>
          </w:tcPr>
          <w:p w14:paraId="19AC340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较难完成</w:t>
            </w:r>
          </w:p>
        </w:tc>
        <w:tc>
          <w:tcPr>
            <w:tcW w:w="770" w:type="dxa"/>
            <w:shd w:val="clear" w:color="auto" w:fill="auto"/>
            <w:vAlign w:val="center"/>
          </w:tcPr>
          <w:p w14:paraId="2F3DE55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6E4A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3B4A112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2269" w:type="dxa"/>
            <w:gridSpan w:val="2"/>
            <w:shd w:val="clear" w:color="auto" w:fill="auto"/>
            <w:vAlign w:val="center"/>
          </w:tcPr>
          <w:p w14:paraId="3E69307C">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社会消费品零售总额</w:t>
            </w:r>
          </w:p>
        </w:tc>
        <w:tc>
          <w:tcPr>
            <w:tcW w:w="867" w:type="dxa"/>
            <w:shd w:val="clear" w:color="auto" w:fill="auto"/>
            <w:vAlign w:val="center"/>
          </w:tcPr>
          <w:p w14:paraId="3939E61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亿元</w:t>
            </w:r>
          </w:p>
        </w:tc>
        <w:tc>
          <w:tcPr>
            <w:tcW w:w="835" w:type="dxa"/>
            <w:shd w:val="clear" w:color="auto" w:fill="auto"/>
            <w:vAlign w:val="center"/>
          </w:tcPr>
          <w:p w14:paraId="4BE2798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519.8</w:t>
            </w:r>
          </w:p>
        </w:tc>
        <w:tc>
          <w:tcPr>
            <w:tcW w:w="983" w:type="dxa"/>
            <w:shd w:val="clear" w:color="auto" w:fill="auto"/>
            <w:vAlign w:val="center"/>
          </w:tcPr>
          <w:p w14:paraId="59AD0EA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770</w:t>
            </w:r>
          </w:p>
        </w:tc>
        <w:tc>
          <w:tcPr>
            <w:tcW w:w="1073" w:type="dxa"/>
            <w:shd w:val="clear" w:color="auto" w:fill="auto"/>
            <w:vAlign w:val="center"/>
          </w:tcPr>
          <w:p w14:paraId="69315FF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847" w:type="dxa"/>
            <w:shd w:val="clear" w:color="auto" w:fill="auto"/>
            <w:vAlign w:val="center"/>
          </w:tcPr>
          <w:p w14:paraId="74C2F0E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568.4</w:t>
            </w:r>
          </w:p>
        </w:tc>
        <w:tc>
          <w:tcPr>
            <w:tcW w:w="738" w:type="dxa"/>
            <w:shd w:val="clear" w:color="auto" w:fill="auto"/>
            <w:vAlign w:val="center"/>
          </w:tcPr>
          <w:p w14:paraId="11773C0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9.40</w:t>
            </w:r>
          </w:p>
        </w:tc>
        <w:tc>
          <w:tcPr>
            <w:tcW w:w="831" w:type="dxa"/>
            <w:shd w:val="clear" w:color="auto" w:fill="auto"/>
            <w:vAlign w:val="center"/>
          </w:tcPr>
          <w:p w14:paraId="7AF6384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582.9</w:t>
            </w:r>
          </w:p>
        </w:tc>
        <w:tc>
          <w:tcPr>
            <w:tcW w:w="780" w:type="dxa"/>
            <w:shd w:val="clear" w:color="auto" w:fill="auto"/>
            <w:vAlign w:val="center"/>
          </w:tcPr>
          <w:p w14:paraId="6BA18F9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2.50</w:t>
            </w:r>
          </w:p>
        </w:tc>
        <w:tc>
          <w:tcPr>
            <w:tcW w:w="1035" w:type="dxa"/>
            <w:shd w:val="clear" w:color="auto" w:fill="auto"/>
            <w:vAlign w:val="center"/>
          </w:tcPr>
          <w:p w14:paraId="1C05783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5.89</w:t>
            </w:r>
          </w:p>
        </w:tc>
        <w:tc>
          <w:tcPr>
            <w:tcW w:w="870" w:type="dxa"/>
            <w:shd w:val="clear" w:color="auto" w:fill="auto"/>
            <w:vAlign w:val="center"/>
          </w:tcPr>
          <w:p w14:paraId="6651E34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297</w:t>
            </w:r>
          </w:p>
        </w:tc>
        <w:tc>
          <w:tcPr>
            <w:tcW w:w="780" w:type="dxa"/>
            <w:shd w:val="clear" w:color="auto" w:fill="auto"/>
            <w:vAlign w:val="center"/>
          </w:tcPr>
          <w:p w14:paraId="149478A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6.5</w:t>
            </w:r>
          </w:p>
        </w:tc>
        <w:tc>
          <w:tcPr>
            <w:tcW w:w="969" w:type="dxa"/>
            <w:shd w:val="clear" w:color="auto" w:fill="auto"/>
            <w:vAlign w:val="center"/>
          </w:tcPr>
          <w:p w14:paraId="0BE52E3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进度偏慢</w:t>
            </w:r>
          </w:p>
        </w:tc>
        <w:tc>
          <w:tcPr>
            <w:tcW w:w="954" w:type="dxa"/>
            <w:shd w:val="clear" w:color="auto" w:fill="auto"/>
            <w:vAlign w:val="center"/>
          </w:tcPr>
          <w:p w14:paraId="0EA4192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较难完成</w:t>
            </w:r>
          </w:p>
        </w:tc>
        <w:tc>
          <w:tcPr>
            <w:tcW w:w="770" w:type="dxa"/>
            <w:shd w:val="clear" w:color="auto" w:fill="auto"/>
            <w:vAlign w:val="center"/>
          </w:tcPr>
          <w:p w14:paraId="2B6E4EE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4649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6C3B9A5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2269" w:type="dxa"/>
            <w:gridSpan w:val="2"/>
            <w:shd w:val="clear" w:color="auto" w:fill="auto"/>
            <w:vAlign w:val="center"/>
          </w:tcPr>
          <w:p w14:paraId="747B9E9C">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工业增加值占GDP比重</w:t>
            </w:r>
            <w:r>
              <w:rPr>
                <w:rFonts w:hint="eastAsia" w:ascii="Times New Roman" w:hAnsi="Times New Roman" w:cs="Times New Roman"/>
                <w:kern w:val="0"/>
                <w:sz w:val="18"/>
                <w:szCs w:val="18"/>
              </w:rPr>
              <w:t>*</w:t>
            </w:r>
          </w:p>
        </w:tc>
        <w:tc>
          <w:tcPr>
            <w:tcW w:w="867" w:type="dxa"/>
            <w:shd w:val="clear" w:color="auto" w:fill="auto"/>
            <w:vAlign w:val="center"/>
          </w:tcPr>
          <w:p w14:paraId="490E69C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21D2CE5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37.7</w:t>
            </w:r>
          </w:p>
        </w:tc>
        <w:tc>
          <w:tcPr>
            <w:tcW w:w="983" w:type="dxa"/>
            <w:shd w:val="clear" w:color="auto" w:fill="auto"/>
            <w:vAlign w:val="center"/>
          </w:tcPr>
          <w:p w14:paraId="449AC9F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38.7以上</w:t>
            </w:r>
          </w:p>
        </w:tc>
        <w:tc>
          <w:tcPr>
            <w:tcW w:w="1073" w:type="dxa"/>
            <w:shd w:val="clear" w:color="auto" w:fill="auto"/>
            <w:vAlign w:val="center"/>
          </w:tcPr>
          <w:p w14:paraId="4666A8C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847" w:type="dxa"/>
            <w:shd w:val="clear" w:color="auto" w:fill="auto"/>
            <w:vAlign w:val="center"/>
          </w:tcPr>
          <w:p w14:paraId="23B8381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38</w:t>
            </w:r>
          </w:p>
        </w:tc>
        <w:tc>
          <w:tcPr>
            <w:tcW w:w="738" w:type="dxa"/>
            <w:shd w:val="clear" w:color="auto" w:fill="auto"/>
            <w:vAlign w:val="center"/>
          </w:tcPr>
          <w:p w14:paraId="4839CD0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w:t>
            </w:r>
            <w:r>
              <w:rPr>
                <w:rFonts w:hint="eastAsia" w:ascii="Times New Roman" w:hAnsi="Times New Roman" w:cs="Times New Roman"/>
                <w:kern w:val="0"/>
                <w:sz w:val="18"/>
                <w:szCs w:val="18"/>
              </w:rPr>
              <w:t>3</w:t>
            </w:r>
            <w:r>
              <w:rPr>
                <w:rFonts w:ascii="Times New Roman" w:hAnsi="Times New Roman" w:cs="Times New Roman"/>
                <w:kern w:val="0"/>
                <w:sz w:val="18"/>
                <w:szCs w:val="18"/>
              </w:rPr>
              <w:t>]</w:t>
            </w:r>
          </w:p>
        </w:tc>
        <w:tc>
          <w:tcPr>
            <w:tcW w:w="831" w:type="dxa"/>
            <w:shd w:val="clear" w:color="auto" w:fill="auto"/>
            <w:vAlign w:val="center"/>
          </w:tcPr>
          <w:p w14:paraId="2D0C366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37.64</w:t>
            </w:r>
          </w:p>
        </w:tc>
        <w:tc>
          <w:tcPr>
            <w:tcW w:w="780" w:type="dxa"/>
            <w:shd w:val="clear" w:color="auto" w:fill="auto"/>
            <w:vAlign w:val="center"/>
          </w:tcPr>
          <w:p w14:paraId="5D4083F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w:t>
            </w:r>
            <w:r>
              <w:rPr>
                <w:rFonts w:hint="eastAsia" w:ascii="Times New Roman" w:hAnsi="Times New Roman" w:cs="Times New Roman"/>
                <w:kern w:val="0"/>
                <w:sz w:val="18"/>
                <w:szCs w:val="18"/>
              </w:rPr>
              <w:t>36</w:t>
            </w:r>
            <w:r>
              <w:rPr>
                <w:rFonts w:ascii="Times New Roman" w:hAnsi="Times New Roman" w:cs="Times New Roman"/>
                <w:kern w:val="0"/>
                <w:sz w:val="18"/>
                <w:szCs w:val="18"/>
              </w:rPr>
              <w:t>]</w:t>
            </w:r>
          </w:p>
        </w:tc>
        <w:tc>
          <w:tcPr>
            <w:tcW w:w="1035" w:type="dxa"/>
            <w:shd w:val="clear" w:color="auto" w:fill="auto"/>
            <w:vAlign w:val="center"/>
          </w:tcPr>
          <w:p w14:paraId="56361B6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[-0.06]</w:t>
            </w:r>
          </w:p>
        </w:tc>
        <w:tc>
          <w:tcPr>
            <w:tcW w:w="870" w:type="dxa"/>
            <w:shd w:val="clear" w:color="auto" w:fill="auto"/>
            <w:vAlign w:val="center"/>
          </w:tcPr>
          <w:p w14:paraId="60B866CB">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37.6</w:t>
            </w:r>
          </w:p>
        </w:tc>
        <w:tc>
          <w:tcPr>
            <w:tcW w:w="780" w:type="dxa"/>
            <w:shd w:val="clear" w:color="auto" w:fill="auto"/>
            <w:vAlign w:val="center"/>
          </w:tcPr>
          <w:p w14:paraId="2F1CEA9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r>
              <w:rPr>
                <w:rFonts w:hint="eastAsia" w:ascii="Times New Roman" w:hAnsi="Times New Roman" w:cs="Times New Roman"/>
                <w:kern w:val="0"/>
                <w:sz w:val="18"/>
                <w:szCs w:val="18"/>
              </w:rPr>
              <w:t>-0.04</w:t>
            </w:r>
            <w:r>
              <w:rPr>
                <w:rFonts w:ascii="Times New Roman" w:hAnsi="Times New Roman" w:cs="Times New Roman"/>
                <w:kern w:val="0"/>
                <w:sz w:val="18"/>
                <w:szCs w:val="18"/>
              </w:rPr>
              <w:t>]</w:t>
            </w:r>
          </w:p>
        </w:tc>
        <w:tc>
          <w:tcPr>
            <w:tcW w:w="969" w:type="dxa"/>
            <w:shd w:val="clear" w:color="auto" w:fill="auto"/>
            <w:vAlign w:val="center"/>
          </w:tcPr>
          <w:p w14:paraId="4DA1334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进度偏慢</w:t>
            </w:r>
          </w:p>
        </w:tc>
        <w:tc>
          <w:tcPr>
            <w:tcW w:w="954" w:type="dxa"/>
            <w:shd w:val="clear" w:color="auto" w:fill="auto"/>
            <w:vAlign w:val="center"/>
          </w:tcPr>
          <w:p w14:paraId="2CCB30B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力争实现</w:t>
            </w:r>
          </w:p>
        </w:tc>
        <w:tc>
          <w:tcPr>
            <w:tcW w:w="770" w:type="dxa"/>
            <w:shd w:val="clear" w:color="auto" w:fill="auto"/>
            <w:vAlign w:val="center"/>
          </w:tcPr>
          <w:p w14:paraId="64F16D9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22AE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29EC174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2269" w:type="dxa"/>
            <w:gridSpan w:val="2"/>
            <w:shd w:val="clear" w:color="auto" w:fill="auto"/>
            <w:vAlign w:val="center"/>
          </w:tcPr>
          <w:p w14:paraId="47AD4FE7">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战略性新兴产业增加值占规上工业增加值比重</w:t>
            </w:r>
            <w:r>
              <w:rPr>
                <w:rFonts w:hint="eastAsia" w:ascii="Times New Roman" w:hAnsi="Times New Roman" w:cs="Times New Roman"/>
                <w:kern w:val="0"/>
                <w:sz w:val="18"/>
                <w:szCs w:val="18"/>
              </w:rPr>
              <w:t>*</w:t>
            </w:r>
          </w:p>
        </w:tc>
        <w:tc>
          <w:tcPr>
            <w:tcW w:w="867" w:type="dxa"/>
            <w:shd w:val="clear" w:color="auto" w:fill="auto"/>
            <w:vAlign w:val="center"/>
          </w:tcPr>
          <w:p w14:paraId="458014A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583915C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22.56</w:t>
            </w:r>
          </w:p>
        </w:tc>
        <w:tc>
          <w:tcPr>
            <w:tcW w:w="983" w:type="dxa"/>
            <w:shd w:val="clear" w:color="auto" w:fill="auto"/>
            <w:vAlign w:val="center"/>
          </w:tcPr>
          <w:p w14:paraId="00E46BA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31.96以上</w:t>
            </w:r>
          </w:p>
        </w:tc>
        <w:tc>
          <w:tcPr>
            <w:tcW w:w="1073" w:type="dxa"/>
            <w:shd w:val="clear" w:color="auto" w:fill="auto"/>
            <w:vAlign w:val="center"/>
          </w:tcPr>
          <w:p w14:paraId="5D4524E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[9.4]</w:t>
            </w:r>
          </w:p>
        </w:tc>
        <w:tc>
          <w:tcPr>
            <w:tcW w:w="847" w:type="dxa"/>
            <w:shd w:val="clear" w:color="auto" w:fill="auto"/>
            <w:vAlign w:val="center"/>
          </w:tcPr>
          <w:p w14:paraId="6B291DE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31.04</w:t>
            </w:r>
          </w:p>
        </w:tc>
        <w:tc>
          <w:tcPr>
            <w:tcW w:w="738" w:type="dxa"/>
            <w:shd w:val="clear" w:color="auto" w:fill="auto"/>
            <w:vAlign w:val="center"/>
          </w:tcPr>
          <w:p w14:paraId="3EF09E1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[8.48]</w:t>
            </w:r>
          </w:p>
        </w:tc>
        <w:tc>
          <w:tcPr>
            <w:tcW w:w="831" w:type="dxa"/>
            <w:shd w:val="clear" w:color="auto" w:fill="auto"/>
            <w:vAlign w:val="center"/>
          </w:tcPr>
          <w:p w14:paraId="6EE4D8E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32.01</w:t>
            </w:r>
          </w:p>
        </w:tc>
        <w:tc>
          <w:tcPr>
            <w:tcW w:w="780" w:type="dxa"/>
            <w:shd w:val="clear" w:color="auto" w:fill="auto"/>
            <w:vAlign w:val="center"/>
          </w:tcPr>
          <w:p w14:paraId="6A70589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[0.97]</w:t>
            </w:r>
          </w:p>
        </w:tc>
        <w:tc>
          <w:tcPr>
            <w:tcW w:w="1035" w:type="dxa"/>
            <w:shd w:val="clear" w:color="auto" w:fill="auto"/>
            <w:vAlign w:val="center"/>
          </w:tcPr>
          <w:p w14:paraId="455502A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[9.45]</w:t>
            </w:r>
          </w:p>
        </w:tc>
        <w:tc>
          <w:tcPr>
            <w:tcW w:w="870" w:type="dxa"/>
            <w:shd w:val="clear" w:color="auto" w:fill="auto"/>
            <w:vAlign w:val="center"/>
          </w:tcPr>
          <w:p w14:paraId="024DDCC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29.64</w:t>
            </w:r>
          </w:p>
        </w:tc>
        <w:tc>
          <w:tcPr>
            <w:tcW w:w="780" w:type="dxa"/>
            <w:shd w:val="clear" w:color="auto" w:fill="auto"/>
            <w:vAlign w:val="center"/>
          </w:tcPr>
          <w:p w14:paraId="0D98F503">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[-2.37]</w:t>
            </w:r>
          </w:p>
        </w:tc>
        <w:tc>
          <w:tcPr>
            <w:tcW w:w="969" w:type="dxa"/>
            <w:shd w:val="clear" w:color="auto" w:fill="auto"/>
            <w:vAlign w:val="center"/>
          </w:tcPr>
          <w:p w14:paraId="702A80EC">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20FBB6E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06BE7AD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7758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5" w:type="dxa"/>
            <w:shd w:val="clear" w:color="auto" w:fill="auto"/>
            <w:vAlign w:val="center"/>
          </w:tcPr>
          <w:p w14:paraId="07FC38B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2269" w:type="dxa"/>
            <w:gridSpan w:val="2"/>
            <w:shd w:val="clear" w:color="auto" w:fill="auto"/>
            <w:vAlign w:val="center"/>
          </w:tcPr>
          <w:p w14:paraId="039C5570">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文化与相关产业增加值</w:t>
            </w:r>
          </w:p>
        </w:tc>
        <w:tc>
          <w:tcPr>
            <w:tcW w:w="867" w:type="dxa"/>
            <w:shd w:val="clear" w:color="auto" w:fill="auto"/>
            <w:vAlign w:val="center"/>
          </w:tcPr>
          <w:p w14:paraId="2152987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亿元</w:t>
            </w:r>
          </w:p>
        </w:tc>
        <w:tc>
          <w:tcPr>
            <w:tcW w:w="835" w:type="dxa"/>
            <w:shd w:val="clear" w:color="auto" w:fill="auto"/>
            <w:vAlign w:val="center"/>
          </w:tcPr>
          <w:p w14:paraId="0D725C53">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50.9</w:t>
            </w:r>
          </w:p>
        </w:tc>
        <w:tc>
          <w:tcPr>
            <w:tcW w:w="983" w:type="dxa"/>
            <w:shd w:val="clear" w:color="auto" w:fill="auto"/>
            <w:vAlign w:val="center"/>
          </w:tcPr>
          <w:p w14:paraId="30F7B8C1">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60.9</w:t>
            </w:r>
          </w:p>
        </w:tc>
        <w:tc>
          <w:tcPr>
            <w:tcW w:w="1073" w:type="dxa"/>
            <w:shd w:val="clear" w:color="auto" w:fill="auto"/>
            <w:vAlign w:val="center"/>
          </w:tcPr>
          <w:p w14:paraId="47265AF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847" w:type="dxa"/>
            <w:shd w:val="clear" w:color="auto" w:fill="auto"/>
            <w:vAlign w:val="center"/>
          </w:tcPr>
          <w:p w14:paraId="2D61944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63.8</w:t>
            </w:r>
          </w:p>
        </w:tc>
        <w:tc>
          <w:tcPr>
            <w:tcW w:w="738" w:type="dxa"/>
            <w:shd w:val="clear" w:color="auto" w:fill="auto"/>
            <w:vAlign w:val="center"/>
          </w:tcPr>
          <w:p w14:paraId="24BD9E0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25.</w:t>
            </w:r>
            <w:r>
              <w:rPr>
                <w:rFonts w:hint="eastAsia" w:ascii="Times New Roman" w:hAnsi="Times New Roman" w:cs="Times New Roman"/>
                <w:kern w:val="0"/>
                <w:sz w:val="18"/>
                <w:szCs w:val="18"/>
              </w:rPr>
              <w:t>2</w:t>
            </w:r>
            <w:r>
              <w:rPr>
                <w:rFonts w:ascii="Times New Roman" w:hAnsi="Times New Roman" w:cs="Times New Roman"/>
                <w:kern w:val="0"/>
                <w:sz w:val="18"/>
                <w:szCs w:val="18"/>
              </w:rPr>
              <w:t>0</w:t>
            </w:r>
          </w:p>
        </w:tc>
        <w:tc>
          <w:tcPr>
            <w:tcW w:w="831" w:type="dxa"/>
            <w:shd w:val="clear" w:color="auto" w:fill="auto"/>
            <w:vAlign w:val="center"/>
          </w:tcPr>
          <w:p w14:paraId="0EA78F0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297576D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564E56F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70" w:type="dxa"/>
            <w:shd w:val="clear" w:color="auto" w:fill="auto"/>
            <w:vAlign w:val="center"/>
          </w:tcPr>
          <w:p w14:paraId="7C27AE2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311C65B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29AB6A7C">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无法评估</w:t>
            </w:r>
          </w:p>
        </w:tc>
        <w:tc>
          <w:tcPr>
            <w:tcW w:w="954" w:type="dxa"/>
            <w:shd w:val="clear" w:color="auto" w:fill="auto"/>
            <w:vAlign w:val="center"/>
          </w:tcPr>
          <w:p w14:paraId="47C81B3A">
            <w:pPr>
              <w:widowControl/>
              <w:spacing w:line="280" w:lineRule="exact"/>
              <w:rPr>
                <w:rFonts w:ascii="Times New Roman" w:hAnsi="Times New Roman" w:cs="Times New Roman"/>
                <w:kern w:val="0"/>
                <w:sz w:val="18"/>
                <w:szCs w:val="18"/>
              </w:rPr>
            </w:pPr>
            <w:r>
              <w:rPr>
                <w:rFonts w:hint="eastAsia" w:ascii="Times New Roman" w:hAnsi="Times New Roman" w:cs="Times New Roman"/>
                <w:kern w:val="0"/>
                <w:sz w:val="18"/>
                <w:szCs w:val="18"/>
              </w:rPr>
              <w:t>可以实现</w:t>
            </w:r>
          </w:p>
        </w:tc>
        <w:tc>
          <w:tcPr>
            <w:tcW w:w="770" w:type="dxa"/>
            <w:shd w:val="clear" w:color="auto" w:fill="auto"/>
            <w:vAlign w:val="center"/>
          </w:tcPr>
          <w:p w14:paraId="29D3EBF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1ADC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13FA90F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2269" w:type="dxa"/>
            <w:gridSpan w:val="2"/>
            <w:shd w:val="clear" w:color="auto" w:fill="auto"/>
            <w:vAlign w:val="center"/>
          </w:tcPr>
          <w:p w14:paraId="0D1D903E">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常住人口城市化率</w:t>
            </w:r>
            <w:r>
              <w:rPr>
                <w:rFonts w:hint="eastAsia" w:ascii="Times New Roman" w:hAnsi="Times New Roman" w:cs="Times New Roman"/>
                <w:kern w:val="0"/>
                <w:sz w:val="18"/>
                <w:szCs w:val="18"/>
              </w:rPr>
              <w:t>*</w:t>
            </w:r>
          </w:p>
        </w:tc>
        <w:tc>
          <w:tcPr>
            <w:tcW w:w="867" w:type="dxa"/>
            <w:shd w:val="clear" w:color="auto" w:fill="auto"/>
            <w:vAlign w:val="center"/>
          </w:tcPr>
          <w:p w14:paraId="2663342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219D566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66.6</w:t>
            </w:r>
          </w:p>
        </w:tc>
        <w:tc>
          <w:tcPr>
            <w:tcW w:w="983" w:type="dxa"/>
            <w:shd w:val="clear" w:color="auto" w:fill="auto"/>
            <w:vAlign w:val="center"/>
          </w:tcPr>
          <w:p w14:paraId="5C36309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68.35</w:t>
            </w:r>
          </w:p>
        </w:tc>
        <w:tc>
          <w:tcPr>
            <w:tcW w:w="1073" w:type="dxa"/>
            <w:shd w:val="clear" w:color="auto" w:fill="auto"/>
            <w:vAlign w:val="center"/>
          </w:tcPr>
          <w:p w14:paraId="507FF8A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[1.75]</w:t>
            </w:r>
          </w:p>
        </w:tc>
        <w:tc>
          <w:tcPr>
            <w:tcW w:w="847" w:type="dxa"/>
            <w:shd w:val="clear" w:color="auto" w:fill="auto"/>
            <w:vAlign w:val="center"/>
          </w:tcPr>
          <w:p w14:paraId="4B6F08C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67.2</w:t>
            </w:r>
          </w:p>
        </w:tc>
        <w:tc>
          <w:tcPr>
            <w:tcW w:w="738" w:type="dxa"/>
            <w:shd w:val="clear" w:color="auto" w:fill="auto"/>
            <w:vAlign w:val="center"/>
          </w:tcPr>
          <w:p w14:paraId="53B6137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[0.6]</w:t>
            </w:r>
          </w:p>
        </w:tc>
        <w:tc>
          <w:tcPr>
            <w:tcW w:w="831" w:type="dxa"/>
            <w:shd w:val="clear" w:color="auto" w:fill="auto"/>
            <w:vAlign w:val="center"/>
          </w:tcPr>
          <w:p w14:paraId="62FF09E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68</w:t>
            </w:r>
          </w:p>
        </w:tc>
        <w:tc>
          <w:tcPr>
            <w:tcW w:w="780" w:type="dxa"/>
            <w:shd w:val="clear" w:color="auto" w:fill="auto"/>
            <w:vAlign w:val="center"/>
          </w:tcPr>
          <w:p w14:paraId="6D7DD1B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[0.8]</w:t>
            </w:r>
          </w:p>
        </w:tc>
        <w:tc>
          <w:tcPr>
            <w:tcW w:w="1035" w:type="dxa"/>
            <w:shd w:val="clear" w:color="auto" w:fill="auto"/>
            <w:vAlign w:val="center"/>
          </w:tcPr>
          <w:p w14:paraId="02BB9AD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[1.4]</w:t>
            </w:r>
          </w:p>
        </w:tc>
        <w:tc>
          <w:tcPr>
            <w:tcW w:w="870" w:type="dxa"/>
            <w:shd w:val="clear" w:color="auto" w:fill="auto"/>
            <w:vAlign w:val="center"/>
          </w:tcPr>
          <w:p w14:paraId="3EF75B0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10C07F1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61A22306">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67C82FE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5F04010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27CC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054F2D2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w:t>
            </w:r>
          </w:p>
        </w:tc>
        <w:tc>
          <w:tcPr>
            <w:tcW w:w="2269" w:type="dxa"/>
            <w:gridSpan w:val="2"/>
            <w:shd w:val="clear" w:color="auto" w:fill="auto"/>
            <w:vAlign w:val="center"/>
          </w:tcPr>
          <w:p w14:paraId="692158CA">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全员劳动生产率</w:t>
            </w:r>
            <w:r>
              <w:rPr>
                <w:rFonts w:hint="eastAsia" w:ascii="Times New Roman" w:hAnsi="Times New Roman" w:cs="Times New Roman"/>
                <w:kern w:val="0"/>
                <w:sz w:val="18"/>
                <w:szCs w:val="18"/>
              </w:rPr>
              <w:t>*</w:t>
            </w:r>
          </w:p>
        </w:tc>
        <w:tc>
          <w:tcPr>
            <w:tcW w:w="867" w:type="dxa"/>
            <w:shd w:val="clear" w:color="auto" w:fill="auto"/>
            <w:vAlign w:val="center"/>
          </w:tcPr>
          <w:p w14:paraId="3A9879A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万元/人</w:t>
            </w:r>
          </w:p>
        </w:tc>
        <w:tc>
          <w:tcPr>
            <w:tcW w:w="835" w:type="dxa"/>
            <w:shd w:val="clear" w:color="auto" w:fill="auto"/>
            <w:vAlign w:val="center"/>
          </w:tcPr>
          <w:p w14:paraId="02C9CC6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12.06</w:t>
            </w:r>
          </w:p>
        </w:tc>
        <w:tc>
          <w:tcPr>
            <w:tcW w:w="983" w:type="dxa"/>
            <w:shd w:val="clear" w:color="auto" w:fill="auto"/>
            <w:vAlign w:val="center"/>
          </w:tcPr>
          <w:p w14:paraId="3E609A7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 xml:space="preserve">16.06 </w:t>
            </w:r>
          </w:p>
        </w:tc>
        <w:tc>
          <w:tcPr>
            <w:tcW w:w="1073" w:type="dxa"/>
            <w:shd w:val="clear" w:color="auto" w:fill="auto"/>
            <w:vAlign w:val="center"/>
          </w:tcPr>
          <w:p w14:paraId="26550E5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[4]</w:t>
            </w:r>
          </w:p>
        </w:tc>
        <w:tc>
          <w:tcPr>
            <w:tcW w:w="847" w:type="dxa"/>
            <w:shd w:val="clear" w:color="auto" w:fill="auto"/>
            <w:vAlign w:val="center"/>
          </w:tcPr>
          <w:p w14:paraId="4103545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13.49</w:t>
            </w:r>
          </w:p>
        </w:tc>
        <w:tc>
          <w:tcPr>
            <w:tcW w:w="738" w:type="dxa"/>
            <w:shd w:val="clear" w:color="auto" w:fill="auto"/>
            <w:vAlign w:val="center"/>
          </w:tcPr>
          <w:p w14:paraId="786E6E3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[1.43]</w:t>
            </w:r>
          </w:p>
        </w:tc>
        <w:tc>
          <w:tcPr>
            <w:tcW w:w="831" w:type="dxa"/>
            <w:shd w:val="clear" w:color="auto" w:fill="auto"/>
            <w:vAlign w:val="center"/>
          </w:tcPr>
          <w:p w14:paraId="691D8EF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13.85</w:t>
            </w:r>
          </w:p>
        </w:tc>
        <w:tc>
          <w:tcPr>
            <w:tcW w:w="780" w:type="dxa"/>
            <w:shd w:val="clear" w:color="auto" w:fill="auto"/>
            <w:vAlign w:val="center"/>
          </w:tcPr>
          <w:p w14:paraId="142A120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[0.36]</w:t>
            </w:r>
          </w:p>
        </w:tc>
        <w:tc>
          <w:tcPr>
            <w:tcW w:w="1035" w:type="dxa"/>
            <w:shd w:val="clear" w:color="auto" w:fill="auto"/>
            <w:vAlign w:val="center"/>
          </w:tcPr>
          <w:p w14:paraId="1E82B4C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[1.79]</w:t>
            </w:r>
          </w:p>
        </w:tc>
        <w:tc>
          <w:tcPr>
            <w:tcW w:w="870" w:type="dxa"/>
            <w:shd w:val="clear" w:color="auto" w:fill="auto"/>
            <w:vAlign w:val="center"/>
          </w:tcPr>
          <w:p w14:paraId="757760A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717A193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435C36A0">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19496C8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221DC20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46FE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1C7407D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2269" w:type="dxa"/>
            <w:gridSpan w:val="2"/>
            <w:shd w:val="clear" w:color="auto" w:fill="auto"/>
            <w:vAlign w:val="center"/>
          </w:tcPr>
          <w:p w14:paraId="71336B23">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R&amp;D经费支出占GDP比重</w:t>
            </w:r>
            <w:r>
              <w:rPr>
                <w:rFonts w:hint="eastAsia" w:ascii="Times New Roman" w:hAnsi="Times New Roman" w:cs="Times New Roman"/>
                <w:kern w:val="0"/>
                <w:sz w:val="18"/>
                <w:szCs w:val="18"/>
              </w:rPr>
              <w:t>*</w:t>
            </w:r>
          </w:p>
        </w:tc>
        <w:tc>
          <w:tcPr>
            <w:tcW w:w="867" w:type="dxa"/>
            <w:shd w:val="clear" w:color="auto" w:fill="auto"/>
            <w:vAlign w:val="center"/>
          </w:tcPr>
          <w:p w14:paraId="0D54C3E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57A52BBC">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2.59</w:t>
            </w:r>
          </w:p>
        </w:tc>
        <w:tc>
          <w:tcPr>
            <w:tcW w:w="983" w:type="dxa"/>
            <w:shd w:val="clear" w:color="auto" w:fill="auto"/>
            <w:vAlign w:val="center"/>
          </w:tcPr>
          <w:p w14:paraId="6EEB31EB">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3.0以上</w:t>
            </w:r>
          </w:p>
        </w:tc>
        <w:tc>
          <w:tcPr>
            <w:tcW w:w="1073" w:type="dxa"/>
            <w:shd w:val="clear" w:color="auto" w:fill="auto"/>
            <w:vAlign w:val="center"/>
          </w:tcPr>
          <w:p w14:paraId="5EA702F7">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[0.41]</w:t>
            </w:r>
          </w:p>
        </w:tc>
        <w:tc>
          <w:tcPr>
            <w:tcW w:w="847" w:type="dxa"/>
            <w:shd w:val="clear" w:color="auto" w:fill="auto"/>
            <w:vAlign w:val="center"/>
          </w:tcPr>
          <w:p w14:paraId="078E6B99">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2.64</w:t>
            </w:r>
          </w:p>
        </w:tc>
        <w:tc>
          <w:tcPr>
            <w:tcW w:w="738" w:type="dxa"/>
            <w:shd w:val="clear" w:color="auto" w:fill="auto"/>
            <w:vAlign w:val="center"/>
          </w:tcPr>
          <w:p w14:paraId="718A46F6">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[0.05]</w:t>
            </w:r>
          </w:p>
        </w:tc>
        <w:tc>
          <w:tcPr>
            <w:tcW w:w="831" w:type="dxa"/>
            <w:shd w:val="clear" w:color="auto" w:fill="auto"/>
            <w:vAlign w:val="center"/>
          </w:tcPr>
          <w:p w14:paraId="2F227E60">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2.73</w:t>
            </w:r>
          </w:p>
        </w:tc>
        <w:tc>
          <w:tcPr>
            <w:tcW w:w="780" w:type="dxa"/>
            <w:shd w:val="clear" w:color="auto" w:fill="auto"/>
            <w:vAlign w:val="center"/>
          </w:tcPr>
          <w:p w14:paraId="23DAB410">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[0.09]</w:t>
            </w:r>
          </w:p>
        </w:tc>
        <w:tc>
          <w:tcPr>
            <w:tcW w:w="1035" w:type="dxa"/>
            <w:shd w:val="clear" w:color="auto" w:fill="auto"/>
            <w:vAlign w:val="center"/>
          </w:tcPr>
          <w:p w14:paraId="08719E27">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[0.14]</w:t>
            </w:r>
          </w:p>
        </w:tc>
        <w:tc>
          <w:tcPr>
            <w:tcW w:w="870" w:type="dxa"/>
            <w:shd w:val="clear" w:color="auto" w:fill="auto"/>
            <w:vAlign w:val="center"/>
          </w:tcPr>
          <w:p w14:paraId="33DA8EA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04070EF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3D31717B">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进度偏慢</w:t>
            </w:r>
          </w:p>
        </w:tc>
        <w:tc>
          <w:tcPr>
            <w:tcW w:w="954" w:type="dxa"/>
            <w:shd w:val="clear" w:color="auto" w:fill="auto"/>
            <w:vAlign w:val="center"/>
          </w:tcPr>
          <w:p w14:paraId="7F725399">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力争</w:t>
            </w:r>
            <w:r>
              <w:rPr>
                <w:rFonts w:ascii="Times New Roman" w:hAnsi="Times New Roman" w:cs="Times New Roman"/>
                <w:kern w:val="0"/>
                <w:sz w:val="18"/>
                <w:szCs w:val="18"/>
              </w:rPr>
              <w:t>实现</w:t>
            </w:r>
          </w:p>
        </w:tc>
        <w:tc>
          <w:tcPr>
            <w:tcW w:w="770" w:type="dxa"/>
            <w:shd w:val="clear" w:color="auto" w:fill="auto"/>
            <w:vAlign w:val="center"/>
          </w:tcPr>
          <w:p w14:paraId="387624E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5487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3DE756C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11</w:t>
            </w:r>
          </w:p>
        </w:tc>
        <w:tc>
          <w:tcPr>
            <w:tcW w:w="2269" w:type="dxa"/>
            <w:gridSpan w:val="2"/>
            <w:shd w:val="clear" w:color="auto" w:fill="auto"/>
            <w:vAlign w:val="center"/>
          </w:tcPr>
          <w:p w14:paraId="4DBF15D2">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新引育人才数</w:t>
            </w:r>
          </w:p>
        </w:tc>
        <w:tc>
          <w:tcPr>
            <w:tcW w:w="867" w:type="dxa"/>
            <w:shd w:val="clear" w:color="auto" w:fill="auto"/>
            <w:vAlign w:val="center"/>
          </w:tcPr>
          <w:p w14:paraId="306CD68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万人</w:t>
            </w:r>
          </w:p>
        </w:tc>
        <w:tc>
          <w:tcPr>
            <w:tcW w:w="835" w:type="dxa"/>
            <w:shd w:val="clear" w:color="auto" w:fill="auto"/>
            <w:vAlign w:val="center"/>
          </w:tcPr>
          <w:p w14:paraId="2B36114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2.45</w:t>
            </w:r>
          </w:p>
        </w:tc>
        <w:tc>
          <w:tcPr>
            <w:tcW w:w="983" w:type="dxa"/>
            <w:shd w:val="clear" w:color="auto" w:fill="auto"/>
            <w:vAlign w:val="center"/>
          </w:tcPr>
          <w:p w14:paraId="3E96014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73" w:type="dxa"/>
            <w:shd w:val="clear" w:color="auto" w:fill="auto"/>
            <w:vAlign w:val="center"/>
          </w:tcPr>
          <w:p w14:paraId="3EA59A3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847" w:type="dxa"/>
            <w:shd w:val="clear" w:color="auto" w:fill="auto"/>
            <w:vAlign w:val="center"/>
          </w:tcPr>
          <w:p w14:paraId="1E76939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3.1</w:t>
            </w:r>
          </w:p>
        </w:tc>
        <w:tc>
          <w:tcPr>
            <w:tcW w:w="738" w:type="dxa"/>
            <w:shd w:val="clear" w:color="auto" w:fill="auto"/>
            <w:vAlign w:val="center"/>
          </w:tcPr>
          <w:p w14:paraId="51BFE9C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1" w:type="dxa"/>
            <w:shd w:val="clear" w:color="auto" w:fill="auto"/>
            <w:vAlign w:val="center"/>
          </w:tcPr>
          <w:p w14:paraId="5219214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2.64</w:t>
            </w:r>
          </w:p>
        </w:tc>
        <w:tc>
          <w:tcPr>
            <w:tcW w:w="780" w:type="dxa"/>
            <w:shd w:val="clear" w:color="auto" w:fill="auto"/>
            <w:vAlign w:val="center"/>
          </w:tcPr>
          <w:p w14:paraId="452F509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484FFE2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[5.74]</w:t>
            </w:r>
          </w:p>
        </w:tc>
        <w:tc>
          <w:tcPr>
            <w:tcW w:w="870" w:type="dxa"/>
            <w:shd w:val="clear" w:color="auto" w:fill="auto"/>
            <w:vAlign w:val="center"/>
          </w:tcPr>
          <w:p w14:paraId="299E55B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1.36</w:t>
            </w:r>
          </w:p>
        </w:tc>
        <w:tc>
          <w:tcPr>
            <w:tcW w:w="780" w:type="dxa"/>
            <w:shd w:val="clear" w:color="auto" w:fill="auto"/>
            <w:vAlign w:val="center"/>
          </w:tcPr>
          <w:p w14:paraId="1EEA431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3E3D6222">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33E7039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0CDCCAA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583A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1B4712E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12</w:t>
            </w:r>
          </w:p>
        </w:tc>
        <w:tc>
          <w:tcPr>
            <w:tcW w:w="2269" w:type="dxa"/>
            <w:gridSpan w:val="2"/>
            <w:shd w:val="clear" w:color="auto" w:fill="auto"/>
            <w:vAlign w:val="center"/>
          </w:tcPr>
          <w:p w14:paraId="6A9645C8">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每万人发明专利拥有量</w:t>
            </w:r>
          </w:p>
        </w:tc>
        <w:tc>
          <w:tcPr>
            <w:tcW w:w="867" w:type="dxa"/>
            <w:shd w:val="clear" w:color="auto" w:fill="auto"/>
            <w:vAlign w:val="center"/>
          </w:tcPr>
          <w:p w14:paraId="0D13121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件</w:t>
            </w:r>
          </w:p>
        </w:tc>
        <w:tc>
          <w:tcPr>
            <w:tcW w:w="835" w:type="dxa"/>
            <w:shd w:val="clear" w:color="auto" w:fill="auto"/>
            <w:vAlign w:val="center"/>
          </w:tcPr>
          <w:p w14:paraId="3A39BC6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983" w:type="dxa"/>
            <w:shd w:val="clear" w:color="auto" w:fill="auto"/>
            <w:vAlign w:val="center"/>
          </w:tcPr>
          <w:p w14:paraId="76BC774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21</w:t>
            </w:r>
          </w:p>
        </w:tc>
        <w:tc>
          <w:tcPr>
            <w:tcW w:w="1073" w:type="dxa"/>
            <w:shd w:val="clear" w:color="auto" w:fill="auto"/>
            <w:vAlign w:val="center"/>
          </w:tcPr>
          <w:p w14:paraId="0F143B3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847" w:type="dxa"/>
            <w:shd w:val="clear" w:color="auto" w:fill="auto"/>
            <w:vAlign w:val="center"/>
          </w:tcPr>
          <w:p w14:paraId="647F081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20.6</w:t>
            </w:r>
          </w:p>
        </w:tc>
        <w:tc>
          <w:tcPr>
            <w:tcW w:w="738" w:type="dxa"/>
            <w:shd w:val="clear" w:color="auto" w:fill="auto"/>
            <w:vAlign w:val="center"/>
          </w:tcPr>
          <w:p w14:paraId="56DBF2F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[4.6]</w:t>
            </w:r>
          </w:p>
        </w:tc>
        <w:tc>
          <w:tcPr>
            <w:tcW w:w="831" w:type="dxa"/>
            <w:shd w:val="clear" w:color="auto" w:fill="auto"/>
            <w:vAlign w:val="center"/>
          </w:tcPr>
          <w:p w14:paraId="7C5DF3A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23.12</w:t>
            </w:r>
          </w:p>
        </w:tc>
        <w:tc>
          <w:tcPr>
            <w:tcW w:w="780" w:type="dxa"/>
            <w:shd w:val="clear" w:color="auto" w:fill="auto"/>
            <w:vAlign w:val="center"/>
          </w:tcPr>
          <w:p w14:paraId="3E9BE42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[2.52]</w:t>
            </w:r>
          </w:p>
        </w:tc>
        <w:tc>
          <w:tcPr>
            <w:tcW w:w="1035" w:type="dxa"/>
            <w:shd w:val="clear" w:color="auto" w:fill="auto"/>
            <w:vAlign w:val="center"/>
          </w:tcPr>
          <w:p w14:paraId="2FE3E78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[7.12]</w:t>
            </w:r>
          </w:p>
        </w:tc>
        <w:tc>
          <w:tcPr>
            <w:tcW w:w="870" w:type="dxa"/>
            <w:shd w:val="clear" w:color="auto" w:fill="auto"/>
            <w:vAlign w:val="center"/>
          </w:tcPr>
          <w:p w14:paraId="21ABFAD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23.92</w:t>
            </w:r>
          </w:p>
        </w:tc>
        <w:tc>
          <w:tcPr>
            <w:tcW w:w="780" w:type="dxa"/>
            <w:shd w:val="clear" w:color="auto" w:fill="auto"/>
            <w:vAlign w:val="center"/>
          </w:tcPr>
          <w:p w14:paraId="08B2342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1D274284">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16B243C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1F7A125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3A38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497AE30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13</w:t>
            </w:r>
          </w:p>
        </w:tc>
        <w:tc>
          <w:tcPr>
            <w:tcW w:w="2269" w:type="dxa"/>
            <w:gridSpan w:val="2"/>
            <w:shd w:val="clear" w:color="auto" w:fill="auto"/>
            <w:vAlign w:val="center"/>
          </w:tcPr>
          <w:p w14:paraId="7BA8F3F5">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数字经济核心产业增加值占GDP比重</w:t>
            </w:r>
            <w:r>
              <w:rPr>
                <w:rFonts w:hint="eastAsia" w:ascii="Times New Roman" w:hAnsi="Times New Roman" w:cs="Times New Roman"/>
                <w:kern w:val="0"/>
                <w:sz w:val="18"/>
                <w:szCs w:val="18"/>
              </w:rPr>
              <w:t>*</w:t>
            </w:r>
          </w:p>
        </w:tc>
        <w:tc>
          <w:tcPr>
            <w:tcW w:w="867" w:type="dxa"/>
            <w:shd w:val="clear" w:color="auto" w:fill="auto"/>
            <w:vAlign w:val="center"/>
          </w:tcPr>
          <w:p w14:paraId="1C016DD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176163E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6.9</w:t>
            </w:r>
          </w:p>
        </w:tc>
        <w:tc>
          <w:tcPr>
            <w:tcW w:w="983" w:type="dxa"/>
            <w:shd w:val="clear" w:color="auto" w:fill="auto"/>
            <w:vAlign w:val="center"/>
          </w:tcPr>
          <w:p w14:paraId="0973B68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10</w:t>
            </w:r>
          </w:p>
        </w:tc>
        <w:tc>
          <w:tcPr>
            <w:tcW w:w="1073" w:type="dxa"/>
            <w:shd w:val="clear" w:color="auto" w:fill="auto"/>
            <w:vAlign w:val="center"/>
          </w:tcPr>
          <w:p w14:paraId="5719A1F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[3.1]</w:t>
            </w:r>
          </w:p>
        </w:tc>
        <w:tc>
          <w:tcPr>
            <w:tcW w:w="847" w:type="dxa"/>
            <w:shd w:val="clear" w:color="auto" w:fill="auto"/>
            <w:vAlign w:val="center"/>
          </w:tcPr>
          <w:p w14:paraId="470AB97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6.8</w:t>
            </w:r>
          </w:p>
        </w:tc>
        <w:tc>
          <w:tcPr>
            <w:tcW w:w="738" w:type="dxa"/>
            <w:shd w:val="clear" w:color="auto" w:fill="auto"/>
            <w:vAlign w:val="center"/>
          </w:tcPr>
          <w:p w14:paraId="620DDE7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[-0.1]</w:t>
            </w:r>
          </w:p>
        </w:tc>
        <w:tc>
          <w:tcPr>
            <w:tcW w:w="831" w:type="dxa"/>
            <w:shd w:val="clear" w:color="auto" w:fill="auto"/>
            <w:vAlign w:val="center"/>
          </w:tcPr>
          <w:p w14:paraId="7C931CA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6.1</w:t>
            </w:r>
          </w:p>
        </w:tc>
        <w:tc>
          <w:tcPr>
            <w:tcW w:w="780" w:type="dxa"/>
            <w:shd w:val="clear" w:color="auto" w:fill="auto"/>
            <w:vAlign w:val="center"/>
          </w:tcPr>
          <w:p w14:paraId="6C8F143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[-0.7]</w:t>
            </w:r>
          </w:p>
        </w:tc>
        <w:tc>
          <w:tcPr>
            <w:tcW w:w="1035" w:type="dxa"/>
            <w:shd w:val="clear" w:color="auto" w:fill="auto"/>
            <w:vAlign w:val="center"/>
          </w:tcPr>
          <w:p w14:paraId="785F3A6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lang w:bidi="ar"/>
              </w:rPr>
              <w:t>[-0.8]</w:t>
            </w:r>
          </w:p>
        </w:tc>
        <w:tc>
          <w:tcPr>
            <w:tcW w:w="870" w:type="dxa"/>
            <w:shd w:val="clear" w:color="auto" w:fill="auto"/>
            <w:vAlign w:val="center"/>
          </w:tcPr>
          <w:p w14:paraId="70938108">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6.5</w:t>
            </w:r>
          </w:p>
        </w:tc>
        <w:tc>
          <w:tcPr>
            <w:tcW w:w="780" w:type="dxa"/>
            <w:shd w:val="clear" w:color="auto" w:fill="auto"/>
            <w:vAlign w:val="center"/>
          </w:tcPr>
          <w:p w14:paraId="15E4DC34">
            <w:pPr>
              <w:widowControl/>
              <w:spacing w:line="280" w:lineRule="exact"/>
              <w:jc w:val="center"/>
              <w:rPr>
                <w:rFonts w:ascii="Times New Roman" w:hAnsi="Times New Roman" w:cs="Times New Roman"/>
                <w:kern w:val="0"/>
                <w:sz w:val="18"/>
                <w:szCs w:val="18"/>
                <w:lang w:bidi="ar"/>
              </w:rPr>
            </w:pPr>
            <w:r>
              <w:rPr>
                <w:rFonts w:ascii="Times New Roman" w:hAnsi="Times New Roman" w:cs="Times New Roman"/>
                <w:kern w:val="0"/>
                <w:sz w:val="18"/>
                <w:szCs w:val="18"/>
                <w:lang w:bidi="ar"/>
              </w:rPr>
              <w:t>[0.4]</w:t>
            </w:r>
          </w:p>
        </w:tc>
        <w:tc>
          <w:tcPr>
            <w:tcW w:w="969" w:type="dxa"/>
            <w:shd w:val="clear" w:color="auto" w:fill="auto"/>
            <w:vAlign w:val="center"/>
          </w:tcPr>
          <w:p w14:paraId="185C6900">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进度偏慢</w:t>
            </w:r>
          </w:p>
        </w:tc>
        <w:tc>
          <w:tcPr>
            <w:tcW w:w="954" w:type="dxa"/>
            <w:shd w:val="clear" w:color="auto" w:fill="auto"/>
            <w:vAlign w:val="center"/>
          </w:tcPr>
          <w:p w14:paraId="1E281866">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力争</w:t>
            </w:r>
            <w:r>
              <w:rPr>
                <w:rFonts w:ascii="Times New Roman" w:hAnsi="Times New Roman" w:cs="Times New Roman"/>
                <w:kern w:val="0"/>
                <w:sz w:val="18"/>
                <w:szCs w:val="18"/>
              </w:rPr>
              <w:t>实现</w:t>
            </w:r>
          </w:p>
        </w:tc>
        <w:tc>
          <w:tcPr>
            <w:tcW w:w="770" w:type="dxa"/>
            <w:shd w:val="clear" w:color="auto" w:fill="auto"/>
            <w:vAlign w:val="center"/>
          </w:tcPr>
          <w:p w14:paraId="02D6C51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666F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13EE850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14</w:t>
            </w:r>
          </w:p>
        </w:tc>
        <w:tc>
          <w:tcPr>
            <w:tcW w:w="2269" w:type="dxa"/>
            <w:gridSpan w:val="2"/>
            <w:shd w:val="clear" w:color="auto" w:fill="auto"/>
            <w:vAlign w:val="center"/>
          </w:tcPr>
          <w:p w14:paraId="6AAAA3E6">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货物贸易进出口额</w:t>
            </w:r>
          </w:p>
        </w:tc>
        <w:tc>
          <w:tcPr>
            <w:tcW w:w="867" w:type="dxa"/>
            <w:shd w:val="clear" w:color="auto" w:fill="auto"/>
            <w:vAlign w:val="center"/>
          </w:tcPr>
          <w:p w14:paraId="177BE86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亿元</w:t>
            </w:r>
          </w:p>
        </w:tc>
        <w:tc>
          <w:tcPr>
            <w:tcW w:w="835" w:type="dxa"/>
            <w:shd w:val="clear" w:color="auto" w:fill="auto"/>
            <w:vAlign w:val="center"/>
          </w:tcPr>
          <w:p w14:paraId="45B363F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324</w:t>
            </w:r>
          </w:p>
        </w:tc>
        <w:tc>
          <w:tcPr>
            <w:tcW w:w="983" w:type="dxa"/>
            <w:shd w:val="clear" w:color="auto" w:fill="auto"/>
            <w:vAlign w:val="center"/>
          </w:tcPr>
          <w:p w14:paraId="5EFD49A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380</w:t>
            </w:r>
          </w:p>
        </w:tc>
        <w:tc>
          <w:tcPr>
            <w:tcW w:w="1073" w:type="dxa"/>
            <w:shd w:val="clear" w:color="auto" w:fill="auto"/>
            <w:vAlign w:val="center"/>
          </w:tcPr>
          <w:p w14:paraId="2E98E9F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3.20%</w:t>
            </w:r>
          </w:p>
        </w:tc>
        <w:tc>
          <w:tcPr>
            <w:tcW w:w="847" w:type="dxa"/>
            <w:shd w:val="clear" w:color="auto" w:fill="auto"/>
            <w:vAlign w:val="center"/>
          </w:tcPr>
          <w:p w14:paraId="75B97F1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369.87</w:t>
            </w:r>
          </w:p>
        </w:tc>
        <w:tc>
          <w:tcPr>
            <w:tcW w:w="738" w:type="dxa"/>
            <w:shd w:val="clear" w:color="auto" w:fill="auto"/>
            <w:vAlign w:val="center"/>
          </w:tcPr>
          <w:p w14:paraId="03DDA17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12.50</w:t>
            </w:r>
          </w:p>
        </w:tc>
        <w:tc>
          <w:tcPr>
            <w:tcW w:w="831" w:type="dxa"/>
            <w:shd w:val="clear" w:color="auto" w:fill="auto"/>
            <w:vAlign w:val="center"/>
          </w:tcPr>
          <w:p w14:paraId="38C5D19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430.06</w:t>
            </w:r>
          </w:p>
        </w:tc>
        <w:tc>
          <w:tcPr>
            <w:tcW w:w="780" w:type="dxa"/>
            <w:shd w:val="clear" w:color="auto" w:fill="auto"/>
            <w:vAlign w:val="center"/>
          </w:tcPr>
          <w:p w14:paraId="4680048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16.38</w:t>
            </w:r>
          </w:p>
        </w:tc>
        <w:tc>
          <w:tcPr>
            <w:tcW w:w="1035" w:type="dxa"/>
            <w:shd w:val="clear" w:color="auto" w:fill="auto"/>
            <w:vAlign w:val="center"/>
          </w:tcPr>
          <w:p w14:paraId="7D9FB83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14.42</w:t>
            </w:r>
          </w:p>
        </w:tc>
        <w:tc>
          <w:tcPr>
            <w:tcW w:w="870" w:type="dxa"/>
            <w:shd w:val="clear" w:color="auto" w:fill="auto"/>
            <w:vAlign w:val="center"/>
          </w:tcPr>
          <w:p w14:paraId="3D35EEA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184.09</w:t>
            </w:r>
          </w:p>
        </w:tc>
        <w:tc>
          <w:tcPr>
            <w:tcW w:w="780" w:type="dxa"/>
            <w:shd w:val="clear" w:color="auto" w:fill="auto"/>
            <w:vAlign w:val="center"/>
          </w:tcPr>
          <w:p w14:paraId="203A7AB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-14.5</w:t>
            </w:r>
          </w:p>
        </w:tc>
        <w:tc>
          <w:tcPr>
            <w:tcW w:w="969" w:type="dxa"/>
            <w:shd w:val="clear" w:color="auto" w:fill="auto"/>
            <w:vAlign w:val="center"/>
          </w:tcPr>
          <w:p w14:paraId="7DE46B7B">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7EFE9BA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7F594B1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01EF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1E5CB24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15</w:t>
            </w:r>
          </w:p>
        </w:tc>
        <w:tc>
          <w:tcPr>
            <w:tcW w:w="2269" w:type="dxa"/>
            <w:gridSpan w:val="2"/>
            <w:shd w:val="clear" w:color="auto" w:fill="auto"/>
            <w:vAlign w:val="center"/>
          </w:tcPr>
          <w:p w14:paraId="2F2087AD">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实际利用外资</w:t>
            </w:r>
          </w:p>
        </w:tc>
        <w:tc>
          <w:tcPr>
            <w:tcW w:w="867" w:type="dxa"/>
            <w:shd w:val="clear" w:color="auto" w:fill="auto"/>
            <w:vAlign w:val="center"/>
          </w:tcPr>
          <w:p w14:paraId="554590B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亿美元</w:t>
            </w:r>
          </w:p>
        </w:tc>
        <w:tc>
          <w:tcPr>
            <w:tcW w:w="835" w:type="dxa"/>
            <w:shd w:val="clear" w:color="auto" w:fill="auto"/>
            <w:vAlign w:val="center"/>
          </w:tcPr>
          <w:p w14:paraId="457A29C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0.27</w:t>
            </w:r>
          </w:p>
        </w:tc>
        <w:tc>
          <w:tcPr>
            <w:tcW w:w="983" w:type="dxa"/>
            <w:shd w:val="clear" w:color="auto" w:fill="auto"/>
            <w:vAlign w:val="center"/>
          </w:tcPr>
          <w:p w14:paraId="1AC92AB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0.35</w:t>
            </w:r>
          </w:p>
        </w:tc>
        <w:tc>
          <w:tcPr>
            <w:tcW w:w="1073" w:type="dxa"/>
            <w:shd w:val="clear" w:color="auto" w:fill="auto"/>
            <w:vAlign w:val="center"/>
          </w:tcPr>
          <w:p w14:paraId="753FFD4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5.30%</w:t>
            </w:r>
          </w:p>
        </w:tc>
        <w:tc>
          <w:tcPr>
            <w:tcW w:w="847" w:type="dxa"/>
            <w:shd w:val="clear" w:color="auto" w:fill="auto"/>
            <w:vAlign w:val="center"/>
          </w:tcPr>
          <w:p w14:paraId="2DA5BDA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0.47</w:t>
            </w:r>
          </w:p>
        </w:tc>
        <w:tc>
          <w:tcPr>
            <w:tcW w:w="738" w:type="dxa"/>
            <w:shd w:val="clear" w:color="auto" w:fill="auto"/>
            <w:vAlign w:val="center"/>
          </w:tcPr>
          <w:p w14:paraId="562FF27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74.10</w:t>
            </w:r>
          </w:p>
        </w:tc>
        <w:tc>
          <w:tcPr>
            <w:tcW w:w="831" w:type="dxa"/>
            <w:shd w:val="clear" w:color="auto" w:fill="auto"/>
            <w:vAlign w:val="center"/>
          </w:tcPr>
          <w:p w14:paraId="0073F10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0.79</w:t>
            </w:r>
          </w:p>
        </w:tc>
        <w:tc>
          <w:tcPr>
            <w:tcW w:w="780" w:type="dxa"/>
            <w:shd w:val="clear" w:color="auto" w:fill="auto"/>
            <w:vAlign w:val="center"/>
          </w:tcPr>
          <w:p w14:paraId="5EC4327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68.10</w:t>
            </w:r>
          </w:p>
        </w:tc>
        <w:tc>
          <w:tcPr>
            <w:tcW w:w="1035" w:type="dxa"/>
            <w:shd w:val="clear" w:color="auto" w:fill="auto"/>
            <w:vAlign w:val="center"/>
          </w:tcPr>
          <w:p w14:paraId="06A0B74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71.07</w:t>
            </w:r>
          </w:p>
        </w:tc>
        <w:tc>
          <w:tcPr>
            <w:tcW w:w="870" w:type="dxa"/>
            <w:shd w:val="clear" w:color="auto" w:fill="auto"/>
            <w:vAlign w:val="center"/>
          </w:tcPr>
          <w:p w14:paraId="7CBE703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0.046</w:t>
            </w:r>
          </w:p>
        </w:tc>
        <w:tc>
          <w:tcPr>
            <w:tcW w:w="780" w:type="dxa"/>
            <w:shd w:val="clear" w:color="auto" w:fill="auto"/>
            <w:vAlign w:val="center"/>
          </w:tcPr>
          <w:p w14:paraId="70E2076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-86.9</w:t>
            </w:r>
          </w:p>
        </w:tc>
        <w:tc>
          <w:tcPr>
            <w:tcW w:w="969" w:type="dxa"/>
            <w:shd w:val="clear" w:color="auto" w:fill="auto"/>
            <w:vAlign w:val="center"/>
          </w:tcPr>
          <w:p w14:paraId="53AC3DB3">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711ECA3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1CD0486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68EA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47B2501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2269" w:type="dxa"/>
            <w:gridSpan w:val="2"/>
            <w:shd w:val="clear" w:color="auto" w:fill="auto"/>
            <w:vAlign w:val="center"/>
          </w:tcPr>
          <w:p w14:paraId="3ECA9B76">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依申请政府服务办件“一网通办”率</w:t>
            </w:r>
          </w:p>
        </w:tc>
        <w:tc>
          <w:tcPr>
            <w:tcW w:w="867" w:type="dxa"/>
            <w:shd w:val="clear" w:color="auto" w:fill="auto"/>
            <w:vAlign w:val="center"/>
          </w:tcPr>
          <w:p w14:paraId="063D77E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0980EC5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83" w:type="dxa"/>
            <w:shd w:val="clear" w:color="auto" w:fill="auto"/>
            <w:vAlign w:val="center"/>
          </w:tcPr>
          <w:p w14:paraId="0381CAD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90</w:t>
            </w:r>
          </w:p>
        </w:tc>
        <w:tc>
          <w:tcPr>
            <w:tcW w:w="1073" w:type="dxa"/>
            <w:shd w:val="clear" w:color="auto" w:fill="auto"/>
            <w:vAlign w:val="center"/>
          </w:tcPr>
          <w:p w14:paraId="28DB011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47" w:type="dxa"/>
            <w:shd w:val="clear" w:color="auto" w:fill="auto"/>
            <w:vAlign w:val="center"/>
          </w:tcPr>
          <w:p w14:paraId="6881E14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79.78</w:t>
            </w:r>
          </w:p>
        </w:tc>
        <w:tc>
          <w:tcPr>
            <w:tcW w:w="738" w:type="dxa"/>
            <w:shd w:val="clear" w:color="auto" w:fill="auto"/>
            <w:vAlign w:val="center"/>
          </w:tcPr>
          <w:p w14:paraId="79206A6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1" w:type="dxa"/>
            <w:shd w:val="clear" w:color="auto" w:fill="auto"/>
            <w:vAlign w:val="center"/>
          </w:tcPr>
          <w:p w14:paraId="0D550E5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97.37</w:t>
            </w:r>
          </w:p>
        </w:tc>
        <w:tc>
          <w:tcPr>
            <w:tcW w:w="780" w:type="dxa"/>
            <w:shd w:val="clear" w:color="auto" w:fill="auto"/>
            <w:vAlign w:val="center"/>
          </w:tcPr>
          <w:p w14:paraId="7356443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66E5D2E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70" w:type="dxa"/>
            <w:shd w:val="clear" w:color="auto" w:fill="auto"/>
            <w:noWrap/>
            <w:vAlign w:val="center"/>
          </w:tcPr>
          <w:p w14:paraId="1A43241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99.35</w:t>
            </w:r>
          </w:p>
        </w:tc>
        <w:tc>
          <w:tcPr>
            <w:tcW w:w="780" w:type="dxa"/>
            <w:shd w:val="clear" w:color="auto" w:fill="auto"/>
            <w:vAlign w:val="center"/>
          </w:tcPr>
          <w:p w14:paraId="5A8DCB3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6FC2B3CB">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符合</w:t>
            </w:r>
            <w:r>
              <w:rPr>
                <w:rFonts w:ascii="Times New Roman" w:hAnsi="Times New Roman" w:cs="Times New Roman"/>
                <w:kern w:val="0"/>
                <w:sz w:val="18"/>
                <w:szCs w:val="18"/>
              </w:rPr>
              <w:t>进度</w:t>
            </w:r>
          </w:p>
        </w:tc>
        <w:tc>
          <w:tcPr>
            <w:tcW w:w="954" w:type="dxa"/>
            <w:shd w:val="clear" w:color="auto" w:fill="auto"/>
            <w:vAlign w:val="center"/>
          </w:tcPr>
          <w:p w14:paraId="2463D92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06C17B1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5AB9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25" w:type="dxa"/>
            <w:vMerge w:val="restart"/>
            <w:shd w:val="clear" w:color="auto" w:fill="auto"/>
            <w:vAlign w:val="center"/>
          </w:tcPr>
          <w:p w14:paraId="447D02F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17</w:t>
            </w:r>
          </w:p>
        </w:tc>
        <w:tc>
          <w:tcPr>
            <w:tcW w:w="1418" w:type="dxa"/>
            <w:vMerge w:val="restart"/>
            <w:shd w:val="clear" w:color="auto" w:fill="auto"/>
            <w:vAlign w:val="center"/>
          </w:tcPr>
          <w:p w14:paraId="0EE222FA">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常住居民人均可支配收入</w:t>
            </w:r>
          </w:p>
        </w:tc>
        <w:tc>
          <w:tcPr>
            <w:tcW w:w="851" w:type="dxa"/>
            <w:shd w:val="clear" w:color="auto" w:fill="auto"/>
            <w:vAlign w:val="center"/>
          </w:tcPr>
          <w:p w14:paraId="132A3F7E">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城镇</w:t>
            </w:r>
          </w:p>
        </w:tc>
        <w:tc>
          <w:tcPr>
            <w:tcW w:w="867" w:type="dxa"/>
            <w:shd w:val="clear" w:color="auto" w:fill="auto"/>
            <w:vAlign w:val="center"/>
          </w:tcPr>
          <w:p w14:paraId="03AAEC2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元</w:t>
            </w:r>
          </w:p>
        </w:tc>
        <w:tc>
          <w:tcPr>
            <w:tcW w:w="835" w:type="dxa"/>
            <w:shd w:val="clear" w:color="auto" w:fill="auto"/>
            <w:vAlign w:val="center"/>
          </w:tcPr>
          <w:p w14:paraId="6DE112E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67301</w:t>
            </w:r>
          </w:p>
        </w:tc>
        <w:tc>
          <w:tcPr>
            <w:tcW w:w="983" w:type="dxa"/>
            <w:shd w:val="clear" w:color="auto" w:fill="auto"/>
            <w:vAlign w:val="center"/>
          </w:tcPr>
          <w:p w14:paraId="6D7F33A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90064</w:t>
            </w:r>
          </w:p>
        </w:tc>
        <w:tc>
          <w:tcPr>
            <w:tcW w:w="1073" w:type="dxa"/>
            <w:shd w:val="clear" w:color="auto" w:fill="auto"/>
            <w:vAlign w:val="center"/>
          </w:tcPr>
          <w:p w14:paraId="62E0DC4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847" w:type="dxa"/>
            <w:shd w:val="clear" w:color="auto" w:fill="auto"/>
            <w:vAlign w:val="center"/>
          </w:tcPr>
          <w:p w14:paraId="154D3F3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73762</w:t>
            </w:r>
          </w:p>
        </w:tc>
        <w:tc>
          <w:tcPr>
            <w:tcW w:w="738" w:type="dxa"/>
            <w:shd w:val="clear" w:color="auto" w:fill="auto"/>
            <w:vAlign w:val="center"/>
          </w:tcPr>
          <w:p w14:paraId="5C5F35D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9.60%</w:t>
            </w:r>
          </w:p>
        </w:tc>
        <w:tc>
          <w:tcPr>
            <w:tcW w:w="831" w:type="dxa"/>
            <w:shd w:val="clear" w:color="auto" w:fill="auto"/>
            <w:vAlign w:val="center"/>
          </w:tcPr>
          <w:p w14:paraId="49F0BB6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77254</w:t>
            </w:r>
          </w:p>
        </w:tc>
        <w:tc>
          <w:tcPr>
            <w:tcW w:w="780" w:type="dxa"/>
            <w:shd w:val="clear" w:color="auto" w:fill="auto"/>
            <w:vAlign w:val="center"/>
          </w:tcPr>
          <w:p w14:paraId="6D357E0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4.70</w:t>
            </w:r>
          </w:p>
        </w:tc>
        <w:tc>
          <w:tcPr>
            <w:tcW w:w="1035" w:type="dxa"/>
            <w:shd w:val="clear" w:color="auto" w:fill="auto"/>
            <w:vAlign w:val="center"/>
          </w:tcPr>
          <w:p w14:paraId="2A92146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7.12%</w:t>
            </w:r>
          </w:p>
        </w:tc>
        <w:tc>
          <w:tcPr>
            <w:tcW w:w="870" w:type="dxa"/>
            <w:shd w:val="clear" w:color="auto" w:fill="auto"/>
            <w:vAlign w:val="center"/>
          </w:tcPr>
          <w:p w14:paraId="62086A3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42796</w:t>
            </w:r>
          </w:p>
        </w:tc>
        <w:tc>
          <w:tcPr>
            <w:tcW w:w="780" w:type="dxa"/>
            <w:shd w:val="clear" w:color="auto" w:fill="auto"/>
            <w:vAlign w:val="center"/>
          </w:tcPr>
          <w:p w14:paraId="0758CEC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6.1%</w:t>
            </w:r>
          </w:p>
        </w:tc>
        <w:tc>
          <w:tcPr>
            <w:tcW w:w="969" w:type="dxa"/>
            <w:shd w:val="clear" w:color="auto" w:fill="auto"/>
            <w:vAlign w:val="center"/>
          </w:tcPr>
          <w:p w14:paraId="47E2B825">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符合</w:t>
            </w:r>
            <w:r>
              <w:rPr>
                <w:rFonts w:ascii="Times New Roman" w:hAnsi="Times New Roman" w:cs="Times New Roman"/>
                <w:kern w:val="0"/>
                <w:sz w:val="18"/>
                <w:szCs w:val="18"/>
              </w:rPr>
              <w:t>进度</w:t>
            </w:r>
          </w:p>
        </w:tc>
        <w:tc>
          <w:tcPr>
            <w:tcW w:w="954" w:type="dxa"/>
            <w:shd w:val="clear" w:color="auto" w:fill="auto"/>
            <w:vAlign w:val="center"/>
          </w:tcPr>
          <w:p w14:paraId="2F7B3C1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2967E8B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4866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vMerge w:val="continue"/>
            <w:shd w:val="clear" w:color="auto" w:fill="auto"/>
            <w:vAlign w:val="center"/>
          </w:tcPr>
          <w:p w14:paraId="0A22756D">
            <w:pPr>
              <w:widowControl/>
              <w:spacing w:line="280" w:lineRule="exact"/>
              <w:jc w:val="center"/>
              <w:rPr>
                <w:rFonts w:ascii="Times New Roman" w:hAnsi="Times New Roman" w:cs="Times New Roman"/>
                <w:kern w:val="0"/>
                <w:sz w:val="18"/>
                <w:szCs w:val="18"/>
              </w:rPr>
            </w:pPr>
          </w:p>
        </w:tc>
        <w:tc>
          <w:tcPr>
            <w:tcW w:w="1418" w:type="dxa"/>
            <w:vMerge w:val="continue"/>
            <w:shd w:val="clear" w:color="auto" w:fill="auto"/>
            <w:vAlign w:val="center"/>
          </w:tcPr>
          <w:p w14:paraId="28645F54">
            <w:pPr>
              <w:widowControl/>
              <w:spacing w:line="280" w:lineRule="exact"/>
              <w:rPr>
                <w:rFonts w:ascii="Times New Roman" w:hAnsi="Times New Roman" w:cs="Times New Roman"/>
                <w:kern w:val="0"/>
                <w:sz w:val="18"/>
                <w:szCs w:val="18"/>
              </w:rPr>
            </w:pPr>
          </w:p>
        </w:tc>
        <w:tc>
          <w:tcPr>
            <w:tcW w:w="851" w:type="dxa"/>
            <w:shd w:val="clear" w:color="auto" w:fill="auto"/>
            <w:vAlign w:val="center"/>
          </w:tcPr>
          <w:p w14:paraId="677981EB">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农村</w:t>
            </w:r>
          </w:p>
        </w:tc>
        <w:tc>
          <w:tcPr>
            <w:tcW w:w="867" w:type="dxa"/>
            <w:shd w:val="clear" w:color="auto" w:fill="auto"/>
            <w:vAlign w:val="center"/>
          </w:tcPr>
          <w:p w14:paraId="65ABA53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元</w:t>
            </w:r>
          </w:p>
        </w:tc>
        <w:tc>
          <w:tcPr>
            <w:tcW w:w="835" w:type="dxa"/>
            <w:shd w:val="clear" w:color="auto" w:fill="auto"/>
            <w:vAlign w:val="center"/>
          </w:tcPr>
          <w:p w14:paraId="651D01F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35872</w:t>
            </w:r>
          </w:p>
        </w:tc>
        <w:tc>
          <w:tcPr>
            <w:tcW w:w="983" w:type="dxa"/>
            <w:shd w:val="clear" w:color="auto" w:fill="auto"/>
            <w:vAlign w:val="center"/>
          </w:tcPr>
          <w:p w14:paraId="5D15AF7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50312</w:t>
            </w:r>
          </w:p>
        </w:tc>
        <w:tc>
          <w:tcPr>
            <w:tcW w:w="1073" w:type="dxa"/>
            <w:shd w:val="clear" w:color="auto" w:fill="auto"/>
            <w:vAlign w:val="center"/>
          </w:tcPr>
          <w:p w14:paraId="45495D9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847" w:type="dxa"/>
            <w:shd w:val="clear" w:color="auto" w:fill="auto"/>
            <w:vAlign w:val="center"/>
          </w:tcPr>
          <w:p w14:paraId="17914E4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39424</w:t>
            </w:r>
          </w:p>
        </w:tc>
        <w:tc>
          <w:tcPr>
            <w:tcW w:w="738" w:type="dxa"/>
            <w:shd w:val="clear" w:color="auto" w:fill="auto"/>
            <w:vAlign w:val="center"/>
          </w:tcPr>
          <w:p w14:paraId="758CEA7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9.90%</w:t>
            </w:r>
          </w:p>
        </w:tc>
        <w:tc>
          <w:tcPr>
            <w:tcW w:w="831" w:type="dxa"/>
            <w:shd w:val="clear" w:color="auto" w:fill="auto"/>
            <w:vAlign w:val="center"/>
          </w:tcPr>
          <w:p w14:paraId="79AB8F8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42247</w:t>
            </w:r>
          </w:p>
        </w:tc>
        <w:tc>
          <w:tcPr>
            <w:tcW w:w="780" w:type="dxa"/>
            <w:shd w:val="clear" w:color="auto" w:fill="auto"/>
            <w:vAlign w:val="center"/>
          </w:tcPr>
          <w:p w14:paraId="14AF125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7.20</w:t>
            </w:r>
          </w:p>
        </w:tc>
        <w:tc>
          <w:tcPr>
            <w:tcW w:w="1035" w:type="dxa"/>
            <w:shd w:val="clear" w:color="auto" w:fill="auto"/>
            <w:vAlign w:val="center"/>
          </w:tcPr>
          <w:p w14:paraId="6F6536E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8.55%</w:t>
            </w:r>
          </w:p>
        </w:tc>
        <w:tc>
          <w:tcPr>
            <w:tcW w:w="870" w:type="dxa"/>
            <w:shd w:val="clear" w:color="auto" w:fill="auto"/>
            <w:vAlign w:val="center"/>
          </w:tcPr>
          <w:p w14:paraId="36C9F26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24834</w:t>
            </w:r>
          </w:p>
        </w:tc>
        <w:tc>
          <w:tcPr>
            <w:tcW w:w="780" w:type="dxa"/>
            <w:shd w:val="clear" w:color="auto" w:fill="auto"/>
            <w:vAlign w:val="center"/>
          </w:tcPr>
          <w:p w14:paraId="4B7063C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6.8%</w:t>
            </w:r>
          </w:p>
        </w:tc>
        <w:tc>
          <w:tcPr>
            <w:tcW w:w="969" w:type="dxa"/>
            <w:shd w:val="clear" w:color="auto" w:fill="auto"/>
            <w:vAlign w:val="center"/>
          </w:tcPr>
          <w:p w14:paraId="6AC66B57">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符合</w:t>
            </w:r>
            <w:r>
              <w:rPr>
                <w:rFonts w:ascii="Times New Roman" w:hAnsi="Times New Roman" w:cs="Times New Roman"/>
                <w:kern w:val="0"/>
                <w:sz w:val="18"/>
                <w:szCs w:val="18"/>
              </w:rPr>
              <w:t>进度</w:t>
            </w:r>
          </w:p>
        </w:tc>
        <w:tc>
          <w:tcPr>
            <w:tcW w:w="954" w:type="dxa"/>
            <w:shd w:val="clear" w:color="auto" w:fill="auto"/>
            <w:vAlign w:val="center"/>
          </w:tcPr>
          <w:p w14:paraId="216CA14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294FF20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1AA6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36FB776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18</w:t>
            </w:r>
          </w:p>
        </w:tc>
        <w:tc>
          <w:tcPr>
            <w:tcW w:w="2269" w:type="dxa"/>
            <w:gridSpan w:val="2"/>
            <w:shd w:val="clear" w:color="auto" w:fill="auto"/>
            <w:vAlign w:val="center"/>
          </w:tcPr>
          <w:p w14:paraId="29A6BB1B">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城镇新增就业人数</w:t>
            </w:r>
          </w:p>
        </w:tc>
        <w:tc>
          <w:tcPr>
            <w:tcW w:w="867" w:type="dxa"/>
            <w:shd w:val="clear" w:color="auto" w:fill="auto"/>
            <w:vAlign w:val="center"/>
          </w:tcPr>
          <w:p w14:paraId="261FEA0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万人</w:t>
            </w:r>
          </w:p>
        </w:tc>
        <w:tc>
          <w:tcPr>
            <w:tcW w:w="835" w:type="dxa"/>
            <w:shd w:val="clear" w:color="auto" w:fill="auto"/>
            <w:vAlign w:val="center"/>
          </w:tcPr>
          <w:p w14:paraId="064EA39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1.7</w:t>
            </w:r>
          </w:p>
        </w:tc>
        <w:tc>
          <w:tcPr>
            <w:tcW w:w="983" w:type="dxa"/>
            <w:shd w:val="clear" w:color="auto" w:fill="auto"/>
            <w:vAlign w:val="center"/>
          </w:tcPr>
          <w:p w14:paraId="03ED961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73" w:type="dxa"/>
            <w:shd w:val="clear" w:color="auto" w:fill="auto"/>
            <w:vAlign w:val="center"/>
          </w:tcPr>
          <w:p w14:paraId="273CE27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847" w:type="dxa"/>
            <w:shd w:val="clear" w:color="auto" w:fill="auto"/>
            <w:vAlign w:val="center"/>
          </w:tcPr>
          <w:p w14:paraId="3A950BF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2.1</w:t>
            </w:r>
          </w:p>
        </w:tc>
        <w:tc>
          <w:tcPr>
            <w:tcW w:w="738" w:type="dxa"/>
            <w:shd w:val="clear" w:color="auto" w:fill="auto"/>
            <w:vAlign w:val="center"/>
          </w:tcPr>
          <w:p w14:paraId="1C2C5FA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1" w:type="dxa"/>
            <w:shd w:val="clear" w:color="auto" w:fill="auto"/>
            <w:vAlign w:val="center"/>
          </w:tcPr>
          <w:p w14:paraId="272F5D7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1.3</w:t>
            </w:r>
          </w:p>
        </w:tc>
        <w:tc>
          <w:tcPr>
            <w:tcW w:w="780" w:type="dxa"/>
            <w:shd w:val="clear" w:color="auto" w:fill="auto"/>
            <w:vAlign w:val="center"/>
          </w:tcPr>
          <w:p w14:paraId="60010C8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249E156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[3.4]</w:t>
            </w:r>
          </w:p>
        </w:tc>
        <w:tc>
          <w:tcPr>
            <w:tcW w:w="870" w:type="dxa"/>
            <w:shd w:val="clear" w:color="auto" w:fill="auto"/>
            <w:vAlign w:val="center"/>
          </w:tcPr>
          <w:p w14:paraId="244C771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0.74</w:t>
            </w:r>
          </w:p>
        </w:tc>
        <w:tc>
          <w:tcPr>
            <w:tcW w:w="780" w:type="dxa"/>
            <w:shd w:val="clear" w:color="auto" w:fill="auto"/>
            <w:vAlign w:val="center"/>
          </w:tcPr>
          <w:p w14:paraId="21D0D00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6EFADCE9">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745ED7A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53A4DBB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14E6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65F698E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19</w:t>
            </w:r>
          </w:p>
        </w:tc>
        <w:tc>
          <w:tcPr>
            <w:tcW w:w="2269" w:type="dxa"/>
            <w:gridSpan w:val="2"/>
            <w:shd w:val="clear" w:color="auto" w:fill="auto"/>
            <w:vAlign w:val="center"/>
          </w:tcPr>
          <w:p w14:paraId="27FB9A2C">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每千人拥有3岁以下婴幼儿托位数</w:t>
            </w:r>
          </w:p>
        </w:tc>
        <w:tc>
          <w:tcPr>
            <w:tcW w:w="867" w:type="dxa"/>
            <w:shd w:val="clear" w:color="auto" w:fill="auto"/>
            <w:vAlign w:val="center"/>
          </w:tcPr>
          <w:p w14:paraId="70A80FA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个</w:t>
            </w:r>
          </w:p>
        </w:tc>
        <w:tc>
          <w:tcPr>
            <w:tcW w:w="835" w:type="dxa"/>
            <w:shd w:val="clear" w:color="auto" w:fill="auto"/>
            <w:vAlign w:val="center"/>
          </w:tcPr>
          <w:p w14:paraId="19A08F5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0.11</w:t>
            </w:r>
          </w:p>
        </w:tc>
        <w:tc>
          <w:tcPr>
            <w:tcW w:w="983" w:type="dxa"/>
            <w:shd w:val="clear" w:color="auto" w:fill="auto"/>
            <w:vAlign w:val="center"/>
          </w:tcPr>
          <w:p w14:paraId="43AFFB3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1073" w:type="dxa"/>
            <w:shd w:val="clear" w:color="auto" w:fill="auto"/>
            <w:vAlign w:val="center"/>
          </w:tcPr>
          <w:p w14:paraId="74E28CD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[2.89]</w:t>
            </w:r>
          </w:p>
        </w:tc>
        <w:tc>
          <w:tcPr>
            <w:tcW w:w="847" w:type="dxa"/>
            <w:shd w:val="clear" w:color="auto" w:fill="auto"/>
            <w:vAlign w:val="center"/>
          </w:tcPr>
          <w:p w14:paraId="659E6B9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738" w:type="dxa"/>
            <w:shd w:val="clear" w:color="auto" w:fill="auto"/>
            <w:vAlign w:val="center"/>
          </w:tcPr>
          <w:p w14:paraId="43FAF9B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[2.39]</w:t>
            </w:r>
          </w:p>
        </w:tc>
        <w:tc>
          <w:tcPr>
            <w:tcW w:w="831" w:type="dxa"/>
            <w:shd w:val="clear" w:color="auto" w:fill="auto"/>
            <w:vAlign w:val="center"/>
          </w:tcPr>
          <w:p w14:paraId="32BBAFF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3.92</w:t>
            </w:r>
          </w:p>
        </w:tc>
        <w:tc>
          <w:tcPr>
            <w:tcW w:w="780" w:type="dxa"/>
            <w:shd w:val="clear" w:color="auto" w:fill="auto"/>
            <w:vAlign w:val="center"/>
          </w:tcPr>
          <w:p w14:paraId="1FA2D96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[1.42]</w:t>
            </w:r>
          </w:p>
        </w:tc>
        <w:tc>
          <w:tcPr>
            <w:tcW w:w="1035" w:type="dxa"/>
            <w:shd w:val="clear" w:color="auto" w:fill="auto"/>
            <w:vAlign w:val="center"/>
          </w:tcPr>
          <w:p w14:paraId="0142DC0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[3.81]</w:t>
            </w:r>
          </w:p>
        </w:tc>
        <w:tc>
          <w:tcPr>
            <w:tcW w:w="870" w:type="dxa"/>
            <w:shd w:val="clear" w:color="auto" w:fill="auto"/>
            <w:vAlign w:val="center"/>
          </w:tcPr>
          <w:p w14:paraId="7E2F986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4.2</w:t>
            </w:r>
          </w:p>
        </w:tc>
        <w:tc>
          <w:tcPr>
            <w:tcW w:w="780" w:type="dxa"/>
            <w:shd w:val="clear" w:color="auto" w:fill="auto"/>
            <w:vAlign w:val="center"/>
          </w:tcPr>
          <w:p w14:paraId="78EB6F1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[1.2]</w:t>
            </w:r>
          </w:p>
        </w:tc>
        <w:tc>
          <w:tcPr>
            <w:tcW w:w="969" w:type="dxa"/>
            <w:shd w:val="clear" w:color="auto" w:fill="auto"/>
            <w:vAlign w:val="center"/>
          </w:tcPr>
          <w:p w14:paraId="7B9DCDB6">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2F2A96C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2250981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68E9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4BF22B5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2269" w:type="dxa"/>
            <w:gridSpan w:val="2"/>
            <w:shd w:val="clear" w:color="auto" w:fill="auto"/>
            <w:vAlign w:val="center"/>
          </w:tcPr>
          <w:p w14:paraId="65DAA4EE">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劳动年龄人口平均受教育年限</w:t>
            </w:r>
            <w:r>
              <w:rPr>
                <w:rFonts w:hint="eastAsia" w:ascii="Times New Roman" w:hAnsi="Times New Roman" w:cs="Times New Roman"/>
                <w:kern w:val="0"/>
                <w:sz w:val="18"/>
                <w:szCs w:val="18"/>
              </w:rPr>
              <w:t>*</w:t>
            </w:r>
          </w:p>
        </w:tc>
        <w:tc>
          <w:tcPr>
            <w:tcW w:w="867" w:type="dxa"/>
            <w:shd w:val="clear" w:color="auto" w:fill="auto"/>
            <w:vAlign w:val="center"/>
          </w:tcPr>
          <w:p w14:paraId="590D8DD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年</w:t>
            </w:r>
          </w:p>
        </w:tc>
        <w:tc>
          <w:tcPr>
            <w:tcW w:w="835" w:type="dxa"/>
            <w:shd w:val="clear" w:color="auto" w:fill="auto"/>
            <w:vAlign w:val="center"/>
          </w:tcPr>
          <w:p w14:paraId="6893849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13.4</w:t>
            </w:r>
          </w:p>
        </w:tc>
        <w:tc>
          <w:tcPr>
            <w:tcW w:w="983" w:type="dxa"/>
            <w:shd w:val="clear" w:color="auto" w:fill="auto"/>
            <w:vAlign w:val="center"/>
          </w:tcPr>
          <w:p w14:paraId="54BF069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14.1</w:t>
            </w:r>
          </w:p>
        </w:tc>
        <w:tc>
          <w:tcPr>
            <w:tcW w:w="1073" w:type="dxa"/>
            <w:shd w:val="clear" w:color="auto" w:fill="auto"/>
            <w:vAlign w:val="center"/>
          </w:tcPr>
          <w:p w14:paraId="50A3EF3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[0.7]</w:t>
            </w:r>
          </w:p>
        </w:tc>
        <w:tc>
          <w:tcPr>
            <w:tcW w:w="847" w:type="dxa"/>
            <w:shd w:val="clear" w:color="auto" w:fill="auto"/>
            <w:noWrap/>
            <w:vAlign w:val="center"/>
          </w:tcPr>
          <w:p w14:paraId="5B2A0E6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13.7</w:t>
            </w:r>
          </w:p>
        </w:tc>
        <w:tc>
          <w:tcPr>
            <w:tcW w:w="738" w:type="dxa"/>
            <w:shd w:val="clear" w:color="auto" w:fill="auto"/>
            <w:vAlign w:val="center"/>
          </w:tcPr>
          <w:p w14:paraId="6C72787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[0.3]</w:t>
            </w:r>
          </w:p>
        </w:tc>
        <w:tc>
          <w:tcPr>
            <w:tcW w:w="831" w:type="dxa"/>
            <w:shd w:val="clear" w:color="auto" w:fill="auto"/>
            <w:vAlign w:val="center"/>
          </w:tcPr>
          <w:p w14:paraId="519B6FE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14</w:t>
            </w:r>
          </w:p>
        </w:tc>
        <w:tc>
          <w:tcPr>
            <w:tcW w:w="780" w:type="dxa"/>
            <w:shd w:val="clear" w:color="auto" w:fill="auto"/>
            <w:vAlign w:val="center"/>
          </w:tcPr>
          <w:p w14:paraId="0DCAFAC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[0.3]</w:t>
            </w:r>
          </w:p>
        </w:tc>
        <w:tc>
          <w:tcPr>
            <w:tcW w:w="1035" w:type="dxa"/>
            <w:shd w:val="clear" w:color="auto" w:fill="auto"/>
            <w:vAlign w:val="center"/>
          </w:tcPr>
          <w:p w14:paraId="7A71EC1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[0.6]</w:t>
            </w:r>
          </w:p>
        </w:tc>
        <w:tc>
          <w:tcPr>
            <w:tcW w:w="870" w:type="dxa"/>
            <w:shd w:val="clear" w:color="auto" w:fill="auto"/>
            <w:vAlign w:val="center"/>
          </w:tcPr>
          <w:p w14:paraId="28CC8CC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66BBFA8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73AE4C9B">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3713A4E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23F6A0E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19A2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522FCD9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21</w:t>
            </w:r>
          </w:p>
        </w:tc>
        <w:tc>
          <w:tcPr>
            <w:tcW w:w="2269" w:type="dxa"/>
            <w:gridSpan w:val="2"/>
            <w:shd w:val="clear" w:color="auto" w:fill="auto"/>
            <w:vAlign w:val="center"/>
          </w:tcPr>
          <w:p w14:paraId="564E7B45">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每千人口执业（助理）医师数（常住人口）</w:t>
            </w:r>
            <w:r>
              <w:rPr>
                <w:rFonts w:hint="eastAsia" w:ascii="Times New Roman" w:hAnsi="Times New Roman" w:cs="Times New Roman"/>
                <w:kern w:val="0"/>
                <w:sz w:val="18"/>
                <w:szCs w:val="18"/>
              </w:rPr>
              <w:t>*</w:t>
            </w:r>
          </w:p>
        </w:tc>
        <w:tc>
          <w:tcPr>
            <w:tcW w:w="867" w:type="dxa"/>
            <w:shd w:val="clear" w:color="auto" w:fill="auto"/>
            <w:vAlign w:val="center"/>
          </w:tcPr>
          <w:p w14:paraId="4F1D929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35" w:type="dxa"/>
            <w:shd w:val="clear" w:color="auto" w:fill="auto"/>
            <w:vAlign w:val="center"/>
          </w:tcPr>
          <w:p w14:paraId="69DBF07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2.87</w:t>
            </w:r>
          </w:p>
        </w:tc>
        <w:tc>
          <w:tcPr>
            <w:tcW w:w="983" w:type="dxa"/>
            <w:shd w:val="clear" w:color="auto" w:fill="auto"/>
            <w:vAlign w:val="center"/>
          </w:tcPr>
          <w:p w14:paraId="3F6EC62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3.84</w:t>
            </w:r>
          </w:p>
        </w:tc>
        <w:tc>
          <w:tcPr>
            <w:tcW w:w="1073" w:type="dxa"/>
            <w:shd w:val="clear" w:color="auto" w:fill="auto"/>
            <w:vAlign w:val="center"/>
          </w:tcPr>
          <w:p w14:paraId="799E93B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[0.97]</w:t>
            </w:r>
          </w:p>
        </w:tc>
        <w:tc>
          <w:tcPr>
            <w:tcW w:w="847" w:type="dxa"/>
            <w:shd w:val="clear" w:color="auto" w:fill="auto"/>
            <w:vAlign w:val="center"/>
          </w:tcPr>
          <w:p w14:paraId="75435B3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3.02</w:t>
            </w:r>
          </w:p>
        </w:tc>
        <w:tc>
          <w:tcPr>
            <w:tcW w:w="738" w:type="dxa"/>
            <w:shd w:val="clear" w:color="auto" w:fill="auto"/>
            <w:vAlign w:val="center"/>
          </w:tcPr>
          <w:p w14:paraId="65BBA0A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[0.15]</w:t>
            </w:r>
          </w:p>
        </w:tc>
        <w:tc>
          <w:tcPr>
            <w:tcW w:w="831" w:type="dxa"/>
            <w:shd w:val="clear" w:color="auto" w:fill="auto"/>
            <w:vAlign w:val="center"/>
          </w:tcPr>
          <w:p w14:paraId="1C04AFA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3.16</w:t>
            </w:r>
          </w:p>
        </w:tc>
        <w:tc>
          <w:tcPr>
            <w:tcW w:w="780" w:type="dxa"/>
            <w:shd w:val="clear" w:color="auto" w:fill="auto"/>
            <w:vAlign w:val="center"/>
          </w:tcPr>
          <w:p w14:paraId="64471A1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[0.14]</w:t>
            </w:r>
          </w:p>
        </w:tc>
        <w:tc>
          <w:tcPr>
            <w:tcW w:w="1035" w:type="dxa"/>
            <w:shd w:val="clear" w:color="auto" w:fill="auto"/>
            <w:vAlign w:val="center"/>
          </w:tcPr>
          <w:p w14:paraId="6C36157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[0.29]</w:t>
            </w:r>
          </w:p>
        </w:tc>
        <w:tc>
          <w:tcPr>
            <w:tcW w:w="870" w:type="dxa"/>
            <w:shd w:val="clear" w:color="auto" w:fill="auto"/>
            <w:vAlign w:val="center"/>
          </w:tcPr>
          <w:p w14:paraId="4E0A93F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3.17</w:t>
            </w:r>
          </w:p>
        </w:tc>
        <w:tc>
          <w:tcPr>
            <w:tcW w:w="780" w:type="dxa"/>
            <w:shd w:val="clear" w:color="auto" w:fill="auto"/>
            <w:vAlign w:val="center"/>
          </w:tcPr>
          <w:p w14:paraId="66864F5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w:t>
            </w:r>
          </w:p>
        </w:tc>
        <w:tc>
          <w:tcPr>
            <w:tcW w:w="969" w:type="dxa"/>
            <w:shd w:val="clear" w:color="auto" w:fill="auto"/>
            <w:vAlign w:val="center"/>
          </w:tcPr>
          <w:p w14:paraId="369D376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进度偏慢</w:t>
            </w:r>
          </w:p>
        </w:tc>
        <w:tc>
          <w:tcPr>
            <w:tcW w:w="954" w:type="dxa"/>
            <w:shd w:val="clear" w:color="auto" w:fill="auto"/>
            <w:vAlign w:val="center"/>
          </w:tcPr>
          <w:p w14:paraId="3475622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较难完成</w:t>
            </w:r>
          </w:p>
        </w:tc>
        <w:tc>
          <w:tcPr>
            <w:tcW w:w="770" w:type="dxa"/>
            <w:shd w:val="clear" w:color="auto" w:fill="auto"/>
            <w:vAlign w:val="center"/>
          </w:tcPr>
          <w:p w14:paraId="398B09A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4E37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194E48C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22</w:t>
            </w:r>
          </w:p>
        </w:tc>
        <w:tc>
          <w:tcPr>
            <w:tcW w:w="2269" w:type="dxa"/>
            <w:gridSpan w:val="2"/>
            <w:shd w:val="clear" w:color="auto" w:fill="auto"/>
            <w:vAlign w:val="center"/>
          </w:tcPr>
          <w:p w14:paraId="1D363018">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每千人医疗机构床位数</w:t>
            </w:r>
            <w:r>
              <w:rPr>
                <w:rFonts w:hint="eastAsia" w:ascii="Times New Roman" w:hAnsi="Times New Roman" w:cs="Times New Roman"/>
                <w:kern w:val="0"/>
                <w:sz w:val="18"/>
                <w:szCs w:val="18"/>
              </w:rPr>
              <w:t>*</w:t>
            </w:r>
          </w:p>
        </w:tc>
        <w:tc>
          <w:tcPr>
            <w:tcW w:w="867" w:type="dxa"/>
            <w:shd w:val="clear" w:color="auto" w:fill="auto"/>
            <w:vAlign w:val="center"/>
          </w:tcPr>
          <w:p w14:paraId="6C731BA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张</w:t>
            </w:r>
          </w:p>
        </w:tc>
        <w:tc>
          <w:tcPr>
            <w:tcW w:w="835" w:type="dxa"/>
            <w:shd w:val="clear" w:color="auto" w:fill="auto"/>
            <w:vAlign w:val="center"/>
          </w:tcPr>
          <w:p w14:paraId="41F8BBB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3.09</w:t>
            </w:r>
          </w:p>
        </w:tc>
        <w:tc>
          <w:tcPr>
            <w:tcW w:w="983" w:type="dxa"/>
            <w:shd w:val="clear" w:color="auto" w:fill="auto"/>
            <w:vAlign w:val="center"/>
          </w:tcPr>
          <w:p w14:paraId="420AC4D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5.83</w:t>
            </w:r>
          </w:p>
        </w:tc>
        <w:tc>
          <w:tcPr>
            <w:tcW w:w="1073" w:type="dxa"/>
            <w:shd w:val="clear" w:color="auto" w:fill="auto"/>
            <w:vAlign w:val="center"/>
          </w:tcPr>
          <w:p w14:paraId="5875DD1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[2.74]</w:t>
            </w:r>
          </w:p>
        </w:tc>
        <w:tc>
          <w:tcPr>
            <w:tcW w:w="847" w:type="dxa"/>
            <w:shd w:val="clear" w:color="auto" w:fill="auto"/>
            <w:vAlign w:val="center"/>
          </w:tcPr>
          <w:p w14:paraId="2FCBBBC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3.28</w:t>
            </w:r>
          </w:p>
        </w:tc>
        <w:tc>
          <w:tcPr>
            <w:tcW w:w="738" w:type="dxa"/>
            <w:shd w:val="clear" w:color="auto" w:fill="auto"/>
            <w:vAlign w:val="center"/>
          </w:tcPr>
          <w:p w14:paraId="5C1B4F4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[0.19]</w:t>
            </w:r>
          </w:p>
        </w:tc>
        <w:tc>
          <w:tcPr>
            <w:tcW w:w="831" w:type="dxa"/>
            <w:shd w:val="clear" w:color="auto" w:fill="auto"/>
            <w:vAlign w:val="center"/>
          </w:tcPr>
          <w:p w14:paraId="6A34C4F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3.36</w:t>
            </w:r>
          </w:p>
        </w:tc>
        <w:tc>
          <w:tcPr>
            <w:tcW w:w="780" w:type="dxa"/>
            <w:shd w:val="clear" w:color="auto" w:fill="auto"/>
            <w:vAlign w:val="center"/>
          </w:tcPr>
          <w:p w14:paraId="15606F3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[0.08]</w:t>
            </w:r>
          </w:p>
        </w:tc>
        <w:tc>
          <w:tcPr>
            <w:tcW w:w="1035" w:type="dxa"/>
            <w:shd w:val="clear" w:color="auto" w:fill="auto"/>
            <w:vAlign w:val="center"/>
          </w:tcPr>
          <w:p w14:paraId="31EF852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[0.27]</w:t>
            </w:r>
          </w:p>
        </w:tc>
        <w:tc>
          <w:tcPr>
            <w:tcW w:w="870" w:type="dxa"/>
            <w:shd w:val="clear" w:color="auto" w:fill="auto"/>
            <w:vAlign w:val="center"/>
          </w:tcPr>
          <w:p w14:paraId="044AE71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3.39</w:t>
            </w:r>
          </w:p>
        </w:tc>
        <w:tc>
          <w:tcPr>
            <w:tcW w:w="780" w:type="dxa"/>
            <w:shd w:val="clear" w:color="auto" w:fill="auto"/>
            <w:vAlign w:val="center"/>
          </w:tcPr>
          <w:p w14:paraId="3437F58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w:t>
            </w:r>
          </w:p>
        </w:tc>
        <w:tc>
          <w:tcPr>
            <w:tcW w:w="969" w:type="dxa"/>
            <w:shd w:val="clear" w:color="auto" w:fill="auto"/>
            <w:vAlign w:val="center"/>
          </w:tcPr>
          <w:p w14:paraId="37A2C3C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进度偏慢</w:t>
            </w:r>
          </w:p>
        </w:tc>
        <w:tc>
          <w:tcPr>
            <w:tcW w:w="954" w:type="dxa"/>
            <w:shd w:val="clear" w:color="auto" w:fill="auto"/>
            <w:vAlign w:val="center"/>
          </w:tcPr>
          <w:p w14:paraId="26E01DB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较难完成</w:t>
            </w:r>
          </w:p>
        </w:tc>
        <w:tc>
          <w:tcPr>
            <w:tcW w:w="770" w:type="dxa"/>
            <w:shd w:val="clear" w:color="auto" w:fill="auto"/>
            <w:vAlign w:val="center"/>
          </w:tcPr>
          <w:p w14:paraId="34DA491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6275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0C591D5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23</w:t>
            </w:r>
          </w:p>
        </w:tc>
        <w:tc>
          <w:tcPr>
            <w:tcW w:w="2269" w:type="dxa"/>
            <w:gridSpan w:val="2"/>
            <w:shd w:val="clear" w:color="auto" w:fill="auto"/>
            <w:vAlign w:val="center"/>
          </w:tcPr>
          <w:p w14:paraId="2B3FDA07">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基本养老保险参保率</w:t>
            </w:r>
          </w:p>
        </w:tc>
        <w:tc>
          <w:tcPr>
            <w:tcW w:w="867" w:type="dxa"/>
            <w:shd w:val="clear" w:color="auto" w:fill="auto"/>
            <w:vAlign w:val="center"/>
          </w:tcPr>
          <w:p w14:paraId="353F4D8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3D491EB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95.2</w:t>
            </w:r>
          </w:p>
        </w:tc>
        <w:tc>
          <w:tcPr>
            <w:tcW w:w="983" w:type="dxa"/>
            <w:shd w:val="clear" w:color="auto" w:fill="auto"/>
            <w:vAlign w:val="center"/>
          </w:tcPr>
          <w:p w14:paraId="41C6851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96.5</w:t>
            </w:r>
          </w:p>
        </w:tc>
        <w:tc>
          <w:tcPr>
            <w:tcW w:w="1073" w:type="dxa"/>
            <w:shd w:val="clear" w:color="auto" w:fill="auto"/>
            <w:vAlign w:val="center"/>
          </w:tcPr>
          <w:p w14:paraId="3FF2857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[1.3]</w:t>
            </w:r>
          </w:p>
        </w:tc>
        <w:tc>
          <w:tcPr>
            <w:tcW w:w="847" w:type="dxa"/>
            <w:shd w:val="clear" w:color="auto" w:fill="auto"/>
            <w:noWrap/>
            <w:vAlign w:val="center"/>
          </w:tcPr>
          <w:p w14:paraId="041204E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93.97</w:t>
            </w:r>
          </w:p>
        </w:tc>
        <w:tc>
          <w:tcPr>
            <w:tcW w:w="738" w:type="dxa"/>
            <w:shd w:val="clear" w:color="auto" w:fill="auto"/>
            <w:vAlign w:val="center"/>
          </w:tcPr>
          <w:p w14:paraId="41AC8BD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[-1.23]</w:t>
            </w:r>
          </w:p>
        </w:tc>
        <w:tc>
          <w:tcPr>
            <w:tcW w:w="831" w:type="dxa"/>
            <w:shd w:val="clear" w:color="auto" w:fill="auto"/>
            <w:noWrap/>
            <w:vAlign w:val="center"/>
          </w:tcPr>
          <w:p w14:paraId="1480B2D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93.42</w:t>
            </w:r>
          </w:p>
        </w:tc>
        <w:tc>
          <w:tcPr>
            <w:tcW w:w="780" w:type="dxa"/>
            <w:shd w:val="clear" w:color="auto" w:fill="auto"/>
            <w:vAlign w:val="center"/>
          </w:tcPr>
          <w:p w14:paraId="17A7C46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[-0.55]</w:t>
            </w:r>
          </w:p>
        </w:tc>
        <w:tc>
          <w:tcPr>
            <w:tcW w:w="1035" w:type="dxa"/>
            <w:shd w:val="clear" w:color="auto" w:fill="auto"/>
            <w:vAlign w:val="center"/>
          </w:tcPr>
          <w:p w14:paraId="1B7A0A6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[-1.78]</w:t>
            </w:r>
          </w:p>
        </w:tc>
        <w:tc>
          <w:tcPr>
            <w:tcW w:w="870" w:type="dxa"/>
            <w:shd w:val="clear" w:color="auto" w:fill="auto"/>
            <w:vAlign w:val="center"/>
          </w:tcPr>
          <w:p w14:paraId="2E6D927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95.69</w:t>
            </w:r>
          </w:p>
        </w:tc>
        <w:tc>
          <w:tcPr>
            <w:tcW w:w="780" w:type="dxa"/>
            <w:shd w:val="clear" w:color="auto" w:fill="auto"/>
            <w:vAlign w:val="center"/>
          </w:tcPr>
          <w:p w14:paraId="0787802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[2.27]</w:t>
            </w:r>
          </w:p>
        </w:tc>
        <w:tc>
          <w:tcPr>
            <w:tcW w:w="969" w:type="dxa"/>
            <w:shd w:val="clear" w:color="auto" w:fill="auto"/>
            <w:vAlign w:val="center"/>
          </w:tcPr>
          <w:p w14:paraId="70EE164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进度偏慢</w:t>
            </w:r>
          </w:p>
        </w:tc>
        <w:tc>
          <w:tcPr>
            <w:tcW w:w="954" w:type="dxa"/>
            <w:shd w:val="clear" w:color="auto" w:fill="auto"/>
            <w:vAlign w:val="center"/>
          </w:tcPr>
          <w:p w14:paraId="06965DF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力争实现</w:t>
            </w:r>
          </w:p>
        </w:tc>
        <w:tc>
          <w:tcPr>
            <w:tcW w:w="770" w:type="dxa"/>
            <w:shd w:val="clear" w:color="auto" w:fill="auto"/>
            <w:vAlign w:val="center"/>
          </w:tcPr>
          <w:p w14:paraId="5732696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5501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24CFD45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24</w:t>
            </w:r>
          </w:p>
        </w:tc>
        <w:tc>
          <w:tcPr>
            <w:tcW w:w="2269" w:type="dxa"/>
            <w:gridSpan w:val="2"/>
            <w:shd w:val="clear" w:color="auto" w:fill="auto"/>
            <w:vAlign w:val="center"/>
          </w:tcPr>
          <w:p w14:paraId="73B683AA">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每万老年人拥有持证养老护理员数</w:t>
            </w:r>
          </w:p>
        </w:tc>
        <w:tc>
          <w:tcPr>
            <w:tcW w:w="867" w:type="dxa"/>
            <w:shd w:val="clear" w:color="auto" w:fill="auto"/>
            <w:vAlign w:val="center"/>
          </w:tcPr>
          <w:p w14:paraId="566EB09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人</w:t>
            </w:r>
          </w:p>
        </w:tc>
        <w:tc>
          <w:tcPr>
            <w:tcW w:w="835" w:type="dxa"/>
            <w:shd w:val="clear" w:color="auto" w:fill="auto"/>
            <w:vAlign w:val="center"/>
          </w:tcPr>
          <w:p w14:paraId="29EF341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12.3</w:t>
            </w:r>
          </w:p>
        </w:tc>
        <w:tc>
          <w:tcPr>
            <w:tcW w:w="983" w:type="dxa"/>
            <w:shd w:val="clear" w:color="auto" w:fill="auto"/>
            <w:vAlign w:val="center"/>
          </w:tcPr>
          <w:p w14:paraId="21D1795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1073" w:type="dxa"/>
            <w:shd w:val="clear" w:color="auto" w:fill="auto"/>
            <w:vAlign w:val="center"/>
          </w:tcPr>
          <w:p w14:paraId="7576440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[12.7]</w:t>
            </w:r>
          </w:p>
        </w:tc>
        <w:tc>
          <w:tcPr>
            <w:tcW w:w="847" w:type="dxa"/>
            <w:shd w:val="clear" w:color="auto" w:fill="auto"/>
            <w:vAlign w:val="center"/>
          </w:tcPr>
          <w:p w14:paraId="18AE45C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21</w:t>
            </w:r>
          </w:p>
        </w:tc>
        <w:tc>
          <w:tcPr>
            <w:tcW w:w="738" w:type="dxa"/>
            <w:shd w:val="clear" w:color="auto" w:fill="auto"/>
            <w:vAlign w:val="center"/>
          </w:tcPr>
          <w:p w14:paraId="4F329AE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[8.7]</w:t>
            </w:r>
          </w:p>
        </w:tc>
        <w:tc>
          <w:tcPr>
            <w:tcW w:w="831" w:type="dxa"/>
            <w:shd w:val="clear" w:color="auto" w:fill="auto"/>
            <w:vAlign w:val="center"/>
          </w:tcPr>
          <w:p w14:paraId="6623162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22</w:t>
            </w:r>
          </w:p>
        </w:tc>
        <w:tc>
          <w:tcPr>
            <w:tcW w:w="780" w:type="dxa"/>
            <w:shd w:val="clear" w:color="auto" w:fill="auto"/>
            <w:vAlign w:val="center"/>
          </w:tcPr>
          <w:p w14:paraId="1F7EED0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1035" w:type="dxa"/>
            <w:shd w:val="clear" w:color="auto" w:fill="auto"/>
            <w:vAlign w:val="center"/>
          </w:tcPr>
          <w:p w14:paraId="51DF0CA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[9.7]</w:t>
            </w:r>
          </w:p>
        </w:tc>
        <w:tc>
          <w:tcPr>
            <w:tcW w:w="870" w:type="dxa"/>
            <w:shd w:val="clear" w:color="auto" w:fill="auto"/>
            <w:vAlign w:val="center"/>
          </w:tcPr>
          <w:p w14:paraId="22CD3F9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23</w:t>
            </w:r>
          </w:p>
        </w:tc>
        <w:tc>
          <w:tcPr>
            <w:tcW w:w="780" w:type="dxa"/>
            <w:shd w:val="clear" w:color="auto" w:fill="auto"/>
            <w:vAlign w:val="center"/>
          </w:tcPr>
          <w:p w14:paraId="7B07AFC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969" w:type="dxa"/>
            <w:shd w:val="clear" w:color="auto" w:fill="auto"/>
            <w:vAlign w:val="center"/>
          </w:tcPr>
          <w:p w14:paraId="17ABB3CF">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42E953E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5168BFE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610C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042B7FB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2269" w:type="dxa"/>
            <w:gridSpan w:val="2"/>
            <w:shd w:val="clear" w:color="auto" w:fill="auto"/>
            <w:vAlign w:val="center"/>
          </w:tcPr>
          <w:p w14:paraId="353CE410">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青少年总体近视率降低</w:t>
            </w:r>
          </w:p>
        </w:tc>
        <w:tc>
          <w:tcPr>
            <w:tcW w:w="867" w:type="dxa"/>
            <w:shd w:val="clear" w:color="auto" w:fill="auto"/>
            <w:vAlign w:val="center"/>
          </w:tcPr>
          <w:p w14:paraId="5AC86E0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28E3045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51.5</w:t>
            </w:r>
          </w:p>
        </w:tc>
        <w:tc>
          <w:tcPr>
            <w:tcW w:w="983" w:type="dxa"/>
            <w:shd w:val="clear" w:color="auto" w:fill="auto"/>
            <w:vAlign w:val="center"/>
          </w:tcPr>
          <w:p w14:paraId="27B5CF6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73" w:type="dxa"/>
            <w:shd w:val="clear" w:color="auto" w:fill="auto"/>
            <w:vAlign w:val="center"/>
          </w:tcPr>
          <w:p w14:paraId="657307A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847" w:type="dxa"/>
            <w:shd w:val="clear" w:color="auto" w:fill="auto"/>
            <w:vAlign w:val="center"/>
          </w:tcPr>
          <w:p w14:paraId="27CE92D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50.17</w:t>
            </w:r>
          </w:p>
        </w:tc>
        <w:tc>
          <w:tcPr>
            <w:tcW w:w="738" w:type="dxa"/>
            <w:shd w:val="clear" w:color="auto" w:fill="auto"/>
            <w:vAlign w:val="center"/>
          </w:tcPr>
          <w:p w14:paraId="4E89969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[1.33]</w:t>
            </w:r>
          </w:p>
        </w:tc>
        <w:tc>
          <w:tcPr>
            <w:tcW w:w="831" w:type="dxa"/>
            <w:shd w:val="clear" w:color="auto" w:fill="auto"/>
            <w:vAlign w:val="center"/>
          </w:tcPr>
          <w:p w14:paraId="511A9CF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49.15</w:t>
            </w:r>
          </w:p>
        </w:tc>
        <w:tc>
          <w:tcPr>
            <w:tcW w:w="780" w:type="dxa"/>
            <w:shd w:val="clear" w:color="auto" w:fill="auto"/>
            <w:vAlign w:val="center"/>
          </w:tcPr>
          <w:p w14:paraId="0861D3F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[1.02]</w:t>
            </w:r>
          </w:p>
        </w:tc>
        <w:tc>
          <w:tcPr>
            <w:tcW w:w="1035" w:type="dxa"/>
            <w:shd w:val="clear" w:color="auto" w:fill="auto"/>
            <w:vAlign w:val="center"/>
          </w:tcPr>
          <w:p w14:paraId="42B3F2A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[2.35]</w:t>
            </w:r>
          </w:p>
        </w:tc>
        <w:tc>
          <w:tcPr>
            <w:tcW w:w="870" w:type="dxa"/>
            <w:shd w:val="clear" w:color="auto" w:fill="auto"/>
            <w:vAlign w:val="center"/>
          </w:tcPr>
          <w:p w14:paraId="12ACA26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48</w:t>
            </w:r>
          </w:p>
        </w:tc>
        <w:tc>
          <w:tcPr>
            <w:tcW w:w="780" w:type="dxa"/>
            <w:shd w:val="clear" w:color="auto" w:fill="auto"/>
            <w:vAlign w:val="center"/>
          </w:tcPr>
          <w:p w14:paraId="120E2E2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[1.15]</w:t>
            </w:r>
          </w:p>
        </w:tc>
        <w:tc>
          <w:tcPr>
            <w:tcW w:w="969" w:type="dxa"/>
            <w:shd w:val="clear" w:color="auto" w:fill="auto"/>
            <w:vAlign w:val="center"/>
          </w:tcPr>
          <w:p w14:paraId="1A4555E1">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755FA7E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0CF3CB4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28FE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618D58D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26</w:t>
            </w:r>
          </w:p>
        </w:tc>
        <w:tc>
          <w:tcPr>
            <w:tcW w:w="2269" w:type="dxa"/>
            <w:gridSpan w:val="2"/>
            <w:shd w:val="clear" w:color="auto" w:fill="auto"/>
            <w:vAlign w:val="center"/>
          </w:tcPr>
          <w:p w14:paraId="2D12A061">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人均体育场地面积</w:t>
            </w:r>
          </w:p>
        </w:tc>
        <w:tc>
          <w:tcPr>
            <w:tcW w:w="867" w:type="dxa"/>
            <w:shd w:val="clear" w:color="auto" w:fill="auto"/>
            <w:vAlign w:val="center"/>
          </w:tcPr>
          <w:p w14:paraId="21162A1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754BC7B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2.4</w:t>
            </w:r>
          </w:p>
        </w:tc>
        <w:tc>
          <w:tcPr>
            <w:tcW w:w="983" w:type="dxa"/>
            <w:shd w:val="clear" w:color="auto" w:fill="auto"/>
            <w:vAlign w:val="center"/>
          </w:tcPr>
          <w:p w14:paraId="066F46C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2.6</w:t>
            </w:r>
          </w:p>
        </w:tc>
        <w:tc>
          <w:tcPr>
            <w:tcW w:w="1073" w:type="dxa"/>
            <w:shd w:val="clear" w:color="auto" w:fill="auto"/>
            <w:vAlign w:val="center"/>
          </w:tcPr>
          <w:p w14:paraId="3197102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w:t>
            </w:r>
          </w:p>
        </w:tc>
        <w:tc>
          <w:tcPr>
            <w:tcW w:w="847" w:type="dxa"/>
            <w:shd w:val="clear" w:color="auto" w:fill="auto"/>
            <w:vAlign w:val="center"/>
          </w:tcPr>
          <w:p w14:paraId="5171495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2.4</w:t>
            </w:r>
          </w:p>
        </w:tc>
        <w:tc>
          <w:tcPr>
            <w:tcW w:w="738" w:type="dxa"/>
            <w:shd w:val="clear" w:color="auto" w:fill="auto"/>
            <w:vAlign w:val="center"/>
          </w:tcPr>
          <w:p w14:paraId="3037D60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w:t>
            </w:r>
          </w:p>
        </w:tc>
        <w:tc>
          <w:tcPr>
            <w:tcW w:w="831" w:type="dxa"/>
            <w:shd w:val="clear" w:color="auto" w:fill="auto"/>
            <w:vAlign w:val="center"/>
          </w:tcPr>
          <w:p w14:paraId="3CC9DC0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2.69</w:t>
            </w:r>
          </w:p>
        </w:tc>
        <w:tc>
          <w:tcPr>
            <w:tcW w:w="780" w:type="dxa"/>
            <w:shd w:val="clear" w:color="auto" w:fill="auto"/>
            <w:vAlign w:val="center"/>
          </w:tcPr>
          <w:p w14:paraId="1492EA0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[0.29]</w:t>
            </w:r>
          </w:p>
        </w:tc>
        <w:tc>
          <w:tcPr>
            <w:tcW w:w="1035" w:type="dxa"/>
            <w:shd w:val="clear" w:color="auto" w:fill="auto"/>
            <w:vAlign w:val="center"/>
          </w:tcPr>
          <w:p w14:paraId="7307DB0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[0.29]</w:t>
            </w:r>
          </w:p>
        </w:tc>
        <w:tc>
          <w:tcPr>
            <w:tcW w:w="870" w:type="dxa"/>
            <w:shd w:val="clear" w:color="auto" w:fill="auto"/>
            <w:vAlign w:val="center"/>
          </w:tcPr>
          <w:p w14:paraId="5A15A88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26B6E17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6B9BCE12">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239E808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015BD54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1DAD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00A2680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27</w:t>
            </w:r>
          </w:p>
        </w:tc>
        <w:tc>
          <w:tcPr>
            <w:tcW w:w="2269" w:type="dxa"/>
            <w:gridSpan w:val="2"/>
            <w:shd w:val="clear" w:color="auto" w:fill="auto"/>
            <w:vAlign w:val="center"/>
          </w:tcPr>
          <w:p w14:paraId="015BD052">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人均预期寿命</w:t>
            </w:r>
          </w:p>
        </w:tc>
        <w:tc>
          <w:tcPr>
            <w:tcW w:w="867" w:type="dxa"/>
            <w:shd w:val="clear" w:color="auto" w:fill="auto"/>
            <w:vAlign w:val="center"/>
          </w:tcPr>
          <w:p w14:paraId="3E6B7CC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岁</w:t>
            </w:r>
          </w:p>
        </w:tc>
        <w:tc>
          <w:tcPr>
            <w:tcW w:w="835" w:type="dxa"/>
            <w:shd w:val="clear" w:color="auto" w:fill="auto"/>
            <w:vAlign w:val="center"/>
          </w:tcPr>
          <w:p w14:paraId="69B9836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82.2</w:t>
            </w:r>
          </w:p>
        </w:tc>
        <w:tc>
          <w:tcPr>
            <w:tcW w:w="983" w:type="dxa"/>
            <w:shd w:val="clear" w:color="auto" w:fill="auto"/>
            <w:vAlign w:val="center"/>
          </w:tcPr>
          <w:p w14:paraId="100DF33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83</w:t>
            </w:r>
          </w:p>
        </w:tc>
        <w:tc>
          <w:tcPr>
            <w:tcW w:w="1073" w:type="dxa"/>
            <w:shd w:val="clear" w:color="auto" w:fill="auto"/>
            <w:vAlign w:val="center"/>
          </w:tcPr>
          <w:p w14:paraId="522ACEB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[0.8]</w:t>
            </w:r>
          </w:p>
        </w:tc>
        <w:tc>
          <w:tcPr>
            <w:tcW w:w="847" w:type="dxa"/>
            <w:shd w:val="clear" w:color="auto" w:fill="auto"/>
            <w:vAlign w:val="center"/>
          </w:tcPr>
          <w:p w14:paraId="7036E91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81.53</w:t>
            </w:r>
          </w:p>
        </w:tc>
        <w:tc>
          <w:tcPr>
            <w:tcW w:w="738" w:type="dxa"/>
            <w:shd w:val="clear" w:color="auto" w:fill="auto"/>
            <w:vAlign w:val="center"/>
          </w:tcPr>
          <w:p w14:paraId="3C2DDFB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[-0.67]</w:t>
            </w:r>
          </w:p>
        </w:tc>
        <w:tc>
          <w:tcPr>
            <w:tcW w:w="831" w:type="dxa"/>
            <w:shd w:val="clear" w:color="auto" w:fill="auto"/>
            <w:vAlign w:val="center"/>
          </w:tcPr>
          <w:p w14:paraId="63B3CCC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11A70B3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541E442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70" w:type="dxa"/>
            <w:shd w:val="clear" w:color="auto" w:fill="auto"/>
            <w:vAlign w:val="center"/>
          </w:tcPr>
          <w:p w14:paraId="5593982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81.45</w:t>
            </w:r>
          </w:p>
        </w:tc>
        <w:tc>
          <w:tcPr>
            <w:tcW w:w="780" w:type="dxa"/>
            <w:shd w:val="clear" w:color="auto" w:fill="auto"/>
            <w:vAlign w:val="center"/>
          </w:tcPr>
          <w:p w14:paraId="0F4FF50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112FE12E">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无法评估</w:t>
            </w:r>
          </w:p>
        </w:tc>
        <w:tc>
          <w:tcPr>
            <w:tcW w:w="954" w:type="dxa"/>
            <w:shd w:val="clear" w:color="auto" w:fill="auto"/>
            <w:vAlign w:val="center"/>
          </w:tcPr>
          <w:p w14:paraId="69006FC7">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可以实现</w:t>
            </w:r>
          </w:p>
        </w:tc>
        <w:tc>
          <w:tcPr>
            <w:tcW w:w="770" w:type="dxa"/>
            <w:shd w:val="clear" w:color="auto" w:fill="auto"/>
            <w:vAlign w:val="center"/>
          </w:tcPr>
          <w:p w14:paraId="2BCC27C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6D2A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40E067F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28</w:t>
            </w:r>
          </w:p>
        </w:tc>
        <w:tc>
          <w:tcPr>
            <w:tcW w:w="2269" w:type="dxa"/>
            <w:gridSpan w:val="2"/>
            <w:shd w:val="clear" w:color="auto" w:fill="auto"/>
            <w:vAlign w:val="center"/>
          </w:tcPr>
          <w:p w14:paraId="447EB2B3">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居民综合阅读率</w:t>
            </w:r>
          </w:p>
        </w:tc>
        <w:tc>
          <w:tcPr>
            <w:tcW w:w="867" w:type="dxa"/>
            <w:shd w:val="clear" w:color="auto" w:fill="auto"/>
            <w:vAlign w:val="center"/>
          </w:tcPr>
          <w:p w14:paraId="44F0733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1AB56D7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83" w:type="dxa"/>
            <w:shd w:val="clear" w:color="auto" w:fill="auto"/>
            <w:vAlign w:val="center"/>
          </w:tcPr>
          <w:p w14:paraId="1B2A10F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92</w:t>
            </w:r>
          </w:p>
        </w:tc>
        <w:tc>
          <w:tcPr>
            <w:tcW w:w="1073" w:type="dxa"/>
            <w:shd w:val="clear" w:color="auto" w:fill="auto"/>
            <w:vAlign w:val="center"/>
          </w:tcPr>
          <w:p w14:paraId="1B3ED99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47" w:type="dxa"/>
            <w:shd w:val="clear" w:color="auto" w:fill="auto"/>
            <w:vAlign w:val="center"/>
          </w:tcPr>
          <w:p w14:paraId="7E3B8B2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89.4</w:t>
            </w:r>
          </w:p>
        </w:tc>
        <w:tc>
          <w:tcPr>
            <w:tcW w:w="738" w:type="dxa"/>
            <w:shd w:val="clear" w:color="auto" w:fill="auto"/>
            <w:vAlign w:val="center"/>
          </w:tcPr>
          <w:p w14:paraId="71AB7A5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1" w:type="dxa"/>
            <w:shd w:val="clear" w:color="auto" w:fill="auto"/>
            <w:vAlign w:val="center"/>
          </w:tcPr>
          <w:p w14:paraId="4DFA7B6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92.3</w:t>
            </w:r>
          </w:p>
        </w:tc>
        <w:tc>
          <w:tcPr>
            <w:tcW w:w="780" w:type="dxa"/>
            <w:shd w:val="clear" w:color="auto" w:fill="auto"/>
            <w:vAlign w:val="center"/>
          </w:tcPr>
          <w:p w14:paraId="262D70D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[2.9]</w:t>
            </w:r>
          </w:p>
        </w:tc>
        <w:tc>
          <w:tcPr>
            <w:tcW w:w="1035" w:type="dxa"/>
            <w:shd w:val="clear" w:color="auto" w:fill="auto"/>
            <w:vAlign w:val="center"/>
          </w:tcPr>
          <w:p w14:paraId="5B8D992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70" w:type="dxa"/>
            <w:shd w:val="clear" w:color="auto" w:fill="auto"/>
            <w:vAlign w:val="center"/>
          </w:tcPr>
          <w:p w14:paraId="5B25E1A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93</w:t>
            </w:r>
          </w:p>
        </w:tc>
        <w:tc>
          <w:tcPr>
            <w:tcW w:w="780" w:type="dxa"/>
            <w:shd w:val="clear" w:color="auto" w:fill="auto"/>
            <w:vAlign w:val="center"/>
          </w:tcPr>
          <w:p w14:paraId="5A50F02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[0.7]</w:t>
            </w:r>
          </w:p>
        </w:tc>
        <w:tc>
          <w:tcPr>
            <w:tcW w:w="969" w:type="dxa"/>
            <w:shd w:val="clear" w:color="auto" w:fill="auto"/>
            <w:vAlign w:val="center"/>
          </w:tcPr>
          <w:p w14:paraId="6C7F7472">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符合</w:t>
            </w:r>
            <w:r>
              <w:rPr>
                <w:rFonts w:ascii="Times New Roman" w:hAnsi="Times New Roman" w:cs="Times New Roman"/>
                <w:kern w:val="0"/>
                <w:sz w:val="18"/>
                <w:szCs w:val="18"/>
              </w:rPr>
              <w:t>进度</w:t>
            </w:r>
          </w:p>
        </w:tc>
        <w:tc>
          <w:tcPr>
            <w:tcW w:w="954" w:type="dxa"/>
            <w:shd w:val="clear" w:color="auto" w:fill="auto"/>
            <w:vAlign w:val="center"/>
          </w:tcPr>
          <w:p w14:paraId="3790504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621C8FD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4AB7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31C0BE6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29</w:t>
            </w:r>
          </w:p>
        </w:tc>
        <w:tc>
          <w:tcPr>
            <w:tcW w:w="2269" w:type="dxa"/>
            <w:gridSpan w:val="2"/>
            <w:shd w:val="clear" w:color="auto" w:fill="auto"/>
            <w:vAlign w:val="center"/>
          </w:tcPr>
          <w:p w14:paraId="0797D426">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单位GDP能耗降幅</w:t>
            </w:r>
          </w:p>
        </w:tc>
        <w:tc>
          <w:tcPr>
            <w:tcW w:w="867" w:type="dxa"/>
            <w:shd w:val="clear" w:color="auto" w:fill="auto"/>
            <w:vAlign w:val="center"/>
          </w:tcPr>
          <w:p w14:paraId="76C7C04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62337CC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1.8</w:t>
            </w:r>
          </w:p>
        </w:tc>
        <w:tc>
          <w:tcPr>
            <w:tcW w:w="983" w:type="dxa"/>
            <w:shd w:val="clear" w:color="auto" w:fill="auto"/>
            <w:vAlign w:val="center"/>
          </w:tcPr>
          <w:p w14:paraId="71101D1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完成下达目标</w:t>
            </w:r>
          </w:p>
        </w:tc>
        <w:tc>
          <w:tcPr>
            <w:tcW w:w="1073" w:type="dxa"/>
            <w:shd w:val="clear" w:color="auto" w:fill="auto"/>
            <w:vAlign w:val="center"/>
          </w:tcPr>
          <w:p w14:paraId="169E5AF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47" w:type="dxa"/>
            <w:shd w:val="clear" w:color="auto" w:fill="auto"/>
            <w:vAlign w:val="center"/>
          </w:tcPr>
          <w:p w14:paraId="5E9E22C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738" w:type="dxa"/>
            <w:shd w:val="clear" w:color="auto" w:fill="auto"/>
            <w:vAlign w:val="center"/>
          </w:tcPr>
          <w:p w14:paraId="26E850A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1" w:type="dxa"/>
            <w:shd w:val="clear" w:color="auto" w:fill="auto"/>
            <w:vAlign w:val="center"/>
          </w:tcPr>
          <w:p w14:paraId="1EBF861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1.1</w:t>
            </w:r>
          </w:p>
        </w:tc>
        <w:tc>
          <w:tcPr>
            <w:tcW w:w="780" w:type="dxa"/>
            <w:shd w:val="clear" w:color="auto" w:fill="auto"/>
            <w:vAlign w:val="center"/>
          </w:tcPr>
          <w:p w14:paraId="491F1FA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5C1B9C6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70" w:type="dxa"/>
            <w:shd w:val="clear" w:color="auto" w:fill="auto"/>
            <w:vAlign w:val="center"/>
          </w:tcPr>
          <w:p w14:paraId="1372F90D">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1.6</w:t>
            </w:r>
          </w:p>
        </w:tc>
        <w:tc>
          <w:tcPr>
            <w:tcW w:w="780" w:type="dxa"/>
            <w:shd w:val="clear" w:color="auto" w:fill="auto"/>
            <w:vAlign w:val="center"/>
          </w:tcPr>
          <w:p w14:paraId="536F71C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7D3614B3">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进度偏慢</w:t>
            </w:r>
          </w:p>
        </w:tc>
        <w:tc>
          <w:tcPr>
            <w:tcW w:w="954" w:type="dxa"/>
            <w:shd w:val="clear" w:color="auto" w:fill="auto"/>
            <w:vAlign w:val="center"/>
          </w:tcPr>
          <w:p w14:paraId="1076D65F">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较难完成</w:t>
            </w:r>
          </w:p>
        </w:tc>
        <w:tc>
          <w:tcPr>
            <w:tcW w:w="770" w:type="dxa"/>
            <w:shd w:val="clear" w:color="auto" w:fill="auto"/>
            <w:vAlign w:val="center"/>
          </w:tcPr>
          <w:p w14:paraId="247D9F7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48EF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5D2475C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30</w:t>
            </w:r>
          </w:p>
        </w:tc>
        <w:tc>
          <w:tcPr>
            <w:tcW w:w="2269" w:type="dxa"/>
            <w:gridSpan w:val="2"/>
            <w:shd w:val="clear" w:color="auto" w:fill="auto"/>
            <w:vAlign w:val="center"/>
          </w:tcPr>
          <w:p w14:paraId="641E3021">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单位GDP二氧化碳排放降幅</w:t>
            </w:r>
          </w:p>
        </w:tc>
        <w:tc>
          <w:tcPr>
            <w:tcW w:w="867" w:type="dxa"/>
            <w:shd w:val="clear" w:color="auto" w:fill="auto"/>
            <w:vAlign w:val="center"/>
          </w:tcPr>
          <w:p w14:paraId="2B0EBAE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2E1DE2B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完成下达指标</w:t>
            </w:r>
          </w:p>
        </w:tc>
        <w:tc>
          <w:tcPr>
            <w:tcW w:w="983" w:type="dxa"/>
            <w:shd w:val="clear" w:color="auto" w:fill="auto"/>
            <w:vAlign w:val="center"/>
          </w:tcPr>
          <w:p w14:paraId="3059AE1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完成下达目标</w:t>
            </w:r>
          </w:p>
        </w:tc>
        <w:tc>
          <w:tcPr>
            <w:tcW w:w="1073" w:type="dxa"/>
            <w:shd w:val="clear" w:color="auto" w:fill="auto"/>
            <w:vAlign w:val="center"/>
          </w:tcPr>
          <w:p w14:paraId="596D92C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47" w:type="dxa"/>
            <w:shd w:val="clear" w:color="auto" w:fill="auto"/>
            <w:vAlign w:val="center"/>
          </w:tcPr>
          <w:p w14:paraId="1CB8A93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38" w:type="dxa"/>
            <w:shd w:val="clear" w:color="auto" w:fill="auto"/>
            <w:vAlign w:val="center"/>
          </w:tcPr>
          <w:p w14:paraId="3D05955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1" w:type="dxa"/>
            <w:shd w:val="clear" w:color="auto" w:fill="auto"/>
            <w:vAlign w:val="center"/>
          </w:tcPr>
          <w:p w14:paraId="5688107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07670A2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22EC4B6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70" w:type="dxa"/>
            <w:shd w:val="clear" w:color="auto" w:fill="auto"/>
            <w:vAlign w:val="center"/>
          </w:tcPr>
          <w:p w14:paraId="266EE9A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153AE2A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35A7130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无法评估</w:t>
            </w:r>
          </w:p>
        </w:tc>
        <w:tc>
          <w:tcPr>
            <w:tcW w:w="954" w:type="dxa"/>
            <w:shd w:val="clear" w:color="auto" w:fill="auto"/>
            <w:vAlign w:val="center"/>
          </w:tcPr>
          <w:p w14:paraId="688CCB0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70" w:type="dxa"/>
            <w:shd w:val="clear" w:color="auto" w:fill="auto"/>
            <w:vAlign w:val="center"/>
          </w:tcPr>
          <w:p w14:paraId="1802180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2313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0B28E42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31</w:t>
            </w:r>
          </w:p>
        </w:tc>
        <w:tc>
          <w:tcPr>
            <w:tcW w:w="2269" w:type="dxa"/>
            <w:gridSpan w:val="2"/>
            <w:shd w:val="clear" w:color="auto" w:fill="auto"/>
            <w:vAlign w:val="center"/>
          </w:tcPr>
          <w:p w14:paraId="3264C5AB">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万元GDP用水量降低</w:t>
            </w:r>
          </w:p>
        </w:tc>
        <w:tc>
          <w:tcPr>
            <w:tcW w:w="867" w:type="dxa"/>
            <w:shd w:val="clear" w:color="auto" w:fill="auto"/>
            <w:vAlign w:val="center"/>
          </w:tcPr>
          <w:p w14:paraId="1AD7A4B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7CF75ED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83" w:type="dxa"/>
            <w:shd w:val="clear" w:color="auto" w:fill="auto"/>
            <w:vAlign w:val="center"/>
          </w:tcPr>
          <w:p w14:paraId="2DCCA4A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73" w:type="dxa"/>
            <w:shd w:val="clear" w:color="auto" w:fill="auto"/>
            <w:vAlign w:val="center"/>
          </w:tcPr>
          <w:p w14:paraId="6C96EA0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[15]</w:t>
            </w:r>
          </w:p>
        </w:tc>
        <w:tc>
          <w:tcPr>
            <w:tcW w:w="847" w:type="dxa"/>
            <w:shd w:val="clear" w:color="auto" w:fill="auto"/>
            <w:vAlign w:val="center"/>
          </w:tcPr>
          <w:p w14:paraId="16588C4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21.48吨/万元</w:t>
            </w:r>
          </w:p>
        </w:tc>
        <w:tc>
          <w:tcPr>
            <w:tcW w:w="738" w:type="dxa"/>
            <w:shd w:val="clear" w:color="auto" w:fill="auto"/>
            <w:vAlign w:val="center"/>
          </w:tcPr>
          <w:p w14:paraId="7E07282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10.98</w:t>
            </w:r>
          </w:p>
        </w:tc>
        <w:tc>
          <w:tcPr>
            <w:tcW w:w="831" w:type="dxa"/>
            <w:shd w:val="clear" w:color="auto" w:fill="auto"/>
            <w:vAlign w:val="center"/>
          </w:tcPr>
          <w:p w14:paraId="0103D5A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20.57吨/万元</w:t>
            </w:r>
          </w:p>
        </w:tc>
        <w:tc>
          <w:tcPr>
            <w:tcW w:w="780" w:type="dxa"/>
            <w:shd w:val="clear" w:color="auto" w:fill="auto"/>
            <w:vAlign w:val="center"/>
          </w:tcPr>
          <w:p w14:paraId="1924225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4.24</w:t>
            </w:r>
          </w:p>
        </w:tc>
        <w:tc>
          <w:tcPr>
            <w:tcW w:w="1035" w:type="dxa"/>
            <w:shd w:val="clear" w:color="auto" w:fill="auto"/>
            <w:vAlign w:val="center"/>
          </w:tcPr>
          <w:p w14:paraId="3CDA879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累计下降15.22</w:t>
            </w:r>
          </w:p>
        </w:tc>
        <w:tc>
          <w:tcPr>
            <w:tcW w:w="870" w:type="dxa"/>
            <w:shd w:val="clear" w:color="auto" w:fill="auto"/>
            <w:vAlign w:val="center"/>
          </w:tcPr>
          <w:p w14:paraId="6713A8A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20.26吨/万元</w:t>
            </w:r>
          </w:p>
        </w:tc>
        <w:tc>
          <w:tcPr>
            <w:tcW w:w="780" w:type="dxa"/>
            <w:shd w:val="clear" w:color="auto" w:fill="auto"/>
            <w:vAlign w:val="center"/>
          </w:tcPr>
          <w:p w14:paraId="3979AD4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1.5</w:t>
            </w:r>
          </w:p>
        </w:tc>
        <w:tc>
          <w:tcPr>
            <w:tcW w:w="969" w:type="dxa"/>
            <w:shd w:val="clear" w:color="auto" w:fill="auto"/>
            <w:vAlign w:val="center"/>
          </w:tcPr>
          <w:p w14:paraId="2276F864">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符合</w:t>
            </w:r>
            <w:r>
              <w:rPr>
                <w:rFonts w:ascii="Times New Roman" w:hAnsi="Times New Roman" w:cs="Times New Roman"/>
                <w:kern w:val="0"/>
                <w:sz w:val="18"/>
                <w:szCs w:val="18"/>
              </w:rPr>
              <w:t>进度</w:t>
            </w:r>
          </w:p>
        </w:tc>
        <w:tc>
          <w:tcPr>
            <w:tcW w:w="954" w:type="dxa"/>
            <w:shd w:val="clear" w:color="auto" w:fill="auto"/>
            <w:vAlign w:val="center"/>
          </w:tcPr>
          <w:p w14:paraId="558AFBC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7850B1A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64B1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6FDF67D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32</w:t>
            </w:r>
          </w:p>
        </w:tc>
        <w:tc>
          <w:tcPr>
            <w:tcW w:w="2269" w:type="dxa"/>
            <w:gridSpan w:val="2"/>
            <w:shd w:val="clear" w:color="auto" w:fill="auto"/>
            <w:vAlign w:val="center"/>
          </w:tcPr>
          <w:p w14:paraId="3F5D2B1D">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全市空气质量优良天数比率</w:t>
            </w:r>
          </w:p>
        </w:tc>
        <w:tc>
          <w:tcPr>
            <w:tcW w:w="867" w:type="dxa"/>
            <w:shd w:val="clear" w:color="auto" w:fill="auto"/>
            <w:vAlign w:val="center"/>
          </w:tcPr>
          <w:p w14:paraId="066265F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2C78315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99.2</w:t>
            </w:r>
          </w:p>
        </w:tc>
        <w:tc>
          <w:tcPr>
            <w:tcW w:w="983" w:type="dxa"/>
            <w:shd w:val="clear" w:color="auto" w:fill="auto"/>
            <w:vAlign w:val="center"/>
          </w:tcPr>
          <w:p w14:paraId="1F89B03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完成下达目标</w:t>
            </w:r>
          </w:p>
        </w:tc>
        <w:tc>
          <w:tcPr>
            <w:tcW w:w="1073" w:type="dxa"/>
            <w:shd w:val="clear" w:color="auto" w:fill="auto"/>
            <w:vAlign w:val="center"/>
          </w:tcPr>
          <w:p w14:paraId="27C52B1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47" w:type="dxa"/>
            <w:shd w:val="clear" w:color="auto" w:fill="auto"/>
            <w:vAlign w:val="center"/>
          </w:tcPr>
          <w:p w14:paraId="0E25B79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99.7</w:t>
            </w:r>
          </w:p>
        </w:tc>
        <w:tc>
          <w:tcPr>
            <w:tcW w:w="738" w:type="dxa"/>
            <w:shd w:val="clear" w:color="auto" w:fill="auto"/>
            <w:vAlign w:val="center"/>
          </w:tcPr>
          <w:p w14:paraId="536A952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1" w:type="dxa"/>
            <w:shd w:val="clear" w:color="auto" w:fill="auto"/>
            <w:vAlign w:val="center"/>
          </w:tcPr>
          <w:p w14:paraId="757AF1A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99.5</w:t>
            </w:r>
          </w:p>
        </w:tc>
        <w:tc>
          <w:tcPr>
            <w:tcW w:w="780" w:type="dxa"/>
            <w:shd w:val="clear" w:color="auto" w:fill="auto"/>
            <w:vAlign w:val="center"/>
          </w:tcPr>
          <w:p w14:paraId="702AAB1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0DB80D6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70" w:type="dxa"/>
            <w:shd w:val="clear" w:color="auto" w:fill="auto"/>
            <w:vAlign w:val="center"/>
          </w:tcPr>
          <w:p w14:paraId="7EAAE8C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99.45</w:t>
            </w:r>
          </w:p>
        </w:tc>
        <w:tc>
          <w:tcPr>
            <w:tcW w:w="780" w:type="dxa"/>
            <w:shd w:val="clear" w:color="auto" w:fill="auto"/>
            <w:vAlign w:val="center"/>
          </w:tcPr>
          <w:p w14:paraId="075B8D4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5660E489">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符合</w:t>
            </w:r>
            <w:r>
              <w:rPr>
                <w:rFonts w:ascii="Times New Roman" w:hAnsi="Times New Roman" w:cs="Times New Roman"/>
                <w:kern w:val="0"/>
                <w:sz w:val="18"/>
                <w:szCs w:val="18"/>
              </w:rPr>
              <w:t>进度</w:t>
            </w:r>
          </w:p>
        </w:tc>
        <w:tc>
          <w:tcPr>
            <w:tcW w:w="954" w:type="dxa"/>
            <w:shd w:val="clear" w:color="auto" w:fill="auto"/>
            <w:vAlign w:val="center"/>
          </w:tcPr>
          <w:p w14:paraId="0DD1095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6BBAAF9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559F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6C51261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33</w:t>
            </w:r>
          </w:p>
        </w:tc>
        <w:tc>
          <w:tcPr>
            <w:tcW w:w="2269" w:type="dxa"/>
            <w:gridSpan w:val="2"/>
            <w:shd w:val="clear" w:color="auto" w:fill="auto"/>
            <w:vAlign w:val="center"/>
          </w:tcPr>
          <w:p w14:paraId="6C11D2CA">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PM2.5平均浓度</w:t>
            </w:r>
          </w:p>
        </w:tc>
        <w:tc>
          <w:tcPr>
            <w:tcW w:w="867" w:type="dxa"/>
            <w:shd w:val="clear" w:color="auto" w:fill="auto"/>
            <w:vAlign w:val="center"/>
          </w:tcPr>
          <w:p w14:paraId="3CD1634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微克/立方米</w:t>
            </w:r>
          </w:p>
        </w:tc>
        <w:tc>
          <w:tcPr>
            <w:tcW w:w="835" w:type="dxa"/>
            <w:shd w:val="clear" w:color="auto" w:fill="auto"/>
            <w:vAlign w:val="center"/>
          </w:tcPr>
          <w:p w14:paraId="5EDC7FB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22ug/m³</w:t>
            </w:r>
          </w:p>
        </w:tc>
        <w:tc>
          <w:tcPr>
            <w:tcW w:w="983" w:type="dxa"/>
            <w:shd w:val="clear" w:color="auto" w:fill="auto"/>
            <w:vAlign w:val="center"/>
          </w:tcPr>
          <w:p w14:paraId="313991D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完成下达目标</w:t>
            </w:r>
          </w:p>
        </w:tc>
        <w:tc>
          <w:tcPr>
            <w:tcW w:w="1073" w:type="dxa"/>
            <w:shd w:val="clear" w:color="auto" w:fill="auto"/>
            <w:vAlign w:val="center"/>
          </w:tcPr>
          <w:p w14:paraId="682331B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47" w:type="dxa"/>
            <w:shd w:val="clear" w:color="auto" w:fill="auto"/>
            <w:vAlign w:val="center"/>
          </w:tcPr>
          <w:p w14:paraId="454216B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21ug/m³</w:t>
            </w:r>
          </w:p>
        </w:tc>
        <w:tc>
          <w:tcPr>
            <w:tcW w:w="738" w:type="dxa"/>
            <w:shd w:val="clear" w:color="auto" w:fill="auto"/>
            <w:vAlign w:val="center"/>
          </w:tcPr>
          <w:p w14:paraId="6466743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-4.55</w:t>
            </w:r>
          </w:p>
        </w:tc>
        <w:tc>
          <w:tcPr>
            <w:tcW w:w="831" w:type="dxa"/>
            <w:shd w:val="clear" w:color="auto" w:fill="auto"/>
            <w:vAlign w:val="center"/>
          </w:tcPr>
          <w:p w14:paraId="33767EE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20ug/m³</w:t>
            </w:r>
          </w:p>
        </w:tc>
        <w:tc>
          <w:tcPr>
            <w:tcW w:w="780" w:type="dxa"/>
            <w:shd w:val="clear" w:color="auto" w:fill="auto"/>
            <w:vAlign w:val="center"/>
          </w:tcPr>
          <w:p w14:paraId="19AD9FC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-4.76</w:t>
            </w:r>
          </w:p>
        </w:tc>
        <w:tc>
          <w:tcPr>
            <w:tcW w:w="1035" w:type="dxa"/>
            <w:shd w:val="clear" w:color="auto" w:fill="auto"/>
            <w:vAlign w:val="center"/>
          </w:tcPr>
          <w:p w14:paraId="1EDCBCF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-4.66</w:t>
            </w:r>
          </w:p>
        </w:tc>
        <w:tc>
          <w:tcPr>
            <w:tcW w:w="870" w:type="dxa"/>
            <w:shd w:val="clear" w:color="auto" w:fill="auto"/>
            <w:vAlign w:val="center"/>
          </w:tcPr>
          <w:p w14:paraId="37F8C0C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24ug/m³</w:t>
            </w:r>
          </w:p>
        </w:tc>
        <w:tc>
          <w:tcPr>
            <w:tcW w:w="780" w:type="dxa"/>
            <w:shd w:val="clear" w:color="auto" w:fill="auto"/>
            <w:vAlign w:val="center"/>
          </w:tcPr>
          <w:p w14:paraId="08332AA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-14.29</w:t>
            </w:r>
          </w:p>
        </w:tc>
        <w:tc>
          <w:tcPr>
            <w:tcW w:w="969" w:type="dxa"/>
            <w:shd w:val="clear" w:color="auto" w:fill="auto"/>
            <w:vAlign w:val="center"/>
          </w:tcPr>
          <w:p w14:paraId="3E03E3CD">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符合</w:t>
            </w:r>
            <w:r>
              <w:rPr>
                <w:rFonts w:ascii="Times New Roman" w:hAnsi="Times New Roman" w:cs="Times New Roman"/>
                <w:kern w:val="0"/>
                <w:sz w:val="18"/>
                <w:szCs w:val="18"/>
              </w:rPr>
              <w:t>进度</w:t>
            </w:r>
          </w:p>
        </w:tc>
        <w:tc>
          <w:tcPr>
            <w:tcW w:w="954" w:type="dxa"/>
            <w:shd w:val="clear" w:color="auto" w:fill="auto"/>
            <w:vAlign w:val="center"/>
          </w:tcPr>
          <w:p w14:paraId="6BDA3B8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3762935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5C99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15711C6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34</w:t>
            </w:r>
          </w:p>
        </w:tc>
        <w:tc>
          <w:tcPr>
            <w:tcW w:w="2269" w:type="dxa"/>
            <w:gridSpan w:val="2"/>
            <w:shd w:val="clear" w:color="auto" w:fill="auto"/>
            <w:vAlign w:val="center"/>
          </w:tcPr>
          <w:p w14:paraId="5AD4E9E1">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达到或优于三类水体占地表水比例（省控以上断面）</w:t>
            </w:r>
          </w:p>
        </w:tc>
        <w:tc>
          <w:tcPr>
            <w:tcW w:w="867" w:type="dxa"/>
            <w:shd w:val="clear" w:color="auto" w:fill="auto"/>
            <w:vAlign w:val="center"/>
          </w:tcPr>
          <w:p w14:paraId="1415EF9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17E07A5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完成下达指标</w:t>
            </w:r>
          </w:p>
        </w:tc>
        <w:tc>
          <w:tcPr>
            <w:tcW w:w="983" w:type="dxa"/>
            <w:shd w:val="clear" w:color="auto" w:fill="auto"/>
            <w:vAlign w:val="center"/>
          </w:tcPr>
          <w:p w14:paraId="08E6438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完成下达目标</w:t>
            </w:r>
          </w:p>
        </w:tc>
        <w:tc>
          <w:tcPr>
            <w:tcW w:w="1073" w:type="dxa"/>
            <w:shd w:val="clear" w:color="auto" w:fill="auto"/>
            <w:vAlign w:val="center"/>
          </w:tcPr>
          <w:p w14:paraId="5CA970A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47" w:type="dxa"/>
            <w:shd w:val="clear" w:color="auto" w:fill="auto"/>
            <w:vAlign w:val="center"/>
          </w:tcPr>
          <w:p w14:paraId="1FB40A2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80</w:t>
            </w:r>
          </w:p>
        </w:tc>
        <w:tc>
          <w:tcPr>
            <w:tcW w:w="738" w:type="dxa"/>
            <w:shd w:val="clear" w:color="auto" w:fill="auto"/>
            <w:vAlign w:val="center"/>
          </w:tcPr>
          <w:p w14:paraId="1A26916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1" w:type="dxa"/>
            <w:shd w:val="clear" w:color="auto" w:fill="auto"/>
            <w:vAlign w:val="center"/>
          </w:tcPr>
          <w:p w14:paraId="512DE88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80</w:t>
            </w:r>
          </w:p>
        </w:tc>
        <w:tc>
          <w:tcPr>
            <w:tcW w:w="780" w:type="dxa"/>
            <w:shd w:val="clear" w:color="auto" w:fill="auto"/>
            <w:vAlign w:val="center"/>
          </w:tcPr>
          <w:p w14:paraId="698CEE5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34FF918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6"/>
                <w:szCs w:val="16"/>
              </w:rPr>
              <w:t>完成上级下达目标</w:t>
            </w:r>
          </w:p>
        </w:tc>
        <w:tc>
          <w:tcPr>
            <w:tcW w:w="870" w:type="dxa"/>
            <w:shd w:val="clear" w:color="auto" w:fill="auto"/>
            <w:vAlign w:val="center"/>
          </w:tcPr>
          <w:p w14:paraId="65DFBD9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100</w:t>
            </w:r>
          </w:p>
        </w:tc>
        <w:tc>
          <w:tcPr>
            <w:tcW w:w="780" w:type="dxa"/>
            <w:shd w:val="clear" w:color="auto" w:fill="auto"/>
            <w:vAlign w:val="center"/>
          </w:tcPr>
          <w:p w14:paraId="228CF69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69E41B58">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符合</w:t>
            </w:r>
            <w:r>
              <w:rPr>
                <w:rFonts w:ascii="Times New Roman" w:hAnsi="Times New Roman" w:cs="Times New Roman"/>
                <w:kern w:val="0"/>
                <w:sz w:val="18"/>
                <w:szCs w:val="18"/>
              </w:rPr>
              <w:t>进度</w:t>
            </w:r>
          </w:p>
        </w:tc>
        <w:tc>
          <w:tcPr>
            <w:tcW w:w="954" w:type="dxa"/>
            <w:shd w:val="clear" w:color="auto" w:fill="auto"/>
            <w:vAlign w:val="center"/>
          </w:tcPr>
          <w:p w14:paraId="35825A1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56F7A7D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4949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5ADB074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35</w:t>
            </w:r>
          </w:p>
        </w:tc>
        <w:tc>
          <w:tcPr>
            <w:tcW w:w="2269" w:type="dxa"/>
            <w:gridSpan w:val="2"/>
            <w:shd w:val="clear" w:color="auto" w:fill="auto"/>
            <w:vAlign w:val="center"/>
          </w:tcPr>
          <w:p w14:paraId="6CE3038D">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森林覆盖率</w:t>
            </w:r>
            <w:r>
              <w:rPr>
                <w:rFonts w:hint="eastAsia" w:ascii="Times New Roman" w:hAnsi="Times New Roman" w:cs="Times New Roman"/>
                <w:kern w:val="0"/>
                <w:sz w:val="18"/>
                <w:szCs w:val="18"/>
              </w:rPr>
              <w:t>*</w:t>
            </w:r>
          </w:p>
        </w:tc>
        <w:tc>
          <w:tcPr>
            <w:tcW w:w="867" w:type="dxa"/>
            <w:shd w:val="clear" w:color="auto" w:fill="auto"/>
            <w:vAlign w:val="center"/>
          </w:tcPr>
          <w:p w14:paraId="611DE3E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23CFFD2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45.4</w:t>
            </w:r>
          </w:p>
        </w:tc>
        <w:tc>
          <w:tcPr>
            <w:tcW w:w="983" w:type="dxa"/>
            <w:shd w:val="clear" w:color="auto" w:fill="auto"/>
            <w:vAlign w:val="center"/>
          </w:tcPr>
          <w:p w14:paraId="25F4F556">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46.9</w:t>
            </w:r>
          </w:p>
        </w:tc>
        <w:tc>
          <w:tcPr>
            <w:tcW w:w="1073" w:type="dxa"/>
            <w:shd w:val="clear" w:color="auto" w:fill="auto"/>
            <w:vAlign w:val="center"/>
          </w:tcPr>
          <w:p w14:paraId="66EA1BD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r>
              <w:rPr>
                <w:rFonts w:hint="eastAsia" w:ascii="Times New Roman" w:hAnsi="Times New Roman" w:cs="Times New Roman"/>
                <w:kern w:val="0"/>
                <w:sz w:val="18"/>
                <w:szCs w:val="18"/>
              </w:rPr>
              <w:t>1.5</w:t>
            </w:r>
            <w:r>
              <w:rPr>
                <w:rFonts w:ascii="Times New Roman" w:hAnsi="Times New Roman" w:cs="Times New Roman"/>
                <w:kern w:val="0"/>
                <w:sz w:val="18"/>
                <w:szCs w:val="18"/>
              </w:rPr>
              <w:t>]</w:t>
            </w:r>
          </w:p>
        </w:tc>
        <w:tc>
          <w:tcPr>
            <w:tcW w:w="847" w:type="dxa"/>
            <w:shd w:val="clear" w:color="auto" w:fill="auto"/>
            <w:vAlign w:val="center"/>
          </w:tcPr>
          <w:p w14:paraId="32D83B66">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46.19</w:t>
            </w:r>
          </w:p>
        </w:tc>
        <w:tc>
          <w:tcPr>
            <w:tcW w:w="738" w:type="dxa"/>
            <w:shd w:val="clear" w:color="auto" w:fill="auto"/>
            <w:vAlign w:val="center"/>
          </w:tcPr>
          <w:p w14:paraId="7BCD6EA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[0.79]</w:t>
            </w:r>
          </w:p>
        </w:tc>
        <w:tc>
          <w:tcPr>
            <w:tcW w:w="831" w:type="dxa"/>
            <w:shd w:val="clear" w:color="auto" w:fill="auto"/>
            <w:vAlign w:val="center"/>
          </w:tcPr>
          <w:p w14:paraId="3EA100A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112C09D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035" w:type="dxa"/>
            <w:shd w:val="clear" w:color="auto" w:fill="auto"/>
            <w:vAlign w:val="center"/>
          </w:tcPr>
          <w:p w14:paraId="6528124F">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70" w:type="dxa"/>
            <w:shd w:val="clear" w:color="auto" w:fill="auto"/>
            <w:vAlign w:val="center"/>
          </w:tcPr>
          <w:p w14:paraId="74F5A66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51616FF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47EF4EBA">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无法评估</w:t>
            </w:r>
          </w:p>
        </w:tc>
        <w:tc>
          <w:tcPr>
            <w:tcW w:w="954" w:type="dxa"/>
            <w:shd w:val="clear" w:color="auto" w:fill="auto"/>
            <w:vAlign w:val="center"/>
          </w:tcPr>
          <w:p w14:paraId="22B78B6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517EC13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预期性</w:t>
            </w:r>
          </w:p>
        </w:tc>
      </w:tr>
      <w:tr w14:paraId="4043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13B08570">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36</w:t>
            </w:r>
          </w:p>
        </w:tc>
        <w:tc>
          <w:tcPr>
            <w:tcW w:w="2269" w:type="dxa"/>
            <w:gridSpan w:val="2"/>
            <w:shd w:val="clear" w:color="auto" w:fill="auto"/>
            <w:vAlign w:val="center"/>
          </w:tcPr>
          <w:p w14:paraId="5CA84C60">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粮食总产量</w:t>
            </w:r>
          </w:p>
        </w:tc>
        <w:tc>
          <w:tcPr>
            <w:tcW w:w="867" w:type="dxa"/>
            <w:shd w:val="clear" w:color="auto" w:fill="auto"/>
            <w:vAlign w:val="center"/>
          </w:tcPr>
          <w:p w14:paraId="63E4CB3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亿斤</w:t>
            </w:r>
          </w:p>
        </w:tc>
        <w:tc>
          <w:tcPr>
            <w:tcW w:w="835" w:type="dxa"/>
            <w:shd w:val="clear" w:color="auto" w:fill="auto"/>
            <w:vAlign w:val="center"/>
          </w:tcPr>
          <w:p w14:paraId="141E6DA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2.04</w:t>
            </w:r>
          </w:p>
        </w:tc>
        <w:tc>
          <w:tcPr>
            <w:tcW w:w="983" w:type="dxa"/>
            <w:shd w:val="clear" w:color="auto" w:fill="auto"/>
            <w:vAlign w:val="center"/>
          </w:tcPr>
          <w:p w14:paraId="70CEBE5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1073" w:type="dxa"/>
            <w:shd w:val="clear" w:color="auto" w:fill="auto"/>
            <w:vAlign w:val="center"/>
          </w:tcPr>
          <w:p w14:paraId="7E97AFD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47" w:type="dxa"/>
            <w:shd w:val="clear" w:color="auto" w:fill="auto"/>
            <w:vAlign w:val="center"/>
          </w:tcPr>
          <w:p w14:paraId="7B42D7B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2.2</w:t>
            </w:r>
          </w:p>
        </w:tc>
        <w:tc>
          <w:tcPr>
            <w:tcW w:w="738" w:type="dxa"/>
            <w:shd w:val="clear" w:color="auto" w:fill="auto"/>
            <w:vAlign w:val="center"/>
          </w:tcPr>
          <w:p w14:paraId="4794ABA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[0.16]</w:t>
            </w:r>
          </w:p>
        </w:tc>
        <w:tc>
          <w:tcPr>
            <w:tcW w:w="831" w:type="dxa"/>
            <w:shd w:val="clear" w:color="auto" w:fill="auto"/>
            <w:vAlign w:val="center"/>
          </w:tcPr>
          <w:p w14:paraId="3430CA33">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2.216</w:t>
            </w:r>
          </w:p>
        </w:tc>
        <w:tc>
          <w:tcPr>
            <w:tcW w:w="780" w:type="dxa"/>
            <w:shd w:val="clear" w:color="auto" w:fill="auto"/>
            <w:vAlign w:val="center"/>
          </w:tcPr>
          <w:p w14:paraId="3632DF2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[0.016]</w:t>
            </w:r>
          </w:p>
        </w:tc>
        <w:tc>
          <w:tcPr>
            <w:tcW w:w="1035" w:type="dxa"/>
            <w:shd w:val="clear" w:color="auto" w:fill="auto"/>
            <w:vAlign w:val="center"/>
          </w:tcPr>
          <w:p w14:paraId="431F65A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[0.176]</w:t>
            </w:r>
          </w:p>
        </w:tc>
        <w:tc>
          <w:tcPr>
            <w:tcW w:w="870" w:type="dxa"/>
            <w:shd w:val="clear" w:color="auto" w:fill="auto"/>
            <w:vAlign w:val="center"/>
          </w:tcPr>
          <w:p w14:paraId="6259E79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80" w:type="dxa"/>
            <w:shd w:val="clear" w:color="auto" w:fill="auto"/>
            <w:vAlign w:val="center"/>
          </w:tcPr>
          <w:p w14:paraId="1F69524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6C63F287">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符合</w:t>
            </w:r>
            <w:r>
              <w:rPr>
                <w:rFonts w:ascii="Times New Roman" w:hAnsi="Times New Roman" w:cs="Times New Roman"/>
                <w:kern w:val="0"/>
                <w:sz w:val="18"/>
                <w:szCs w:val="18"/>
              </w:rPr>
              <w:t>进度</w:t>
            </w:r>
          </w:p>
        </w:tc>
        <w:tc>
          <w:tcPr>
            <w:tcW w:w="954" w:type="dxa"/>
            <w:shd w:val="clear" w:color="auto" w:fill="auto"/>
            <w:vAlign w:val="center"/>
          </w:tcPr>
          <w:p w14:paraId="7717FB3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707290C8">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r w14:paraId="3D92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dxa"/>
            <w:shd w:val="clear" w:color="auto" w:fill="auto"/>
            <w:vAlign w:val="center"/>
          </w:tcPr>
          <w:p w14:paraId="785763F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37</w:t>
            </w:r>
          </w:p>
        </w:tc>
        <w:tc>
          <w:tcPr>
            <w:tcW w:w="2269" w:type="dxa"/>
            <w:gridSpan w:val="2"/>
            <w:shd w:val="clear" w:color="auto" w:fill="auto"/>
            <w:vAlign w:val="center"/>
          </w:tcPr>
          <w:p w14:paraId="0280DA01">
            <w:pPr>
              <w:widowControl/>
              <w:spacing w:line="280" w:lineRule="exact"/>
              <w:rPr>
                <w:rFonts w:ascii="Times New Roman" w:hAnsi="Times New Roman" w:cs="Times New Roman"/>
                <w:kern w:val="0"/>
                <w:sz w:val="18"/>
                <w:szCs w:val="18"/>
              </w:rPr>
            </w:pPr>
            <w:r>
              <w:rPr>
                <w:rFonts w:ascii="Times New Roman" w:hAnsi="Times New Roman" w:cs="Times New Roman"/>
                <w:kern w:val="0"/>
                <w:sz w:val="18"/>
                <w:szCs w:val="18"/>
              </w:rPr>
              <w:t>亿元GDP生产安全事故死亡率</w:t>
            </w:r>
          </w:p>
        </w:tc>
        <w:tc>
          <w:tcPr>
            <w:tcW w:w="867" w:type="dxa"/>
            <w:shd w:val="clear" w:color="auto" w:fill="auto"/>
            <w:vAlign w:val="center"/>
          </w:tcPr>
          <w:p w14:paraId="0A5E89D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35" w:type="dxa"/>
            <w:shd w:val="clear" w:color="auto" w:fill="auto"/>
            <w:vAlign w:val="center"/>
          </w:tcPr>
          <w:p w14:paraId="3686BD71">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1.83</w:t>
            </w:r>
          </w:p>
        </w:tc>
        <w:tc>
          <w:tcPr>
            <w:tcW w:w="983" w:type="dxa"/>
            <w:shd w:val="clear" w:color="auto" w:fill="auto"/>
            <w:vAlign w:val="center"/>
          </w:tcPr>
          <w:p w14:paraId="52948E04">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0.94</w:t>
            </w:r>
          </w:p>
        </w:tc>
        <w:tc>
          <w:tcPr>
            <w:tcW w:w="1073" w:type="dxa"/>
            <w:shd w:val="clear" w:color="auto" w:fill="auto"/>
            <w:vAlign w:val="center"/>
          </w:tcPr>
          <w:p w14:paraId="0900551B">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-[0.89]</w:t>
            </w:r>
          </w:p>
        </w:tc>
        <w:tc>
          <w:tcPr>
            <w:tcW w:w="847" w:type="dxa"/>
            <w:shd w:val="clear" w:color="auto" w:fill="auto"/>
            <w:vAlign w:val="center"/>
          </w:tcPr>
          <w:p w14:paraId="78E51AB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1.39</w:t>
            </w:r>
          </w:p>
        </w:tc>
        <w:tc>
          <w:tcPr>
            <w:tcW w:w="738" w:type="dxa"/>
            <w:shd w:val="clear" w:color="auto" w:fill="auto"/>
            <w:vAlign w:val="center"/>
          </w:tcPr>
          <w:p w14:paraId="478DF31C">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[-0.44]</w:t>
            </w:r>
          </w:p>
        </w:tc>
        <w:tc>
          <w:tcPr>
            <w:tcW w:w="831" w:type="dxa"/>
            <w:shd w:val="clear" w:color="auto" w:fill="auto"/>
            <w:vAlign w:val="center"/>
          </w:tcPr>
          <w:p w14:paraId="179AFEAE">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1.0017</w:t>
            </w:r>
          </w:p>
        </w:tc>
        <w:tc>
          <w:tcPr>
            <w:tcW w:w="780" w:type="dxa"/>
            <w:shd w:val="clear" w:color="auto" w:fill="auto"/>
            <w:vAlign w:val="center"/>
          </w:tcPr>
          <w:p w14:paraId="57E6E3C7">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[-0.39]</w:t>
            </w:r>
          </w:p>
        </w:tc>
        <w:tc>
          <w:tcPr>
            <w:tcW w:w="1035" w:type="dxa"/>
            <w:shd w:val="clear" w:color="auto" w:fill="auto"/>
            <w:vAlign w:val="center"/>
          </w:tcPr>
          <w:p w14:paraId="18C1BC85">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[-0.83]</w:t>
            </w:r>
          </w:p>
        </w:tc>
        <w:tc>
          <w:tcPr>
            <w:tcW w:w="870" w:type="dxa"/>
            <w:shd w:val="clear" w:color="auto" w:fill="auto"/>
            <w:vAlign w:val="center"/>
          </w:tcPr>
          <w:p w14:paraId="77323F5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0.862</w:t>
            </w:r>
          </w:p>
        </w:tc>
        <w:tc>
          <w:tcPr>
            <w:tcW w:w="780" w:type="dxa"/>
            <w:shd w:val="clear" w:color="auto" w:fill="auto"/>
            <w:vAlign w:val="center"/>
          </w:tcPr>
          <w:p w14:paraId="55B37189">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969" w:type="dxa"/>
            <w:shd w:val="clear" w:color="auto" w:fill="auto"/>
            <w:vAlign w:val="center"/>
          </w:tcPr>
          <w:p w14:paraId="7F930D5E">
            <w:pPr>
              <w:widowControl/>
              <w:spacing w:line="28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快于进度</w:t>
            </w:r>
          </w:p>
        </w:tc>
        <w:tc>
          <w:tcPr>
            <w:tcW w:w="954" w:type="dxa"/>
            <w:shd w:val="clear" w:color="auto" w:fill="auto"/>
            <w:vAlign w:val="center"/>
          </w:tcPr>
          <w:p w14:paraId="6B022D12">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可以实现</w:t>
            </w:r>
          </w:p>
        </w:tc>
        <w:tc>
          <w:tcPr>
            <w:tcW w:w="770" w:type="dxa"/>
            <w:shd w:val="clear" w:color="auto" w:fill="auto"/>
            <w:vAlign w:val="center"/>
          </w:tcPr>
          <w:p w14:paraId="4ACB2E5D">
            <w:pPr>
              <w:widowControl/>
              <w:spacing w:line="280" w:lineRule="exact"/>
              <w:jc w:val="center"/>
              <w:rPr>
                <w:rFonts w:ascii="Times New Roman" w:hAnsi="Times New Roman" w:cs="Times New Roman"/>
                <w:kern w:val="0"/>
                <w:sz w:val="18"/>
                <w:szCs w:val="18"/>
              </w:rPr>
            </w:pPr>
            <w:r>
              <w:rPr>
                <w:rFonts w:ascii="Times New Roman" w:hAnsi="Times New Roman" w:cs="Times New Roman"/>
                <w:kern w:val="0"/>
                <w:sz w:val="18"/>
                <w:szCs w:val="18"/>
              </w:rPr>
              <w:t>约束性</w:t>
            </w:r>
          </w:p>
        </w:tc>
      </w:tr>
    </w:tbl>
    <w:p w14:paraId="2BFC9B6F">
      <w:pPr>
        <w:spacing w:line="360" w:lineRule="exact"/>
        <w:rPr>
          <w:rFonts w:ascii="Times New Roman" w:hAnsi="Times New Roman" w:cs="Times New Roman"/>
          <w:color w:val="000000"/>
          <w:kern w:val="0"/>
          <w:sz w:val="24"/>
          <w:lang w:bidi="ar"/>
        </w:rPr>
      </w:pPr>
      <w:r>
        <w:rPr>
          <w:rFonts w:hint="eastAsia" w:ascii="Times New Roman" w:hAnsi="Times New Roman" w:cs="Times New Roman"/>
          <w:color w:val="000000"/>
          <w:kern w:val="0"/>
          <w:sz w:val="24"/>
          <w:lang w:bidi="ar"/>
        </w:rPr>
        <w:t>注：1.</w:t>
      </w:r>
      <w:r>
        <w:rPr>
          <w:rFonts w:ascii="Times New Roman" w:hAnsi="Times New Roman" w:cs="Times New Roman"/>
          <w:color w:val="000000"/>
          <w:kern w:val="0"/>
          <w:sz w:val="24"/>
          <w:lang w:bidi="ar"/>
        </w:rPr>
        <w:t>[]</w:t>
      </w:r>
      <w:r>
        <w:rPr>
          <w:rFonts w:hint="eastAsia" w:ascii="Times New Roman" w:hAnsi="Times New Roman" w:cs="Times New Roman"/>
          <w:color w:val="000000"/>
          <w:kern w:val="0"/>
          <w:sz w:val="24"/>
          <w:lang w:bidi="ar"/>
        </w:rPr>
        <w:t>中数值</w:t>
      </w:r>
      <w:r>
        <w:rPr>
          <w:rFonts w:ascii="Times New Roman" w:hAnsi="Times New Roman" w:cs="Times New Roman"/>
          <w:color w:val="000000"/>
          <w:kern w:val="0"/>
          <w:sz w:val="24"/>
          <w:lang w:bidi="ar"/>
        </w:rPr>
        <w:t>为累计数</w:t>
      </w:r>
      <w:r>
        <w:rPr>
          <w:rFonts w:hint="eastAsia" w:ascii="Times New Roman" w:hAnsi="Times New Roman" w:cs="Times New Roman"/>
          <w:color w:val="000000"/>
          <w:kern w:val="0"/>
          <w:sz w:val="24"/>
          <w:lang w:bidi="ar"/>
        </w:rPr>
        <w:t>；</w:t>
      </w:r>
    </w:p>
    <w:p w14:paraId="2D5AA765">
      <w:pPr>
        <w:spacing w:line="360" w:lineRule="exact"/>
        <w:ind w:firstLine="480" w:firstLineChars="200"/>
        <w:rPr>
          <w:rFonts w:ascii="Times New Roman" w:hAnsi="Times New Roman" w:cs="Times New Roman"/>
          <w:color w:val="000000"/>
          <w:kern w:val="0"/>
          <w:sz w:val="24"/>
          <w:lang w:bidi="ar"/>
        </w:rPr>
        <w:sectPr>
          <w:pgSz w:w="16838" w:h="11906" w:orient="landscape"/>
          <w:pgMar w:top="1800" w:right="1440" w:bottom="1800" w:left="1440" w:header="851" w:footer="992" w:gutter="0"/>
          <w:pgNumType w:fmt="numberInDash"/>
          <w:cols w:space="425" w:num="1"/>
          <w:docGrid w:type="lines" w:linePitch="435" w:charSpace="0"/>
        </w:sectPr>
      </w:pPr>
      <w:r>
        <w:rPr>
          <w:rFonts w:ascii="Times New Roman" w:hAnsi="Times New Roman" w:cs="Times New Roman"/>
          <w:color w:val="000000"/>
          <w:kern w:val="0"/>
          <w:sz w:val="24"/>
          <w:lang w:bidi="ar"/>
        </w:rPr>
        <w:t>2.</w:t>
      </w:r>
      <w:r>
        <w:rPr>
          <w:rFonts w:hint="eastAsia" w:ascii="Times New Roman" w:hAnsi="Times New Roman" w:cs="Times New Roman"/>
          <w:color w:val="000000"/>
          <w:kern w:val="0"/>
          <w:sz w:val="24"/>
          <w:lang w:bidi="ar"/>
        </w:rPr>
        <w:t>带*为修正指标，修正说明：①人均生产总值2020年现状值由72000元修正为68385元，保持五年年均增长6.8%的规划目标不变，2025年规划值由100000元同步修正为95000元；②工业增加值占GDP比重2020年现状值由39%修正为37.7%，保持五年累计提高1%的规划目标不变，2025年规划值由40%同步修正为38.7%；③战略性新兴产业增加值占规上工业增加值比重2020年现状值由22.6%修正为22.56%，保持五年累计提高9.4%的规划目标不变，2025年规划值由32%同步修正为31.96%；④常住人口城市化率2020年现状值由68.25%修正为66.6%，保持五年累计提高1.75%的规划目标不变，2025年规划值由70%同步修正为68.35%；⑤全员劳动生产率2020年现状值由14万元/人修正为12.06万元/人，保持五年累计提高4万元/人的规划目标不变，2025年规划值由18万元/人同步修正为16.06万元/人；⑥R&amp;D经费支出占GDP比重2020年现状值2.3%修正为2.59%，保持2025年达到3%的规划目标不变，五年累计提高由7%修改为4.1%；⑦数字经济核心产业增加值占GDP比重2020年现状值由2.2%修正为6.9%，保持2025年达到10%的规划目标不变，五年累计提高由7.8%修改为3.1%；⑧劳动年龄人口平均受教育年限2020年现状值由13.6年修正为13.4年，保持五年累计提高0.7年的规划目标不变，2025年规划值由14.3年同步修正为14.1年；⑨每千人口执业（助理）医师数（常住人口）2020年现状值由3.03人修正为2.87人，保持五年累计提高0.97人的规划目标不变，2025年规划值由4人同步修正为3.84人；⑩每千人医疗机构床位数2020年现状值由3.26张修正为3.09张，保持五年累计提高2.74张的规划目标不变，2025年规划值由6张同步修正为5.83张；⑪森林覆盖率2020年现状值由48%修正为45.4%，保持五年累计提高1.5%的规划目标不变，2025年规划值由49.5%同步修正为46.9%。</w:t>
      </w:r>
    </w:p>
    <w:p w14:paraId="6B939EB1">
      <w:pPr>
        <w:ind w:firstLine="640"/>
        <w:outlineLvl w:val="0"/>
        <w:rPr>
          <w:rFonts w:ascii="Times New Roman" w:hAnsi="Times New Roman" w:eastAsia="黑体" w:cs="Times New Roman"/>
          <w:szCs w:val="32"/>
        </w:rPr>
      </w:pPr>
      <w:bookmarkStart w:id="76" w:name="_Toc24543"/>
      <w:r>
        <w:rPr>
          <w:rFonts w:ascii="Times New Roman" w:hAnsi="Times New Roman" w:eastAsia="黑体" w:cs="Times New Roman"/>
          <w:szCs w:val="32"/>
        </w:rPr>
        <w:t>附件2：重大平台清单完成情况</w:t>
      </w:r>
      <w:bookmarkEnd w:id="76"/>
    </w:p>
    <w:tbl>
      <w:tblPr>
        <w:tblStyle w:val="18"/>
        <w:tblW w:w="1500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417"/>
        <w:gridCol w:w="4990"/>
        <w:gridCol w:w="1247"/>
        <w:gridCol w:w="6642"/>
      </w:tblGrid>
      <w:tr w14:paraId="6C1F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10" w:type="dxa"/>
            <w:shd w:val="clear" w:color="auto" w:fill="FFFFFF"/>
            <w:vAlign w:val="center"/>
          </w:tcPr>
          <w:p w14:paraId="203CAFE3">
            <w:pPr>
              <w:widowControl/>
              <w:spacing w:line="26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序号</w:t>
            </w:r>
          </w:p>
        </w:tc>
        <w:tc>
          <w:tcPr>
            <w:tcW w:w="1417" w:type="dxa"/>
            <w:shd w:val="clear" w:color="auto" w:fill="FFFFFF"/>
            <w:vAlign w:val="center"/>
          </w:tcPr>
          <w:p w14:paraId="2066E530">
            <w:pPr>
              <w:widowControl/>
              <w:spacing w:line="26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平台名称</w:t>
            </w:r>
          </w:p>
        </w:tc>
        <w:tc>
          <w:tcPr>
            <w:tcW w:w="4990" w:type="dxa"/>
            <w:shd w:val="clear" w:color="auto" w:fill="FFFFFF"/>
            <w:vAlign w:val="center"/>
          </w:tcPr>
          <w:p w14:paraId="36C62D71">
            <w:pPr>
              <w:widowControl/>
              <w:spacing w:line="26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工作目标任务</w:t>
            </w:r>
          </w:p>
        </w:tc>
        <w:tc>
          <w:tcPr>
            <w:tcW w:w="1247" w:type="dxa"/>
            <w:shd w:val="clear" w:color="auto" w:fill="FFFFFF"/>
            <w:vAlign w:val="center"/>
          </w:tcPr>
          <w:p w14:paraId="31FAF492">
            <w:pPr>
              <w:widowControl/>
              <w:spacing w:line="26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责任单位</w:t>
            </w:r>
          </w:p>
        </w:tc>
        <w:tc>
          <w:tcPr>
            <w:tcW w:w="6642" w:type="dxa"/>
            <w:shd w:val="clear" w:color="auto" w:fill="FFFFFF"/>
            <w:vAlign w:val="center"/>
          </w:tcPr>
          <w:p w14:paraId="15AA9470">
            <w:pPr>
              <w:widowControl/>
              <w:spacing w:line="26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2021.1.1-2023.6.30实施情况评估</w:t>
            </w:r>
          </w:p>
        </w:tc>
      </w:tr>
      <w:tr w14:paraId="3652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0C6F7275">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w:t>
            </w:r>
          </w:p>
        </w:tc>
        <w:tc>
          <w:tcPr>
            <w:tcW w:w="1417" w:type="dxa"/>
            <w:shd w:val="clear" w:color="auto" w:fill="FFFFFF"/>
            <w:vAlign w:val="center"/>
          </w:tcPr>
          <w:p w14:paraId="6DD99D36">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瑞安经济开发区（省级高新区）</w:t>
            </w:r>
          </w:p>
        </w:tc>
        <w:tc>
          <w:tcPr>
            <w:tcW w:w="4990" w:type="dxa"/>
            <w:shd w:val="clear" w:color="auto" w:fill="FFFFFF"/>
            <w:vAlign w:val="center"/>
          </w:tcPr>
          <w:p w14:paraId="0F0AFF3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以原瑞安经济开发区为核心，整合优化仙降工业区、云周街道繁荣村工业区、莘塍工业功能区等平台，形成规划面积约81.6平方公里，园区以汽车零部件、机械电子、高分子合成材料产业为主导，至2025年力争实现工业总产值达到1000亿元左右，税收60亿元，固定资产投资额140亿，亩均税收35万元/亩，亩均增加值135万元/亩左右。通过整合提升，力争创建国家级经济开发区。</w:t>
            </w:r>
          </w:p>
        </w:tc>
        <w:tc>
          <w:tcPr>
            <w:tcW w:w="1247" w:type="dxa"/>
            <w:shd w:val="clear" w:color="auto" w:fill="FFFFFF"/>
            <w:vAlign w:val="center"/>
          </w:tcPr>
          <w:p w14:paraId="102614D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瑞安经济开发区</w:t>
            </w:r>
          </w:p>
        </w:tc>
        <w:tc>
          <w:tcPr>
            <w:tcW w:w="6642" w:type="dxa"/>
            <w:shd w:val="clear" w:color="auto" w:fill="FFFFFF"/>
            <w:vAlign w:val="center"/>
          </w:tcPr>
          <w:p w14:paraId="268D2542">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2020年</w:t>
            </w:r>
            <w:r>
              <w:rPr>
                <w:rFonts w:hint="eastAsia" w:ascii="Times New Roman" w:hAnsi="Times New Roman" w:cs="Times New Roman"/>
                <w:color w:val="000000"/>
                <w:kern w:val="0"/>
                <w:sz w:val="21"/>
                <w:szCs w:val="21"/>
                <w:lang w:bidi="ar"/>
              </w:rPr>
              <w:t>，瑞安经济开发区</w:t>
            </w:r>
            <w:r>
              <w:rPr>
                <w:rFonts w:ascii="Times New Roman" w:hAnsi="Times New Roman" w:cs="Times New Roman"/>
                <w:color w:val="000000"/>
                <w:kern w:val="0"/>
                <w:sz w:val="21"/>
                <w:szCs w:val="21"/>
                <w:lang w:bidi="ar"/>
              </w:rPr>
              <w:t>税收收入63.14亿元，固定资产投资额237.675亿元，亩均税收17.32万元/亩，亩均增加值175.14万元/亩</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2021年</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税收收入74.81亿元，固定资产投资额282.68亿元，亩均税收20.55万元/亩，亩均增加值238万元/亩</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2022年9月，瑞安经济开发区整合提升方案</w:t>
            </w:r>
            <w:r>
              <w:rPr>
                <w:rFonts w:hint="eastAsia" w:ascii="Times New Roman" w:hAnsi="Times New Roman" w:cs="Times New Roman"/>
                <w:color w:val="000000"/>
                <w:kern w:val="0"/>
                <w:sz w:val="21"/>
                <w:szCs w:val="21"/>
                <w:lang w:bidi="ar"/>
              </w:rPr>
              <w:t>进入省商务厅批复阶段，</w:t>
            </w:r>
            <w:r>
              <w:rPr>
                <w:rFonts w:ascii="Times New Roman" w:hAnsi="Times New Roman" w:cs="Times New Roman"/>
                <w:color w:val="000000"/>
                <w:kern w:val="0"/>
                <w:sz w:val="21"/>
                <w:szCs w:val="21"/>
                <w:lang w:bidi="ar"/>
              </w:rPr>
              <w:t>以整合提升后范围101.12平方公里填写年报，</w:t>
            </w:r>
            <w:r>
              <w:rPr>
                <w:rFonts w:hint="eastAsia" w:ascii="Times New Roman" w:hAnsi="Times New Roman" w:cs="Times New Roman"/>
                <w:color w:val="000000"/>
                <w:kern w:val="0"/>
                <w:sz w:val="21"/>
                <w:szCs w:val="21"/>
                <w:lang w:bidi="ar"/>
              </w:rPr>
              <w:t>2022年，</w:t>
            </w:r>
            <w:r>
              <w:rPr>
                <w:rFonts w:ascii="Times New Roman" w:hAnsi="Times New Roman" w:cs="Times New Roman"/>
                <w:color w:val="000000"/>
                <w:kern w:val="0"/>
                <w:sz w:val="21"/>
                <w:szCs w:val="21"/>
                <w:lang w:bidi="ar"/>
              </w:rPr>
              <w:t>税收收入为45.79亿元，固定资产投资为282.79亿元，亩均增加值为254.16万元/亩</w:t>
            </w:r>
            <w:r>
              <w:rPr>
                <w:rFonts w:hint="eastAsia" w:ascii="Times New Roman" w:hAnsi="Times New Roman" w:cs="Times New Roman"/>
                <w:color w:val="000000"/>
                <w:kern w:val="0"/>
                <w:sz w:val="21"/>
                <w:szCs w:val="21"/>
                <w:lang w:bidi="ar"/>
              </w:rPr>
              <w:t>。</w:t>
            </w:r>
          </w:p>
        </w:tc>
      </w:tr>
      <w:tr w14:paraId="5A56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3ED0322F">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w:t>
            </w:r>
          </w:p>
        </w:tc>
        <w:tc>
          <w:tcPr>
            <w:tcW w:w="1417" w:type="dxa"/>
            <w:shd w:val="clear" w:color="DDEBF7" w:fill="FFFFFF"/>
            <w:vAlign w:val="center"/>
          </w:tcPr>
          <w:p w14:paraId="4C7DC445">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瑞安高端汽车零部件平台</w:t>
            </w:r>
          </w:p>
        </w:tc>
        <w:tc>
          <w:tcPr>
            <w:tcW w:w="4990" w:type="dxa"/>
            <w:shd w:val="clear" w:color="DDEBF7" w:fill="FFFFFF"/>
            <w:vAlign w:val="center"/>
          </w:tcPr>
          <w:p w14:paraId="025E1A0C">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以原塘下东工业园区、北工业园区为核心，整合优化八水工业点等平台，形成规划面积约26平方公里的省级产业平台。园区依托原瑞安塘下新区开发建设管理委员会统一管理。园区以汽车零部件产业为主导，至2025年力争实现工业总产值规模达到500亿元，税收28亿元，固定资产投资额50亿元，亩均税收35万元/亩左右，亩均增加值120万元/亩。</w:t>
            </w:r>
          </w:p>
        </w:tc>
        <w:tc>
          <w:tcPr>
            <w:tcW w:w="1247" w:type="dxa"/>
            <w:shd w:val="clear" w:color="DDEBF7" w:fill="FFFFFF"/>
            <w:vAlign w:val="center"/>
          </w:tcPr>
          <w:p w14:paraId="78F85C2F">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塘下新区管委会</w:t>
            </w:r>
          </w:p>
        </w:tc>
        <w:tc>
          <w:tcPr>
            <w:tcW w:w="6642" w:type="dxa"/>
            <w:shd w:val="clear" w:color="DDEBF7" w:fill="FFFFFF"/>
            <w:vAlign w:val="center"/>
          </w:tcPr>
          <w:p w14:paraId="01665B05">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塘下镇固定资产投资2020年</w:t>
            </w:r>
            <w:r>
              <w:rPr>
                <w:rFonts w:hint="eastAsia" w:ascii="Times New Roman" w:hAnsi="Times New Roman" w:cs="Times New Roman"/>
                <w:color w:val="000000"/>
                <w:kern w:val="0"/>
                <w:sz w:val="21"/>
                <w:szCs w:val="21"/>
                <w:lang w:bidi="ar"/>
              </w:rPr>
              <w:t>、2021年、</w:t>
            </w:r>
            <w:r>
              <w:rPr>
                <w:rFonts w:ascii="Times New Roman" w:hAnsi="Times New Roman" w:cs="Times New Roman"/>
                <w:color w:val="000000"/>
                <w:kern w:val="0"/>
                <w:sz w:val="21"/>
                <w:szCs w:val="21"/>
                <w:lang w:bidi="ar"/>
              </w:rPr>
              <w:t>2022年</w:t>
            </w:r>
            <w:r>
              <w:rPr>
                <w:rFonts w:hint="eastAsia" w:ascii="Times New Roman" w:hAnsi="Times New Roman" w:cs="Times New Roman"/>
                <w:color w:val="000000"/>
                <w:kern w:val="0"/>
                <w:sz w:val="21"/>
                <w:szCs w:val="21"/>
                <w:lang w:bidi="ar"/>
              </w:rPr>
              <w:t>、2023年、</w:t>
            </w:r>
            <w:r>
              <w:rPr>
                <w:rFonts w:ascii="Times New Roman" w:hAnsi="Times New Roman" w:cs="Times New Roman"/>
                <w:color w:val="000000"/>
                <w:kern w:val="0"/>
                <w:sz w:val="21"/>
                <w:szCs w:val="21"/>
                <w:lang w:bidi="ar"/>
              </w:rPr>
              <w:t>2023年</w:t>
            </w:r>
            <w:r>
              <w:rPr>
                <w:rFonts w:hint="eastAsia" w:ascii="Times New Roman" w:hAnsi="Times New Roman" w:cs="Times New Roman"/>
                <w:color w:val="000000"/>
                <w:kern w:val="0"/>
                <w:sz w:val="21"/>
                <w:szCs w:val="21"/>
                <w:lang w:bidi="ar"/>
              </w:rPr>
              <w:t>1-5月分别为</w:t>
            </w:r>
            <w:r>
              <w:rPr>
                <w:rFonts w:ascii="Times New Roman" w:hAnsi="Times New Roman" w:cs="Times New Roman"/>
                <w:color w:val="000000"/>
                <w:kern w:val="0"/>
                <w:sz w:val="21"/>
                <w:szCs w:val="21"/>
                <w:lang w:bidi="ar"/>
              </w:rPr>
              <w:t>70.07亿元</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90.89亿元</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90.95亿元</w:t>
            </w:r>
            <w:r>
              <w:rPr>
                <w:rFonts w:hint="eastAsia" w:ascii="Times New Roman" w:hAnsi="Times New Roman" w:cs="Times New Roman"/>
                <w:color w:val="000000"/>
                <w:kern w:val="0"/>
                <w:sz w:val="21"/>
                <w:szCs w:val="21"/>
                <w:lang w:bidi="ar"/>
              </w:rPr>
              <w:t>、30.38亿元。</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2022年，瑞安高端汽车零部件平台分别实现地区生产总值265.6亿元，规上工业产值突破316.7亿元，年均财政收入在20亿元以上。集聚各类工业企业约一万家，其中规上企业452家、亿元企业57家；各类市场主体近4万家。</w:t>
            </w:r>
          </w:p>
        </w:tc>
      </w:tr>
      <w:tr w14:paraId="7B41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59D3BBC3">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3</w:t>
            </w:r>
          </w:p>
        </w:tc>
        <w:tc>
          <w:tcPr>
            <w:tcW w:w="1417" w:type="dxa"/>
            <w:shd w:val="clear" w:color="auto" w:fill="FFFFFF"/>
            <w:vAlign w:val="center"/>
          </w:tcPr>
          <w:p w14:paraId="2A8BACF1">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瑞安智能汽车关键零部件“万亩千亿”新产业平台</w:t>
            </w:r>
          </w:p>
        </w:tc>
        <w:tc>
          <w:tcPr>
            <w:tcW w:w="4990" w:type="dxa"/>
            <w:shd w:val="clear" w:color="auto" w:fill="FFFFFF"/>
            <w:vAlign w:val="center"/>
          </w:tcPr>
          <w:p w14:paraId="08E4F6C2">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平台总规划面积10.65平方公里，按照“一芯一港两基地”的空间布局，以智能汽车关键零部件为主导产业，力争建成国内首个智能汽车关键零部件产业基地，形成现代化高端产业体系，全力引领温州未来产业培育，到2022年，平台产业规模效益初显，创新要素高度集聚，高端配套服务体系基本完备，实现营业总收入600亿元。2025年基本建成国内一流的智能汽车关键零部件产业基地，实现营业总收入1200亿元。</w:t>
            </w:r>
          </w:p>
        </w:tc>
        <w:tc>
          <w:tcPr>
            <w:tcW w:w="1247" w:type="dxa"/>
            <w:shd w:val="clear" w:color="auto" w:fill="FFFFFF"/>
            <w:vAlign w:val="center"/>
          </w:tcPr>
          <w:p w14:paraId="6CD843BD">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塘下新区管委会</w:t>
            </w:r>
          </w:p>
        </w:tc>
        <w:tc>
          <w:tcPr>
            <w:tcW w:w="6642" w:type="dxa"/>
            <w:shd w:val="clear" w:color="auto" w:fill="FFFFFF"/>
            <w:vAlign w:val="center"/>
          </w:tcPr>
          <w:p w14:paraId="0E941585">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①2020年、2021年、2022年、2023年1-7月万千平台规上企业产值分别为130.16亿元、170.94亿元、217.2亿元、166.2亿元。②2022年，汽车零部件产业集群总营业收入基本达到600亿。③截至2023年7月，万千平台累计完成固定资产投资331.3亿元，其中产业项目投资172.6亿元，基础配套投资158.78亿元。</w:t>
            </w:r>
          </w:p>
        </w:tc>
      </w:tr>
      <w:tr w14:paraId="33B5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3FF90B4B">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4</w:t>
            </w:r>
          </w:p>
        </w:tc>
        <w:tc>
          <w:tcPr>
            <w:tcW w:w="1417" w:type="dxa"/>
            <w:shd w:val="clear" w:color="DDEBF7" w:fill="FFFFFF"/>
            <w:vAlign w:val="center"/>
          </w:tcPr>
          <w:p w14:paraId="519733AC">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拥江发展片区</w:t>
            </w:r>
          </w:p>
        </w:tc>
        <w:tc>
          <w:tcPr>
            <w:tcW w:w="4990" w:type="dxa"/>
            <w:shd w:val="clear" w:color="DDEBF7" w:fill="FFFFFF"/>
            <w:vAlign w:val="center"/>
          </w:tcPr>
          <w:p w14:paraId="1ABEA15E">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作为“拥江战略”主阵地，重点发展高端商务、时尚消费、运动休闲等功能，加快推进东山西单元、巾子山等重点区块建设，打造现代城市休闲商务区、瑞安城市最靓客厅。</w:t>
            </w:r>
          </w:p>
        </w:tc>
        <w:tc>
          <w:tcPr>
            <w:tcW w:w="1247" w:type="dxa"/>
            <w:shd w:val="clear" w:color="DDEBF7" w:fill="FFFFFF"/>
            <w:vAlign w:val="center"/>
          </w:tcPr>
          <w:p w14:paraId="20BF4D82">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江南新区管委会、安阳中心城区开发建设中心</w:t>
            </w:r>
          </w:p>
        </w:tc>
        <w:tc>
          <w:tcPr>
            <w:tcW w:w="6642" w:type="dxa"/>
            <w:shd w:val="clear" w:color="DDEBF7" w:fill="FFFFFF"/>
            <w:vAlign w:val="center"/>
          </w:tcPr>
          <w:p w14:paraId="0353E10E">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巾子山时尚休闲创享聚业地块累计完成投资3</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5</w:t>
            </w:r>
            <w:r>
              <w:rPr>
                <w:rFonts w:hint="eastAsia" w:ascii="Times New Roman" w:hAnsi="Times New Roman" w:cs="Times New Roman"/>
                <w:color w:val="000000"/>
                <w:kern w:val="0"/>
                <w:sz w:val="21"/>
                <w:szCs w:val="21"/>
                <w:lang w:bidi="ar"/>
              </w:rPr>
              <w:t>2亿元。</w:t>
            </w:r>
            <w:r>
              <w:rPr>
                <w:rFonts w:hint="eastAsia" w:ascii="仿宋_GB2312" w:hAnsi="仿宋_GB2312" w:cs="仿宋_GB2312"/>
                <w:color w:val="000000"/>
                <w:kern w:val="0"/>
                <w:sz w:val="21"/>
                <w:szCs w:val="21"/>
                <w:lang w:bidi="ar"/>
              </w:rPr>
              <w:t>②滨江景观带一期工程累计完成投资4.25亿元。③云江西街月光经济项目累计完成投资1.95亿元。④</w:t>
            </w:r>
            <w:r>
              <w:rPr>
                <w:rFonts w:ascii="Times New Roman" w:hAnsi="Times New Roman" w:cs="Times New Roman"/>
                <w:color w:val="000000"/>
                <w:kern w:val="0"/>
                <w:sz w:val="21"/>
                <w:szCs w:val="21"/>
                <w:lang w:bidi="ar"/>
              </w:rPr>
              <w:t>南滨江一期主体结构基本完</w:t>
            </w:r>
            <w:r>
              <w:rPr>
                <w:rFonts w:hint="eastAsia" w:ascii="仿宋_GB2312" w:hAnsi="仿宋_GB2312" w:cs="仿宋_GB2312"/>
                <w:color w:val="000000"/>
                <w:kern w:val="0"/>
                <w:sz w:val="21"/>
                <w:szCs w:val="21"/>
                <w:lang w:bidi="ar"/>
              </w:rPr>
              <w:t>成、二期商业及文体中心已完成桩基工程、商业方案因调整已报规局审查。⑤</w:t>
            </w:r>
            <w:r>
              <w:rPr>
                <w:rFonts w:ascii="Times New Roman" w:hAnsi="Times New Roman" w:cs="Times New Roman"/>
                <w:color w:val="000000"/>
                <w:kern w:val="0"/>
                <w:sz w:val="21"/>
                <w:szCs w:val="21"/>
                <w:lang w:bidi="ar"/>
              </w:rPr>
              <w:t>完成金茂悦、北滨江沿线提升、滨江三期F地块二期安置房工程</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南滨江生态科技园综合配套（一期）工程</w:t>
            </w:r>
            <w:r>
              <w:rPr>
                <w:rFonts w:hint="eastAsia" w:ascii="Times New Roman" w:hAnsi="Times New Roman" w:cs="Times New Roman"/>
                <w:color w:val="000000"/>
                <w:kern w:val="0"/>
                <w:sz w:val="21"/>
                <w:szCs w:val="21"/>
                <w:lang w:bidi="ar"/>
              </w:rPr>
              <w:t>、滨江三期等项目稳步推进。</w:t>
            </w:r>
          </w:p>
        </w:tc>
      </w:tr>
      <w:tr w14:paraId="3309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7DCBC50E">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5</w:t>
            </w:r>
          </w:p>
        </w:tc>
        <w:tc>
          <w:tcPr>
            <w:tcW w:w="1417" w:type="dxa"/>
            <w:shd w:val="clear" w:color="auto" w:fill="FFFFFF"/>
            <w:vAlign w:val="center"/>
          </w:tcPr>
          <w:p w14:paraId="15065823">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瑞安古城片区</w:t>
            </w:r>
          </w:p>
        </w:tc>
        <w:tc>
          <w:tcPr>
            <w:tcW w:w="4990" w:type="dxa"/>
            <w:shd w:val="clear" w:color="auto" w:fill="FFFFFF"/>
            <w:vAlign w:val="center"/>
          </w:tcPr>
          <w:p w14:paraId="0DA182E5">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重点发展商业商贸、文化旅游、教育研学等功能，推动老城有机更新，培育月光经济，打造彰显瑞安特色风貌的古城片区。</w:t>
            </w:r>
          </w:p>
        </w:tc>
        <w:tc>
          <w:tcPr>
            <w:tcW w:w="1247" w:type="dxa"/>
            <w:shd w:val="clear" w:color="auto" w:fill="FFFFFF"/>
            <w:vAlign w:val="center"/>
          </w:tcPr>
          <w:p w14:paraId="4812BDAA">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安阳中心城区开发建设中心</w:t>
            </w:r>
          </w:p>
        </w:tc>
        <w:tc>
          <w:tcPr>
            <w:tcW w:w="6642" w:type="dxa"/>
            <w:shd w:val="clear" w:color="auto" w:fill="FFFFFF"/>
            <w:vAlign w:val="center"/>
          </w:tcPr>
          <w:p w14:paraId="2493E4A2">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编制完成玉海古城有机更新概念性方案。</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忠义街获评省级高品质步行街、完成未来社区及传统风貌样板区建设。</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西山历史街区已初步完成西山公园南入口项目建设</w:t>
            </w:r>
            <w:r>
              <w:rPr>
                <w:rFonts w:hint="eastAsia" w:ascii="Times New Roman" w:hAnsi="Times New Roman" w:cs="Times New Roman"/>
                <w:color w:val="000000"/>
                <w:kern w:val="0"/>
                <w:sz w:val="21"/>
                <w:szCs w:val="21"/>
                <w:lang w:bidi="ar"/>
              </w:rPr>
              <w:t>。</w:t>
            </w:r>
          </w:p>
        </w:tc>
      </w:tr>
      <w:tr w14:paraId="770F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4271AC2D">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6</w:t>
            </w:r>
          </w:p>
        </w:tc>
        <w:tc>
          <w:tcPr>
            <w:tcW w:w="1417" w:type="dxa"/>
            <w:shd w:val="clear" w:color="DDEBF7" w:fill="FFFFFF"/>
            <w:vAlign w:val="center"/>
          </w:tcPr>
          <w:p w14:paraId="71CA83C4">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滨海核心区</w:t>
            </w:r>
          </w:p>
        </w:tc>
        <w:tc>
          <w:tcPr>
            <w:tcW w:w="4990" w:type="dxa"/>
            <w:shd w:val="clear" w:color="DDEBF7" w:fill="FFFFFF"/>
            <w:vAlign w:val="center"/>
          </w:tcPr>
          <w:p w14:paraId="5244C768">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聚焦总部经济、商业商务、行政办公、生态居住等功能，推动现代高端服务业集聚发展，持续完善基础设施和公共服务配套设施建设，加快用地调整，打造成为未来城市中心区。</w:t>
            </w:r>
          </w:p>
        </w:tc>
        <w:tc>
          <w:tcPr>
            <w:tcW w:w="1247" w:type="dxa"/>
            <w:shd w:val="clear" w:color="DDEBF7" w:fill="FFFFFF"/>
            <w:vAlign w:val="center"/>
          </w:tcPr>
          <w:p w14:paraId="75325B2D">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滨海新区管委会</w:t>
            </w:r>
          </w:p>
        </w:tc>
        <w:tc>
          <w:tcPr>
            <w:tcW w:w="6642" w:type="dxa"/>
            <w:shd w:val="clear" w:color="DDEBF7" w:fill="FFFFFF"/>
            <w:vAlign w:val="center"/>
          </w:tcPr>
          <w:p w14:paraId="222694D4">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2022年8月，城市中心区控规修改、城市设计获市政府批复。</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标志性项目</w:t>
            </w:r>
            <w:r>
              <w:rPr>
                <w:rFonts w:hint="eastAsia" w:ascii="Times New Roman" w:hAnsi="Times New Roman" w:cs="Times New Roman"/>
                <w:color w:val="000000"/>
                <w:kern w:val="0"/>
                <w:sz w:val="21"/>
                <w:szCs w:val="21"/>
                <w:lang w:bidi="ar"/>
              </w:rPr>
              <w:t>有序推进。</w:t>
            </w:r>
            <w:r>
              <w:rPr>
                <w:rFonts w:ascii="Times New Roman" w:hAnsi="Times New Roman" w:cs="Times New Roman"/>
                <w:color w:val="000000"/>
                <w:kern w:val="0"/>
                <w:sz w:val="21"/>
                <w:szCs w:val="21"/>
                <w:lang w:bidi="ar"/>
              </w:rPr>
              <w:t>全国</w:t>
            </w:r>
            <w:r>
              <w:rPr>
                <w:rFonts w:hint="eastAsia" w:ascii="Times New Roman" w:hAnsi="Times New Roman" w:cs="Times New Roman"/>
                <w:color w:val="000000"/>
                <w:kern w:val="0"/>
                <w:sz w:val="21"/>
                <w:szCs w:val="21"/>
                <w:lang w:bidi="ar"/>
              </w:rPr>
              <w:t>县级体量最大的</w:t>
            </w:r>
            <w:r>
              <w:rPr>
                <w:rFonts w:ascii="Times New Roman" w:hAnsi="Times New Roman" w:cs="Times New Roman"/>
                <w:color w:val="000000"/>
                <w:kern w:val="0"/>
                <w:sz w:val="21"/>
                <w:szCs w:val="21"/>
                <w:lang w:bidi="ar"/>
              </w:rPr>
              <w:t>图书馆开工建设</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滨海五星级酒店已投用，滨海金融大厦计划年内完工，新湖银泰城计划年内开业。建筑业总部大楼加速建设，人力资源产业园已摘牌落地。</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公共服务配套设施建设同步完善。S2莘塍站通站道路已建成，滨海实验小学已竣工，计划2023年秋季开学投用，南垟浦绿化开工。</w:t>
            </w:r>
          </w:p>
        </w:tc>
      </w:tr>
      <w:tr w14:paraId="4F5B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55117F37">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7</w:t>
            </w:r>
          </w:p>
        </w:tc>
        <w:tc>
          <w:tcPr>
            <w:tcW w:w="1417" w:type="dxa"/>
            <w:shd w:val="clear" w:color="auto" w:fill="FFFFFF"/>
            <w:vAlign w:val="center"/>
          </w:tcPr>
          <w:p w14:paraId="068CF2DE">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东新产城片区</w:t>
            </w:r>
          </w:p>
        </w:tc>
        <w:tc>
          <w:tcPr>
            <w:tcW w:w="4990" w:type="dxa"/>
            <w:shd w:val="clear" w:color="auto" w:fill="FFFFFF"/>
            <w:vAlign w:val="center"/>
          </w:tcPr>
          <w:p w14:paraId="66E4E948">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重点发展数字经济、科创服务、教育培训等产业，强化创新要素集聚，打造辐射带动效应较强的生产性服务业集聚平台和瑞安产业升级的创新极核。</w:t>
            </w:r>
          </w:p>
        </w:tc>
        <w:tc>
          <w:tcPr>
            <w:tcW w:w="1247" w:type="dxa"/>
            <w:shd w:val="clear" w:color="auto" w:fill="FFFFFF"/>
            <w:vAlign w:val="center"/>
          </w:tcPr>
          <w:p w14:paraId="675A8807">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滨海新区管委会</w:t>
            </w:r>
          </w:p>
        </w:tc>
        <w:tc>
          <w:tcPr>
            <w:tcW w:w="6642" w:type="dxa"/>
            <w:shd w:val="clear" w:color="auto" w:fill="FFFFFF"/>
            <w:vAlign w:val="center"/>
          </w:tcPr>
          <w:p w14:paraId="0A4099EC">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2021年-2022年，东新产城片区完成投资19.23亿元，完成产业项目投资14.64亿元、基础配套设施4.59亿元。</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打造东新科创园。总用地面积553亩，一期已投用，</w:t>
            </w:r>
            <w:r>
              <w:rPr>
                <w:rFonts w:hint="eastAsia" w:ascii="Times New Roman" w:hAnsi="Times New Roman" w:cs="Times New Roman"/>
                <w:color w:val="000000"/>
                <w:kern w:val="0"/>
                <w:sz w:val="21"/>
                <w:szCs w:val="21"/>
                <w:lang w:bidi="ar"/>
              </w:rPr>
              <w:t>一批</w:t>
            </w:r>
            <w:r>
              <w:rPr>
                <w:rFonts w:ascii="Times New Roman" w:hAnsi="Times New Roman" w:cs="Times New Roman"/>
                <w:color w:val="000000"/>
                <w:kern w:val="0"/>
                <w:sz w:val="21"/>
                <w:szCs w:val="21"/>
                <w:lang w:bidi="ar"/>
              </w:rPr>
              <w:t>院士团队、星矢科技企业孵化器、OVU创客星众创空间、“科创中国”瑞安实验基地等创新平台已入驻；二期（智汇谷）附属</w:t>
            </w:r>
            <w:r>
              <w:rPr>
                <w:rFonts w:hint="eastAsia" w:ascii="Times New Roman" w:hAnsi="Times New Roman" w:cs="Times New Roman"/>
                <w:color w:val="000000"/>
                <w:kern w:val="0"/>
                <w:sz w:val="21"/>
                <w:szCs w:val="21"/>
                <w:lang w:bidi="ar"/>
              </w:rPr>
              <w:t>加快</w:t>
            </w:r>
            <w:r>
              <w:rPr>
                <w:rFonts w:ascii="Times New Roman" w:hAnsi="Times New Roman" w:cs="Times New Roman"/>
                <w:color w:val="000000"/>
                <w:kern w:val="0"/>
                <w:sz w:val="21"/>
                <w:szCs w:val="21"/>
                <w:lang w:bidi="ar"/>
              </w:rPr>
              <w:t>施工；三期正开展项目合作洽谈与土地政策处理。</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打造专精特新产业园。小微园一期、二期已投用，三期附属施工。瑞立职业高中、华电实业、戈尔德总部、104国道汽车综合体、新纪元私立教育等产业项目已落地，明都鞋业、起迪3D打印、鞋业智造园开展前期工作。</w:t>
            </w:r>
          </w:p>
        </w:tc>
      </w:tr>
      <w:tr w14:paraId="24CD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253D1C5A">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8</w:t>
            </w:r>
          </w:p>
        </w:tc>
        <w:tc>
          <w:tcPr>
            <w:tcW w:w="1417" w:type="dxa"/>
            <w:shd w:val="clear" w:color="DDEBF7" w:fill="FFFFFF"/>
            <w:vAlign w:val="center"/>
          </w:tcPr>
          <w:p w14:paraId="4660AECC">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集云山片区</w:t>
            </w:r>
          </w:p>
        </w:tc>
        <w:tc>
          <w:tcPr>
            <w:tcW w:w="4990" w:type="dxa"/>
            <w:shd w:val="clear" w:color="DDEBF7" w:fill="FFFFFF"/>
            <w:vAlign w:val="center"/>
          </w:tcPr>
          <w:p w14:paraId="60034371">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按照“生态优先、基础先行、初步建成、整体推进”的原则，建设集云山生态公园，完善景区相关配套工程，导入多样化体育旅游产品，打造4A级城市休闲体育公园。</w:t>
            </w:r>
          </w:p>
        </w:tc>
        <w:tc>
          <w:tcPr>
            <w:tcW w:w="1247" w:type="dxa"/>
            <w:shd w:val="clear" w:color="DDEBF7" w:fill="FFFFFF"/>
            <w:vAlign w:val="center"/>
          </w:tcPr>
          <w:p w14:paraId="106C3713">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安阳中心城区开发建设中心</w:t>
            </w:r>
          </w:p>
        </w:tc>
        <w:tc>
          <w:tcPr>
            <w:tcW w:w="6642" w:type="dxa"/>
            <w:shd w:val="clear" w:color="DDEBF7" w:fill="FFFFFF"/>
            <w:vAlign w:val="center"/>
          </w:tcPr>
          <w:p w14:paraId="37281C58">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集云山平天河景区和猪头岩景区游步道及相关配套建设一期</w:t>
            </w:r>
            <w:r>
              <w:rPr>
                <w:rFonts w:hint="eastAsia" w:ascii="Times New Roman" w:hAnsi="Times New Roman" w:cs="Times New Roman"/>
                <w:color w:val="000000"/>
                <w:kern w:val="0"/>
                <w:sz w:val="21"/>
                <w:szCs w:val="21"/>
                <w:lang w:bidi="ar"/>
              </w:rPr>
              <w:t>已</w:t>
            </w:r>
            <w:r>
              <w:rPr>
                <w:rFonts w:ascii="Times New Roman" w:hAnsi="Times New Roman" w:cs="Times New Roman"/>
                <w:color w:val="000000"/>
                <w:kern w:val="0"/>
                <w:sz w:val="21"/>
                <w:szCs w:val="21"/>
                <w:lang w:bidi="ar"/>
              </w:rPr>
              <w:t>竣工；</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集云湖景区游步道及相关配套工程</w:t>
            </w:r>
            <w:r>
              <w:rPr>
                <w:rFonts w:hint="eastAsia" w:ascii="Times New Roman" w:hAnsi="Times New Roman" w:cs="Times New Roman"/>
                <w:color w:val="000000"/>
                <w:kern w:val="0"/>
                <w:sz w:val="21"/>
                <w:szCs w:val="21"/>
                <w:lang w:bidi="ar"/>
              </w:rPr>
              <w:t>有序推进。</w:t>
            </w:r>
          </w:p>
        </w:tc>
      </w:tr>
      <w:tr w14:paraId="5AA6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1FEFE523">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9</w:t>
            </w:r>
          </w:p>
        </w:tc>
        <w:tc>
          <w:tcPr>
            <w:tcW w:w="1417" w:type="dxa"/>
            <w:shd w:val="clear" w:color="auto" w:fill="FFFFFF"/>
            <w:vAlign w:val="center"/>
          </w:tcPr>
          <w:p w14:paraId="1C3FAFBD">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塘河新城片区</w:t>
            </w:r>
          </w:p>
        </w:tc>
        <w:tc>
          <w:tcPr>
            <w:tcW w:w="4990" w:type="dxa"/>
            <w:shd w:val="clear" w:color="auto" w:fill="FFFFFF"/>
            <w:vAlign w:val="center"/>
          </w:tcPr>
          <w:p w14:paraId="2C8376B5">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发挥交通和生态优势，重点布局商业、休闲娱乐、文化旅游、高端住宅等业态，大力发展楼宇经济和总部经济，打造温瑞一体化发展的桥头堡。</w:t>
            </w:r>
          </w:p>
        </w:tc>
        <w:tc>
          <w:tcPr>
            <w:tcW w:w="1247" w:type="dxa"/>
            <w:shd w:val="clear" w:color="auto" w:fill="FFFFFF"/>
            <w:vAlign w:val="center"/>
          </w:tcPr>
          <w:p w14:paraId="23181BF7">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塘下新区管委会</w:t>
            </w:r>
          </w:p>
        </w:tc>
        <w:tc>
          <w:tcPr>
            <w:tcW w:w="6642" w:type="dxa"/>
            <w:shd w:val="clear" w:color="auto" w:fill="FFFFFF"/>
            <w:vAlign w:val="center"/>
          </w:tcPr>
          <w:p w14:paraId="17191F70">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①交通基础建设</w:t>
            </w:r>
            <w:r>
              <w:rPr>
                <w:rFonts w:ascii="Times New Roman" w:hAnsi="Times New Roman" w:cs="Times New Roman"/>
                <w:color w:val="000000"/>
                <w:kern w:val="0"/>
                <w:sz w:val="21"/>
                <w:szCs w:val="21"/>
                <w:lang w:bidi="ar"/>
              </w:rPr>
              <w:t>：规划永宁大道已按照温州市域S3线及附属配套工程实施，工可已批复，正在征地组件；在塘河新城规划范围内设置罗凤、塘下两个站点；104国道（规划清泉路）按规划道路宽度实施改建工程，预计2024年竣工。塘下客运站已搬迁入塘河新城规划点位。</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规划地块建设：已完成04-01、13-32、10-04等4个地块的开工建设。01-34计划引入总部经济大楼，近期准备挂牌。</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已谋划启动区范围2.4平方公里，目前已完成第二轮市场测试，计划年内开工。</w:t>
            </w:r>
          </w:p>
        </w:tc>
      </w:tr>
      <w:tr w14:paraId="5DE1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7072F5DA">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10</w:t>
            </w:r>
          </w:p>
        </w:tc>
        <w:tc>
          <w:tcPr>
            <w:tcW w:w="1417" w:type="dxa"/>
            <w:shd w:val="clear" w:color="DDEBF7" w:fill="FFFFFF"/>
            <w:vAlign w:val="center"/>
          </w:tcPr>
          <w:p w14:paraId="594C920C">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侨贸小镇（省级特色小镇）</w:t>
            </w:r>
          </w:p>
        </w:tc>
        <w:tc>
          <w:tcPr>
            <w:tcW w:w="4990" w:type="dxa"/>
            <w:shd w:val="clear" w:color="DDEBF7" w:fill="FFFFFF"/>
            <w:vAlign w:val="center"/>
          </w:tcPr>
          <w:p w14:paraId="261B6F53">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聚力构建多主体协同、多要素联动的产业生态系统，全力打造侨贸跨境电商引领区，积极推动小镇提质扩容，力争跨境电商贸易额突破3亿美元。全力打造时尚创意产业国际化引领区，带动鞋服箱包等时尚轻工产业年销售额超300亿元，税收增长50%以上。全力打造数字经济发展引领区，力争培育数字经济企业300余家，带动全市数字经济产值增长15%以上。</w:t>
            </w:r>
          </w:p>
        </w:tc>
        <w:tc>
          <w:tcPr>
            <w:tcW w:w="1247" w:type="dxa"/>
            <w:shd w:val="clear" w:color="DDEBF7" w:fill="FFFFFF"/>
            <w:vAlign w:val="center"/>
          </w:tcPr>
          <w:p w14:paraId="00CF773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江南新区管委会、市商务局、市发改局（共富专班）</w:t>
            </w:r>
          </w:p>
        </w:tc>
        <w:tc>
          <w:tcPr>
            <w:tcW w:w="6642" w:type="dxa"/>
            <w:shd w:val="clear" w:color="DDEBF7" w:fill="FFFFFF"/>
            <w:vAlign w:val="center"/>
          </w:tcPr>
          <w:p w14:paraId="287FEE02">
            <w:pPr>
              <w:pStyle w:val="51"/>
              <w:widowControl/>
              <w:numPr>
                <w:ilvl w:val="255"/>
                <w:numId w:val="0"/>
              </w:numPr>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hint="eastAsia" w:ascii="Times New Roman" w:hAnsi="Times New Roman" w:cs="Times New Roman"/>
                <w:color w:val="000000"/>
                <w:kern w:val="0"/>
                <w:sz w:val="21"/>
                <w:szCs w:val="21"/>
                <w:lang w:bidi="ar"/>
              </w:rPr>
              <w:t>2021年至2023年1-5月</w:t>
            </w:r>
            <w:r>
              <w:rPr>
                <w:rFonts w:ascii="Times New Roman" w:hAnsi="Times New Roman" w:cs="Times New Roman"/>
                <w:color w:val="000000"/>
                <w:kern w:val="0"/>
                <w:sz w:val="21"/>
                <w:szCs w:val="21"/>
                <w:lang w:bidi="ar"/>
              </w:rPr>
              <w:t>，侨贸小镇完成总投资23.4亿元，实现税收收入12.1亿元</w:t>
            </w:r>
            <w:r>
              <w:rPr>
                <w:rFonts w:hint="eastAsia" w:ascii="Times New Roman" w:hAnsi="Times New Roman" w:cs="Times New Roman"/>
                <w:color w:val="000000"/>
                <w:kern w:val="0"/>
                <w:sz w:val="21"/>
                <w:szCs w:val="21"/>
                <w:lang w:bidi="ar"/>
              </w:rPr>
              <w:t>，于</w:t>
            </w:r>
            <w:r>
              <w:rPr>
                <w:rFonts w:ascii="Times New Roman" w:hAnsi="Times New Roman" w:cs="Times New Roman"/>
                <w:color w:val="000000"/>
                <w:kern w:val="0"/>
                <w:sz w:val="21"/>
                <w:szCs w:val="21"/>
                <w:lang w:bidi="ar"/>
              </w:rPr>
              <w:t>2022年6月入选浙江省第二批现代服务业创新发展区。</w:t>
            </w:r>
            <w:r>
              <w:rPr>
                <w:rFonts w:hint="eastAsia" w:ascii="仿宋_GB2312" w:hAnsi="仿宋_GB2312" w:cs="仿宋_GB2312"/>
                <w:color w:val="000000"/>
                <w:kern w:val="0"/>
                <w:sz w:val="21"/>
                <w:szCs w:val="21"/>
                <w:lang w:bidi="ar"/>
              </w:rPr>
              <w:t>②</w:t>
            </w:r>
            <w:r>
              <w:rPr>
                <w:rFonts w:hint="eastAsia" w:ascii="Times New Roman" w:hAnsi="Times New Roman" w:cs="Times New Roman"/>
                <w:color w:val="000000"/>
                <w:kern w:val="0"/>
                <w:sz w:val="21"/>
                <w:szCs w:val="21"/>
                <w:lang w:bidi="ar"/>
              </w:rPr>
              <w:t>2021年至2023年1-5月，时尚轻工产业累计销售额19.7亿元；累计培育数字经济企业数128家</w:t>
            </w:r>
            <w:r>
              <w:rPr>
                <w:rFonts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hint="eastAsia" w:ascii="Times New Roman" w:hAnsi="Times New Roman" w:cs="Times New Roman"/>
                <w:color w:val="000000"/>
                <w:kern w:val="0"/>
                <w:sz w:val="21"/>
                <w:szCs w:val="21"/>
                <w:lang w:bidi="ar"/>
              </w:rPr>
              <w:t>侨贸跨境电商引领区建设情况。设置瑞安数字商务服务中心、跨境货物集拼中心两大数据中心，侨贸国际鞋城、蓝睛灵大楼等跨境电商产业链项目投用，</w:t>
            </w:r>
            <w:r>
              <w:rPr>
                <w:rFonts w:ascii="Times New Roman" w:hAnsi="Times New Roman" w:cs="Times New Roman"/>
                <w:color w:val="000000"/>
                <w:kern w:val="0"/>
                <w:sz w:val="21"/>
                <w:szCs w:val="21"/>
                <w:lang w:bidi="ar"/>
              </w:rPr>
              <w:t>义新欧班列堆场</w:t>
            </w:r>
            <w:r>
              <w:rPr>
                <w:rFonts w:hint="eastAsia" w:ascii="Times New Roman" w:hAnsi="Times New Roman" w:cs="Times New Roman"/>
                <w:color w:val="000000"/>
                <w:kern w:val="0"/>
                <w:sz w:val="21"/>
                <w:szCs w:val="21"/>
                <w:lang w:bidi="ar"/>
              </w:rPr>
              <w:t>落地建设。</w:t>
            </w:r>
          </w:p>
        </w:tc>
      </w:tr>
      <w:tr w14:paraId="7020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shd w:val="clear" w:color="auto" w:fill="FFFFFF"/>
            <w:vAlign w:val="center"/>
          </w:tcPr>
          <w:p w14:paraId="0149473A">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11</w:t>
            </w:r>
          </w:p>
        </w:tc>
        <w:tc>
          <w:tcPr>
            <w:tcW w:w="1417" w:type="dxa"/>
            <w:shd w:val="clear" w:color="auto" w:fill="FFFFFF"/>
            <w:vAlign w:val="center"/>
          </w:tcPr>
          <w:p w14:paraId="0CB6B7E6">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塘下汽配小镇（省级特色小镇）</w:t>
            </w:r>
          </w:p>
        </w:tc>
        <w:tc>
          <w:tcPr>
            <w:tcW w:w="4990" w:type="dxa"/>
            <w:shd w:val="clear" w:color="auto" w:fill="FFFFFF"/>
            <w:vAlign w:val="center"/>
          </w:tcPr>
          <w:p w14:paraId="4A4AAB61">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依托现有“中国汽摩配之都”的汽配制造品牌和基础，引进新能源汽车、高端汽车及关键部件的领军企业，形成设计、研发、生产、销售为一体的生态产业链。同时挖掘中塘河景观资源，注入汽车文化，实现打造产业文化、旅游社区功能融合的高标准省级特色小镇。产业的定位为汽车发动机部件和电子控制器等高端装备制造。</w:t>
            </w:r>
          </w:p>
        </w:tc>
        <w:tc>
          <w:tcPr>
            <w:tcW w:w="1247" w:type="dxa"/>
            <w:shd w:val="clear" w:color="auto" w:fill="FFFFFF"/>
            <w:vAlign w:val="center"/>
          </w:tcPr>
          <w:p w14:paraId="08638908">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市经信局、万千办、塘下镇政府、市发改局（共富专班）</w:t>
            </w:r>
          </w:p>
        </w:tc>
        <w:tc>
          <w:tcPr>
            <w:tcW w:w="6642" w:type="dxa"/>
            <w:shd w:val="clear" w:color="auto" w:fill="FFFFFF"/>
            <w:vAlign w:val="center"/>
          </w:tcPr>
          <w:p w14:paraId="43879897">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2021年，</w:t>
            </w:r>
            <w:r>
              <w:rPr>
                <w:rFonts w:hint="eastAsia" w:ascii="Times New Roman" w:hAnsi="Times New Roman" w:cs="Times New Roman"/>
                <w:color w:val="000000"/>
                <w:kern w:val="0"/>
                <w:sz w:val="21"/>
                <w:szCs w:val="21"/>
                <w:lang w:bidi="ar"/>
              </w:rPr>
              <w:t>塘下汽配小镇入选省级特色小镇第七批创建对象名单</w:t>
            </w:r>
            <w:r>
              <w:rPr>
                <w:rFonts w:ascii="Times New Roman" w:hAnsi="Times New Roman" w:cs="Times New Roman"/>
                <w:color w:val="000000"/>
                <w:kern w:val="0"/>
                <w:sz w:val="21"/>
                <w:szCs w:val="21"/>
                <w:lang w:bidi="ar"/>
              </w:rPr>
              <w:t>，获2021年度考评优秀、省级100亩新增建设用地奖励。</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投资</w:t>
            </w:r>
            <w:r>
              <w:rPr>
                <w:rFonts w:hint="eastAsia" w:ascii="Times New Roman" w:hAnsi="Times New Roman" w:cs="Times New Roman"/>
                <w:color w:val="000000"/>
                <w:kern w:val="0"/>
                <w:sz w:val="21"/>
                <w:szCs w:val="21"/>
                <w:lang w:bidi="ar"/>
              </w:rPr>
              <w:t>建设</w:t>
            </w:r>
            <w:r>
              <w:rPr>
                <w:rFonts w:ascii="Times New Roman" w:hAnsi="Times New Roman" w:cs="Times New Roman"/>
                <w:color w:val="000000"/>
                <w:kern w:val="0"/>
                <w:sz w:val="21"/>
                <w:szCs w:val="21"/>
                <w:lang w:bidi="ar"/>
              </w:rPr>
              <w:t>情况。</w:t>
            </w:r>
            <w:r>
              <w:rPr>
                <w:rFonts w:hint="eastAsia" w:ascii="Times New Roman" w:hAnsi="Times New Roman" w:cs="Times New Roman"/>
                <w:color w:val="000000"/>
                <w:kern w:val="0"/>
                <w:sz w:val="21"/>
                <w:szCs w:val="21"/>
                <w:lang w:bidi="ar"/>
              </w:rPr>
              <w:t>两年来，</w:t>
            </w:r>
            <w:r>
              <w:rPr>
                <w:rFonts w:ascii="Times New Roman" w:hAnsi="Times New Roman" w:cs="Times New Roman"/>
                <w:color w:val="000000"/>
                <w:kern w:val="0"/>
                <w:sz w:val="21"/>
                <w:szCs w:val="21"/>
                <w:lang w:bidi="ar"/>
              </w:rPr>
              <w:t>小镇累计完成固定资产投资33.6亿元，其中特色产业投资26.4亿元，特色占比78.6%，非政府投资占比78.6%。</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产业</w:t>
            </w:r>
            <w:r>
              <w:rPr>
                <w:rFonts w:hint="eastAsia" w:ascii="Times New Roman" w:hAnsi="Times New Roman" w:cs="Times New Roman"/>
                <w:color w:val="000000"/>
                <w:kern w:val="0"/>
                <w:sz w:val="21"/>
                <w:szCs w:val="21"/>
                <w:lang w:bidi="ar"/>
              </w:rPr>
              <w:t>集聚</w:t>
            </w:r>
            <w:r>
              <w:rPr>
                <w:rFonts w:ascii="Times New Roman" w:hAnsi="Times New Roman" w:cs="Times New Roman"/>
                <w:color w:val="000000"/>
                <w:kern w:val="0"/>
                <w:sz w:val="21"/>
                <w:szCs w:val="21"/>
                <w:lang w:bidi="ar"/>
              </w:rPr>
              <w:t>情况。</w:t>
            </w:r>
            <w:r>
              <w:rPr>
                <w:rFonts w:hint="eastAsia" w:ascii="Times New Roman" w:hAnsi="Times New Roman" w:cs="Times New Roman"/>
                <w:color w:val="000000"/>
                <w:kern w:val="0"/>
                <w:sz w:val="21"/>
                <w:szCs w:val="21"/>
                <w:lang w:bidi="ar"/>
              </w:rPr>
              <w:t>招引</w:t>
            </w:r>
            <w:r>
              <w:rPr>
                <w:rFonts w:ascii="Times New Roman" w:hAnsi="Times New Roman" w:cs="Times New Roman"/>
                <w:color w:val="000000"/>
                <w:kern w:val="0"/>
                <w:sz w:val="21"/>
                <w:szCs w:val="21"/>
                <w:lang w:bidi="ar"/>
              </w:rPr>
              <w:t>落地松田、科丰、恩驰等产业项目11个，其中省152重大产业项目3个。</w:t>
            </w:r>
            <w:r>
              <w:rPr>
                <w:rFonts w:hint="eastAsia" w:ascii="Times New Roman" w:hAnsi="Times New Roman" w:cs="Times New Roman"/>
                <w:color w:val="000000"/>
                <w:kern w:val="0"/>
                <w:sz w:val="21"/>
                <w:szCs w:val="21"/>
                <w:lang w:bidi="ar"/>
              </w:rPr>
              <w:t>累计</w:t>
            </w:r>
            <w:r>
              <w:rPr>
                <w:rFonts w:ascii="Times New Roman" w:hAnsi="Times New Roman" w:cs="Times New Roman"/>
                <w:color w:val="000000"/>
                <w:kern w:val="0"/>
                <w:sz w:val="21"/>
                <w:szCs w:val="21"/>
                <w:lang w:bidi="ar"/>
              </w:rPr>
              <w:t>入驻企业43家，其中高新技术企业21家。与19家高校、省级以上研究院（所）、行业协会开展技术合作，引入专业技术人员327位，其中省级以上人才17位，创业创新服务平台11个。</w:t>
            </w:r>
            <w:r>
              <w:rPr>
                <w:rFonts w:hint="eastAsia" w:ascii="仿宋_GB2312" w:hAnsi="仿宋_GB2312" w:cs="仿宋_GB2312"/>
                <w:color w:val="000000"/>
                <w:kern w:val="0"/>
                <w:sz w:val="21"/>
                <w:szCs w:val="21"/>
                <w:lang w:bidi="ar"/>
              </w:rPr>
              <w:t>④</w:t>
            </w:r>
            <w:r>
              <w:rPr>
                <w:rFonts w:ascii="Times New Roman" w:hAnsi="Times New Roman" w:cs="Times New Roman"/>
                <w:color w:val="000000"/>
                <w:kern w:val="0"/>
                <w:sz w:val="21"/>
                <w:szCs w:val="21"/>
                <w:lang w:bidi="ar"/>
              </w:rPr>
              <w:t>基础设施建设情况。东一路（场桥内河-国泰路）道路工程、瑞安市塘下镇人才公寓建设工程、荷塘路（凤锦路至港口大道段）道路工程等配套工程进展顺利。结合美丽城镇创建和美丽田园整治，开展3A级景区专项规划，于2023年全面实施景区创建工作。</w:t>
            </w:r>
          </w:p>
        </w:tc>
      </w:tr>
      <w:tr w14:paraId="717B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63E67F6C">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12</w:t>
            </w:r>
          </w:p>
        </w:tc>
        <w:tc>
          <w:tcPr>
            <w:tcW w:w="1417" w:type="dxa"/>
            <w:shd w:val="clear" w:color="DDEBF7" w:fill="FFFFFF"/>
            <w:vAlign w:val="center"/>
          </w:tcPr>
          <w:p w14:paraId="1DE49A5E">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智控装备小镇（省级特色小镇）</w:t>
            </w:r>
          </w:p>
        </w:tc>
        <w:tc>
          <w:tcPr>
            <w:tcW w:w="4990" w:type="dxa"/>
            <w:shd w:val="clear" w:color="DDEBF7" w:fill="FFFFFF"/>
            <w:vAlign w:val="center"/>
          </w:tcPr>
          <w:p w14:paraId="545F97B5">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以智控装备为核心特色产业，构建“4+1”产业体系，发展汽车零部件智控设备、高端系统流程设备、重型机械控制设备、智能柔性制造设备等四大产业方向，打造全省智控装备产业发展先行区、温州大都市产城融合发展示范区。</w:t>
            </w:r>
          </w:p>
        </w:tc>
        <w:tc>
          <w:tcPr>
            <w:tcW w:w="1247" w:type="dxa"/>
            <w:shd w:val="clear" w:color="DDEBF7" w:fill="FFFFFF"/>
            <w:vAlign w:val="center"/>
          </w:tcPr>
          <w:p w14:paraId="74045714">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瑞安经济开发区、市经信局、市发改局、市发改局（共富专班）</w:t>
            </w:r>
          </w:p>
        </w:tc>
        <w:tc>
          <w:tcPr>
            <w:tcW w:w="6642" w:type="dxa"/>
            <w:shd w:val="clear" w:color="DDEBF7" w:fill="FFFFFF"/>
            <w:vAlign w:val="center"/>
          </w:tcPr>
          <w:p w14:paraId="61CAF2E2">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产业发展情况，引入瑞立集团、力诺流体、名瑞科技等主导产业企业，引进置慧机械装备小微园、万东智能制造产业园等五大园区，总投资超70亿元，总产出超100亿元。</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基础设施建设情况，积极创建AAA景区。</w:t>
            </w:r>
          </w:p>
        </w:tc>
      </w:tr>
      <w:tr w14:paraId="0E52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2C593D43">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13</w:t>
            </w:r>
          </w:p>
        </w:tc>
        <w:tc>
          <w:tcPr>
            <w:tcW w:w="1417" w:type="dxa"/>
            <w:shd w:val="clear" w:color="auto" w:fill="FFFFFF"/>
            <w:vAlign w:val="center"/>
          </w:tcPr>
          <w:p w14:paraId="4D19B9EE">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小微企业园</w:t>
            </w:r>
          </w:p>
        </w:tc>
        <w:tc>
          <w:tcPr>
            <w:tcW w:w="4990" w:type="dxa"/>
            <w:shd w:val="clear" w:color="auto" w:fill="FFFFFF"/>
            <w:vAlign w:val="center"/>
          </w:tcPr>
          <w:p w14:paraId="08BEC1BD">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进一步规范管理小微企业园，提升规划建设水平，将小微企业园打造成为“小而专、小而高、小而好”的特色化基础平台，坚持政府主导，企业主体，市场化运作，推动小微企业园高质量发展。建成星级小微园5个，其中高星级小微园2个。</w:t>
            </w:r>
          </w:p>
        </w:tc>
        <w:tc>
          <w:tcPr>
            <w:tcW w:w="1247" w:type="dxa"/>
            <w:shd w:val="clear" w:color="auto" w:fill="FFFFFF"/>
            <w:vAlign w:val="center"/>
          </w:tcPr>
          <w:p w14:paraId="67EE7F6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w:t>
            </w:r>
          </w:p>
        </w:tc>
        <w:tc>
          <w:tcPr>
            <w:tcW w:w="6642" w:type="dxa"/>
            <w:shd w:val="clear" w:color="auto" w:fill="FFFFFF"/>
            <w:vAlign w:val="center"/>
          </w:tcPr>
          <w:p w14:paraId="4B663CFF">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已建成星级小微园3个，均为高星级小微园。</w:t>
            </w:r>
          </w:p>
        </w:tc>
      </w:tr>
      <w:tr w14:paraId="1584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38A6E09E">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14</w:t>
            </w:r>
          </w:p>
        </w:tc>
        <w:tc>
          <w:tcPr>
            <w:tcW w:w="1417" w:type="dxa"/>
            <w:shd w:val="clear" w:color="DDEBF7" w:fill="FFFFFF"/>
            <w:vAlign w:val="center"/>
          </w:tcPr>
          <w:p w14:paraId="58D098FC">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温州自创区“瑞安园”</w:t>
            </w:r>
          </w:p>
        </w:tc>
        <w:tc>
          <w:tcPr>
            <w:tcW w:w="4990" w:type="dxa"/>
            <w:shd w:val="clear" w:color="DDEBF7" w:fill="FFFFFF"/>
            <w:vAlign w:val="center"/>
          </w:tcPr>
          <w:p w14:paraId="0BE27B40">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围绕智能装备、新材料两大主导产业，以产业集群建设和产业链培育为导向，培育500亿级新材料产业集群、500亿级智能装备产业集群，“瑞安园”民营经济自主创新能力显著提升，创新创业生态系统全面构建，科技创新要素不断集聚，着力把“瑞安园”建设成为新时代民营经济创新创业的新高地、温州国家自主创新示范区的样板园、温州南翼科创中心。</w:t>
            </w:r>
          </w:p>
        </w:tc>
        <w:tc>
          <w:tcPr>
            <w:tcW w:w="1247" w:type="dxa"/>
            <w:shd w:val="clear" w:color="DDEBF7" w:fill="FFFFFF"/>
            <w:vAlign w:val="center"/>
          </w:tcPr>
          <w:p w14:paraId="5C2BD78A">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市科技局</w:t>
            </w:r>
          </w:p>
        </w:tc>
        <w:tc>
          <w:tcPr>
            <w:tcW w:w="6642" w:type="dxa"/>
            <w:shd w:val="clear" w:color="DDEBF7" w:fill="FFFFFF"/>
            <w:vAlign w:val="center"/>
          </w:tcPr>
          <w:p w14:paraId="5F34A8F5">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2021-2022年</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累计新增招引落地创新型重大科技项目22个，累计新增引育领军型人才创业项目5个，新引进培育海内外高层次创新创业人才累计665个</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累计立项温州重大科技创新攻关（含自创区专项）项目5项。</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积极推动区域开放合作共享</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2021-2022年长三角、粤闽浙区域技术合同登记累计完成189个，高能级创新平台产学研合作（含跨区域合作）累计完成80个。</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持续深化科技体制改革，激发各类创新主体活力，</w:t>
            </w:r>
            <w:r>
              <w:rPr>
                <w:rFonts w:hint="eastAsia" w:ascii="Times New Roman" w:hAnsi="Times New Roman" w:cs="Times New Roman"/>
                <w:color w:val="000000"/>
                <w:kern w:val="0"/>
                <w:sz w:val="21"/>
                <w:szCs w:val="21"/>
                <w:lang w:bidi="ar"/>
              </w:rPr>
              <w:t>两年半来，累计获得浙江科学技术奖5项。</w:t>
            </w:r>
          </w:p>
        </w:tc>
      </w:tr>
      <w:tr w14:paraId="3598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59BA4463">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15</w:t>
            </w:r>
          </w:p>
        </w:tc>
        <w:tc>
          <w:tcPr>
            <w:tcW w:w="1417" w:type="dxa"/>
            <w:shd w:val="clear" w:color="auto" w:fill="FFFFFF"/>
            <w:vAlign w:val="center"/>
          </w:tcPr>
          <w:p w14:paraId="5E14945D">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环大罗山科创走廊</w:t>
            </w:r>
            <w:r>
              <w:rPr>
                <w:rFonts w:hint="eastAsia" w:ascii="Times New Roman" w:hAnsi="Times New Roman" w:cs="Times New Roman"/>
                <w:color w:val="000000"/>
                <w:kern w:val="0"/>
                <w:sz w:val="21"/>
                <w:szCs w:val="21"/>
                <w:lang w:bidi="ar"/>
              </w:rPr>
              <w:t>瑞安</w:t>
            </w:r>
            <w:r>
              <w:rPr>
                <w:rFonts w:ascii="Times New Roman" w:hAnsi="Times New Roman" w:cs="Times New Roman"/>
                <w:color w:val="000000"/>
                <w:kern w:val="0"/>
                <w:sz w:val="21"/>
                <w:szCs w:val="21"/>
                <w:lang w:bidi="ar"/>
              </w:rPr>
              <w:t>科技城</w:t>
            </w:r>
          </w:p>
        </w:tc>
        <w:tc>
          <w:tcPr>
            <w:tcW w:w="4990" w:type="dxa"/>
            <w:shd w:val="clear" w:color="auto" w:fill="FFFFFF"/>
            <w:vAlign w:val="center"/>
          </w:tcPr>
          <w:p w14:paraId="2689866D">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支持一批高科技标杆型企业发展，集群式培育高能级研发机构，打造一批高端化公共研发检测平台，加速一批高精尖科技型产业化项目落地投产，引育高素质领军型研发人才和团队，完善高品质城市配套功能，支持高辨识度主导产业发展，智能成套装备、汽车关键零部件千亿产业集群基本成型，形成高质量的核心指标。</w:t>
            </w:r>
          </w:p>
        </w:tc>
        <w:tc>
          <w:tcPr>
            <w:tcW w:w="1247" w:type="dxa"/>
            <w:shd w:val="clear" w:color="auto" w:fill="FFFFFF"/>
            <w:vAlign w:val="center"/>
          </w:tcPr>
          <w:p w14:paraId="79C97BB3">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市科技局</w:t>
            </w:r>
          </w:p>
        </w:tc>
        <w:tc>
          <w:tcPr>
            <w:tcW w:w="6642" w:type="dxa"/>
            <w:shd w:val="clear" w:color="auto" w:fill="FFFFFF"/>
            <w:vAlign w:val="center"/>
          </w:tcPr>
          <w:p w14:paraId="109EE214">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2021年瑞安智能成套装备高新技术产业园区列入“浙江省高新技术产业园区建设突出贡献集体”。瑞安汽车及零部件产业集群新智造试点</w:t>
            </w:r>
            <w:r>
              <w:rPr>
                <w:rFonts w:hint="eastAsia" w:ascii="Times New Roman" w:hAnsi="Times New Roman" w:cs="Times New Roman"/>
                <w:color w:val="000000"/>
                <w:kern w:val="0"/>
                <w:sz w:val="21"/>
                <w:szCs w:val="21"/>
                <w:lang w:bidi="ar"/>
              </w:rPr>
              <w:t>入选省级</w:t>
            </w:r>
            <w:r>
              <w:rPr>
                <w:rFonts w:ascii="Times New Roman" w:hAnsi="Times New Roman" w:cs="Times New Roman"/>
                <w:color w:val="000000"/>
                <w:kern w:val="0"/>
                <w:sz w:val="21"/>
                <w:szCs w:val="21"/>
                <w:lang w:bidi="ar"/>
              </w:rPr>
              <w:t>“未来工厂应用”试点。</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202</w:t>
            </w:r>
            <w:r>
              <w:rPr>
                <w:rFonts w:hint="eastAsia" w:ascii="Times New Roman" w:hAnsi="Times New Roman" w:cs="Times New Roman"/>
                <w:color w:val="000000"/>
                <w:kern w:val="0"/>
                <w:sz w:val="21"/>
                <w:szCs w:val="21"/>
                <w:lang w:bidi="ar"/>
              </w:rPr>
              <w:t>3</w:t>
            </w:r>
            <w:r>
              <w:rPr>
                <w:rFonts w:ascii="Times New Roman" w:hAnsi="Times New Roman" w:cs="Times New Roman"/>
                <w:color w:val="000000"/>
                <w:kern w:val="0"/>
                <w:sz w:val="21"/>
                <w:szCs w:val="21"/>
                <w:lang w:bidi="ar"/>
              </w:rPr>
              <w:t>年瑞安市高新区创成省级高新区。</w:t>
            </w:r>
          </w:p>
        </w:tc>
      </w:tr>
      <w:tr w14:paraId="6F8C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72D9CDCC">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16</w:t>
            </w:r>
          </w:p>
        </w:tc>
        <w:tc>
          <w:tcPr>
            <w:tcW w:w="1417" w:type="dxa"/>
            <w:shd w:val="clear" w:color="DDEBF7" w:fill="FFFFFF"/>
            <w:vAlign w:val="center"/>
          </w:tcPr>
          <w:p w14:paraId="47F0FDE1">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东新科创园</w:t>
            </w:r>
          </w:p>
        </w:tc>
        <w:tc>
          <w:tcPr>
            <w:tcW w:w="4990" w:type="dxa"/>
            <w:shd w:val="clear" w:color="DDEBF7" w:fill="FFFFFF"/>
            <w:vAlign w:val="center"/>
          </w:tcPr>
          <w:p w14:paraId="26C5590D">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加快东新科创园建设，形成“研发孵化、加速转化、教育培训、支撑配套”四大功能板块，打造瑞安科创城前端研发创新主引擎。</w:t>
            </w:r>
          </w:p>
        </w:tc>
        <w:tc>
          <w:tcPr>
            <w:tcW w:w="1247" w:type="dxa"/>
            <w:shd w:val="clear" w:color="DDEBF7" w:fill="FFFFFF"/>
            <w:vAlign w:val="center"/>
          </w:tcPr>
          <w:p w14:paraId="79D19453">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市科技局</w:t>
            </w:r>
          </w:p>
        </w:tc>
        <w:tc>
          <w:tcPr>
            <w:tcW w:w="6642" w:type="dxa"/>
            <w:shd w:val="clear" w:color="DDEBF7" w:fill="FFFFFF"/>
            <w:vAlign w:val="center"/>
          </w:tcPr>
          <w:p w14:paraId="3D335011">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以汽车零部件、智能物联产业为主导的产业占比达70%以上，引入团队及项目共计80家，常驻本科以上人才299人，合计增创税收179.39万元、总产值达7094.79万元、服务企业的四技收入3465.63万元。</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创成温州市级示范孵化基地，星矢获批省级众创空间、温州市级科技孵化器；工程师协同创新合作中心入选首批“科创中国”产学研协作类创新基地、“科创中国”试点城市（园区）系列品牌活动项目；温州大学瑞安研究生院获批浙江省研究生联合培养基地、设立浙江省博士后工作站。</w:t>
            </w:r>
          </w:p>
        </w:tc>
      </w:tr>
      <w:tr w14:paraId="0F97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5B2A8DC3">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17</w:t>
            </w:r>
          </w:p>
        </w:tc>
        <w:tc>
          <w:tcPr>
            <w:tcW w:w="1417" w:type="dxa"/>
            <w:shd w:val="clear" w:color="auto" w:fill="FFFFFF"/>
            <w:vAlign w:val="center"/>
          </w:tcPr>
          <w:p w14:paraId="0E315711">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省级产业创新服务综合体</w:t>
            </w:r>
          </w:p>
        </w:tc>
        <w:tc>
          <w:tcPr>
            <w:tcW w:w="4990" w:type="dxa"/>
            <w:shd w:val="clear" w:color="auto" w:fill="FFFFFF"/>
            <w:vAlign w:val="center"/>
          </w:tcPr>
          <w:p w14:paraId="303DF432">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针对产业转型升级面临的瓶颈问题和中小微企业的共性需求问题，开展前沿技术、共性关键技术和跨行业融合性技术研发，拓展创新创业投融资渠道，全力构筑产业链、创新链、价值链、生态链“四链融合”。</w:t>
            </w:r>
          </w:p>
        </w:tc>
        <w:tc>
          <w:tcPr>
            <w:tcW w:w="1247" w:type="dxa"/>
            <w:shd w:val="clear" w:color="auto" w:fill="FFFFFF"/>
            <w:vAlign w:val="center"/>
          </w:tcPr>
          <w:p w14:paraId="684EFCA4">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市科技局</w:t>
            </w:r>
          </w:p>
        </w:tc>
        <w:tc>
          <w:tcPr>
            <w:tcW w:w="6642" w:type="dxa"/>
            <w:shd w:val="clear" w:color="auto" w:fill="FFFFFF"/>
            <w:vAlign w:val="center"/>
          </w:tcPr>
          <w:p w14:paraId="1D4F88F0">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2020年度汽车综合体获省级综合体绩效考评优秀，2022年完成省级综合体验收工作。三年建设期</w:t>
            </w:r>
            <w:r>
              <w:rPr>
                <w:rFonts w:hint="eastAsia" w:ascii="Times New Roman" w:hAnsi="Times New Roman" w:cs="Times New Roman"/>
                <w:color w:val="000000"/>
                <w:kern w:val="0"/>
                <w:sz w:val="21"/>
                <w:szCs w:val="21"/>
                <w:lang w:bidi="ar"/>
              </w:rPr>
              <w:t>间</w:t>
            </w:r>
            <w:r>
              <w:rPr>
                <w:rFonts w:ascii="Times New Roman" w:hAnsi="Times New Roman" w:cs="Times New Roman"/>
                <w:color w:val="000000"/>
                <w:kern w:val="0"/>
                <w:sz w:val="21"/>
                <w:szCs w:val="21"/>
                <w:lang w:bidi="ar"/>
              </w:rPr>
              <w:t>，综合体每年为1200家以上企业提供各类科技创新服务；累计组织实施关键共性技术项目30项，产学研合作项目20项；服务产业集聚企业收入7000万元，服务企业研发费用加计扣除额15亿元，服务创新券使用额300万元；产业集聚新增国家高新技术企业120家，新增科技型中小企业150家。建设期满</w:t>
            </w:r>
            <w:r>
              <w:rPr>
                <w:rFonts w:hint="eastAsia" w:ascii="Times New Roman" w:hAnsi="Times New Roman" w:cs="Times New Roman"/>
                <w:color w:val="000000"/>
                <w:kern w:val="0"/>
                <w:sz w:val="21"/>
                <w:szCs w:val="21"/>
                <w:lang w:bidi="ar"/>
              </w:rPr>
              <w:t>后</w:t>
            </w:r>
            <w:r>
              <w:rPr>
                <w:rFonts w:ascii="Times New Roman" w:hAnsi="Times New Roman" w:cs="Times New Roman"/>
                <w:color w:val="000000"/>
                <w:kern w:val="0"/>
                <w:sz w:val="21"/>
                <w:szCs w:val="21"/>
                <w:lang w:bidi="ar"/>
              </w:rPr>
              <w:t>，综合体集聚创新服务机构30家，其中大院名校共建载体8家；集聚全职服务队伍人数110人，其中高层次人才15名；</w:t>
            </w:r>
            <w:r>
              <w:rPr>
                <w:rFonts w:hint="eastAsia" w:ascii="Times New Roman" w:hAnsi="Times New Roman" w:cs="Times New Roman"/>
                <w:color w:val="000000"/>
                <w:kern w:val="0"/>
                <w:sz w:val="21"/>
                <w:szCs w:val="21"/>
                <w:lang w:bidi="ar"/>
              </w:rPr>
              <w:t>搭建</w:t>
            </w:r>
            <w:r>
              <w:rPr>
                <w:rFonts w:ascii="Times New Roman" w:hAnsi="Times New Roman" w:cs="Times New Roman"/>
                <w:color w:val="000000"/>
                <w:kern w:val="0"/>
                <w:sz w:val="21"/>
                <w:szCs w:val="21"/>
                <w:lang w:bidi="ar"/>
              </w:rPr>
              <w:t>服务四库</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企业库收集企业1800家，专家库入库专家300名，问题库收集企业难题700项，成果库征集科技成果100项。</w:t>
            </w:r>
          </w:p>
        </w:tc>
      </w:tr>
      <w:tr w14:paraId="4F82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5F4347CE">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18</w:t>
            </w:r>
          </w:p>
        </w:tc>
        <w:tc>
          <w:tcPr>
            <w:tcW w:w="1417" w:type="dxa"/>
            <w:shd w:val="clear" w:color="DDEBF7" w:fill="FFFFFF"/>
            <w:vAlign w:val="center"/>
          </w:tcPr>
          <w:p w14:paraId="57C90A9A">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省级科技企业孵化器</w:t>
            </w:r>
          </w:p>
        </w:tc>
        <w:tc>
          <w:tcPr>
            <w:tcW w:w="4990" w:type="dxa"/>
            <w:shd w:val="clear" w:color="DDEBF7" w:fill="FFFFFF"/>
            <w:vAlign w:val="center"/>
          </w:tcPr>
          <w:p w14:paraId="36B39472">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发挥好工业设计研究院、智能制造研究院、科技大市场、云创空间等科创平台辐射作用，引进海内外优秀团队，为企业提供技合作合作、培训咨询、项目研究等服务。</w:t>
            </w:r>
          </w:p>
        </w:tc>
        <w:tc>
          <w:tcPr>
            <w:tcW w:w="1247" w:type="dxa"/>
            <w:shd w:val="clear" w:color="DDEBF7" w:fill="FFFFFF"/>
            <w:vAlign w:val="center"/>
          </w:tcPr>
          <w:p w14:paraId="470C4D5F">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市科技局</w:t>
            </w:r>
          </w:p>
        </w:tc>
        <w:tc>
          <w:tcPr>
            <w:tcW w:w="6642" w:type="dxa"/>
            <w:shd w:val="clear" w:color="DDEBF7" w:fill="FFFFFF"/>
            <w:vAlign w:val="center"/>
          </w:tcPr>
          <w:p w14:paraId="3B697885">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强化园区管理，创新政府部门委托国企市场化运营科技企业孵化器模式，租金收入覆盖运营支出与财政补贴，基本实现收支平衡。</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明晰考核激励，修订园区管理制度，理顺政府部门考核国企运营、运营管理单位考核入孵企业两层关系，并与绩效相挂钩。</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支持人才创业，相继引进海归创二代佳纬新材料，国家级人才天衢北本仪器，招引战新产业初创项目入孵，实现孵化器整体量质双提升。</w:t>
            </w:r>
          </w:p>
        </w:tc>
      </w:tr>
      <w:tr w14:paraId="50AD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55EB68A7">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19</w:t>
            </w:r>
          </w:p>
        </w:tc>
        <w:tc>
          <w:tcPr>
            <w:tcW w:w="1417" w:type="dxa"/>
            <w:shd w:val="clear" w:color="auto" w:fill="FFFFFF"/>
            <w:vAlign w:val="center"/>
          </w:tcPr>
          <w:p w14:paraId="6B8EA31B">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外贸转型升级基地</w:t>
            </w:r>
          </w:p>
        </w:tc>
        <w:tc>
          <w:tcPr>
            <w:tcW w:w="4990" w:type="dxa"/>
            <w:shd w:val="clear" w:color="auto" w:fill="FFFFFF"/>
            <w:vAlign w:val="center"/>
          </w:tcPr>
          <w:p w14:paraId="7637BB9B">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落实推进国家汽车及零部件外贸转型升级基地工作，建立完善外贸全流程配套服务平台，优化营商环境。促进我市汽车零部件行业出口高质量发展，持续优化外贸结构，积极推动外贸品质优化发展，形成以技术、品牌、质量、服务为核心的出口竞争新优势，增加机电类产品和高新技术产品出口占比，构建外贸竞争新优势。</w:t>
            </w:r>
          </w:p>
        </w:tc>
        <w:tc>
          <w:tcPr>
            <w:tcW w:w="1247" w:type="dxa"/>
            <w:shd w:val="clear" w:color="auto" w:fill="FFFFFF"/>
            <w:vAlign w:val="center"/>
          </w:tcPr>
          <w:p w14:paraId="48545917">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市商务局</w:t>
            </w:r>
          </w:p>
        </w:tc>
        <w:tc>
          <w:tcPr>
            <w:tcW w:w="6642" w:type="dxa"/>
            <w:shd w:val="clear" w:color="auto" w:fill="FFFFFF"/>
            <w:vAlign w:val="center"/>
          </w:tcPr>
          <w:p w14:paraId="19A80135">
            <w:pPr>
              <w:widowControl/>
              <w:spacing w:line="26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2021年至2023年6月，新增规模以上企业65家，年产值超亿的企业82余家，汽车零部件产业规模超600亿元；积极组织企业参加广交会、中国国际进口博览会等展会。</w:t>
            </w:r>
          </w:p>
        </w:tc>
      </w:tr>
      <w:tr w14:paraId="035E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47DA61CE">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20</w:t>
            </w:r>
          </w:p>
        </w:tc>
        <w:tc>
          <w:tcPr>
            <w:tcW w:w="1417" w:type="dxa"/>
            <w:shd w:val="clear" w:color="DDEBF7" w:fill="FFFFFF"/>
            <w:vAlign w:val="center"/>
          </w:tcPr>
          <w:p w14:paraId="71EE5B9F">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跨境电商平台</w:t>
            </w:r>
          </w:p>
        </w:tc>
        <w:tc>
          <w:tcPr>
            <w:tcW w:w="4990" w:type="dxa"/>
            <w:shd w:val="clear" w:color="DDEBF7" w:fill="FFFFFF"/>
            <w:vAlign w:val="center"/>
          </w:tcPr>
          <w:p w14:paraId="3451669C">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建设跨境电商园区（数字商务中心）、引进电商企业、服务商等，孵化跨境电商企业300家以上，建设瑞安跨境电商生态体系。</w:t>
            </w:r>
          </w:p>
        </w:tc>
        <w:tc>
          <w:tcPr>
            <w:tcW w:w="1247" w:type="dxa"/>
            <w:shd w:val="clear" w:color="DDEBF7" w:fill="FFFFFF"/>
            <w:vAlign w:val="center"/>
          </w:tcPr>
          <w:p w14:paraId="5052F7E7">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市商务局</w:t>
            </w:r>
          </w:p>
        </w:tc>
        <w:tc>
          <w:tcPr>
            <w:tcW w:w="6642" w:type="dxa"/>
            <w:shd w:val="clear" w:color="DDEBF7" w:fill="FFFFFF"/>
            <w:vAlign w:val="center"/>
          </w:tcPr>
          <w:p w14:paraId="5C1EFF95">
            <w:pPr>
              <w:widowControl/>
              <w:spacing w:line="26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2021年至2023年6月，数字商务中心入驻企业20家，战略合作服务机构19家，签约服务机构84家，共孵化提升跨境电商企业近150家，举办各类电商活动74场，参与人次超万，涉及企业上千家。（2023年1月停运）</w:t>
            </w:r>
          </w:p>
        </w:tc>
      </w:tr>
      <w:tr w14:paraId="5A8E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5AD026E1">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21</w:t>
            </w:r>
          </w:p>
        </w:tc>
        <w:tc>
          <w:tcPr>
            <w:tcW w:w="1417" w:type="dxa"/>
            <w:shd w:val="clear" w:color="auto" w:fill="FFFFFF"/>
            <w:vAlign w:val="center"/>
          </w:tcPr>
          <w:p w14:paraId="78EB9E36">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浙江自贸区温州联动创新区</w:t>
            </w:r>
          </w:p>
        </w:tc>
        <w:tc>
          <w:tcPr>
            <w:tcW w:w="4990" w:type="dxa"/>
            <w:shd w:val="clear" w:color="auto" w:fill="FFFFFF"/>
            <w:vAlign w:val="center"/>
          </w:tcPr>
          <w:p w14:paraId="242C5306">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以民营经济国际化发展为核心，以“两个健康先行区”建设为抓手，以制度创新为主要任务，以可复制可推广为基本要求，积极发展塘下、经开区和侨贸小镇三大片区，经过3-5年努力，将三个片区建设成为民营经济服务样板区、民营企业国际化示范区、侨商经济高质量发展高地。</w:t>
            </w:r>
          </w:p>
        </w:tc>
        <w:tc>
          <w:tcPr>
            <w:tcW w:w="1247" w:type="dxa"/>
            <w:shd w:val="clear" w:color="auto" w:fill="FFFFFF"/>
            <w:vAlign w:val="center"/>
          </w:tcPr>
          <w:p w14:paraId="06B0370A">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市商务局</w:t>
            </w:r>
          </w:p>
        </w:tc>
        <w:tc>
          <w:tcPr>
            <w:tcW w:w="6642" w:type="dxa"/>
            <w:shd w:val="clear" w:color="auto" w:fill="FFFFFF"/>
            <w:vAlign w:val="center"/>
          </w:tcPr>
          <w:p w14:paraId="42546DFE">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聚焦高水平开放，稳步打造对外贸易新增长极。</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聚焦高质量外资，积极优化产业招商链条结构，围绕汽车产业链、高端装备、新材料等产业发展，重点推进我市万千平台及丁山三期智造园区项目谋划。</w:t>
            </w:r>
          </w:p>
        </w:tc>
      </w:tr>
      <w:tr w14:paraId="759B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58503E37">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22</w:t>
            </w:r>
          </w:p>
        </w:tc>
        <w:tc>
          <w:tcPr>
            <w:tcW w:w="1417" w:type="dxa"/>
            <w:shd w:val="clear" w:color="DDEBF7" w:fill="FFFFFF"/>
            <w:vAlign w:val="center"/>
          </w:tcPr>
          <w:p w14:paraId="5E7840C3">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国家现代农业产业园（马屿、曹村）</w:t>
            </w:r>
          </w:p>
        </w:tc>
        <w:tc>
          <w:tcPr>
            <w:tcW w:w="4990" w:type="dxa"/>
            <w:shd w:val="clear" w:color="DDEBF7" w:fill="FFFFFF"/>
            <w:vAlign w:val="center"/>
          </w:tcPr>
          <w:p w14:paraId="13880072">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践行“三位一体”理念，挖掘农业功能和乡村价值，加快推进瑞安国家现代农业产业园建设，紧紧围绕农业种养殖基地、农产品加工与流通、休闲农业建设、基础设施建设、科技创新与公共服务等方面，重点实施艾米数字农业产业园、万科智慧冷链项目、天井垟国家研学旅行基地等项目，着力推进农业产业转型和三产深度融合，加快构建现代乡村产业体系。</w:t>
            </w:r>
          </w:p>
        </w:tc>
        <w:tc>
          <w:tcPr>
            <w:tcW w:w="1247" w:type="dxa"/>
            <w:shd w:val="clear" w:color="DDEBF7" w:fill="FFFFFF"/>
            <w:vAlign w:val="center"/>
          </w:tcPr>
          <w:p w14:paraId="620E2ED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市农业农村局</w:t>
            </w:r>
          </w:p>
        </w:tc>
        <w:tc>
          <w:tcPr>
            <w:tcW w:w="6642" w:type="dxa"/>
            <w:shd w:val="clear" w:color="DDEBF7" w:fill="FFFFFF"/>
            <w:vAlign w:val="center"/>
          </w:tcPr>
          <w:p w14:paraId="0C457EEE">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瑞安市国家现代农业产业园已于2022年1月通过农业农村部认定</w:t>
            </w:r>
            <w:r>
              <w:rPr>
                <w:rFonts w:ascii="Times New Roman" w:hAnsi="Times New Roman" w:cs="Times New Roman"/>
                <w:color w:val="000000"/>
                <w:kern w:val="0"/>
                <w:szCs w:val="21"/>
                <w:lang w:bidi="ar"/>
              </w:rPr>
              <w:t>。</w:t>
            </w:r>
          </w:p>
        </w:tc>
      </w:tr>
      <w:tr w14:paraId="66DC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6DB70511">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23</w:t>
            </w:r>
          </w:p>
        </w:tc>
        <w:tc>
          <w:tcPr>
            <w:tcW w:w="1417" w:type="dxa"/>
            <w:shd w:val="clear" w:color="auto" w:fill="FFFFFF"/>
            <w:vAlign w:val="center"/>
          </w:tcPr>
          <w:p w14:paraId="75A93E38">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农业特色强镇</w:t>
            </w:r>
          </w:p>
        </w:tc>
        <w:tc>
          <w:tcPr>
            <w:tcW w:w="4990" w:type="dxa"/>
            <w:shd w:val="clear" w:color="auto" w:fill="FFFFFF"/>
            <w:vAlign w:val="center"/>
          </w:tcPr>
          <w:p w14:paraId="7D11D700">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在巩固深化“两区”建设的基础上，通过集聚要素、融合产业、科技驱动、创新机制、增强辐射，着力培育现代特色农业强镇，推动农业发展方式转变。</w:t>
            </w:r>
          </w:p>
        </w:tc>
        <w:tc>
          <w:tcPr>
            <w:tcW w:w="1247" w:type="dxa"/>
            <w:shd w:val="clear" w:color="auto" w:fill="FFFFFF"/>
            <w:vAlign w:val="center"/>
          </w:tcPr>
          <w:p w14:paraId="297D009F">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市农业农村局</w:t>
            </w:r>
          </w:p>
        </w:tc>
        <w:tc>
          <w:tcPr>
            <w:tcW w:w="6642" w:type="dxa"/>
            <w:shd w:val="clear" w:color="auto" w:fill="FFFFFF"/>
            <w:vAlign w:val="center"/>
          </w:tcPr>
          <w:p w14:paraId="7222FC11">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已全额拨付中央财政奖补资金300万元。</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粮食生产基地基础设施提升、智能化育秧中心建设、稻米优质高产示范园建设三大类基础设施建设项目建设进度80%。</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天井垟优质稻米加工、李大同新营养食品深加工项目、粮食收储中心“五优大米”加工流水线、儒阳粮食公园、产业链品牌培育均已基本完成建设。</w:t>
            </w:r>
          </w:p>
        </w:tc>
      </w:tr>
      <w:tr w14:paraId="1737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DDEBF7" w:fill="FFFFFF"/>
            <w:vAlign w:val="center"/>
          </w:tcPr>
          <w:p w14:paraId="232C491B">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24</w:t>
            </w:r>
          </w:p>
        </w:tc>
        <w:tc>
          <w:tcPr>
            <w:tcW w:w="1417" w:type="dxa"/>
            <w:shd w:val="clear" w:color="DDEBF7" w:fill="FFFFFF"/>
            <w:vAlign w:val="center"/>
          </w:tcPr>
          <w:p w14:paraId="43B5BA4F">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田园综合体</w:t>
            </w:r>
          </w:p>
        </w:tc>
        <w:tc>
          <w:tcPr>
            <w:tcW w:w="4990" w:type="dxa"/>
            <w:shd w:val="clear" w:color="DDEBF7" w:fill="FFFFFF"/>
            <w:vAlign w:val="center"/>
          </w:tcPr>
          <w:p w14:paraId="12ECB99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通过旅游助力农业发展、促进三产融展，集现代农业、休闲旅游、田园社区为一体，让农民充分参与和受益的农业发展新模式。</w:t>
            </w:r>
          </w:p>
        </w:tc>
        <w:tc>
          <w:tcPr>
            <w:tcW w:w="1247" w:type="dxa"/>
            <w:shd w:val="clear" w:color="DDEBF7" w:fill="FFFFFF"/>
            <w:vAlign w:val="center"/>
          </w:tcPr>
          <w:p w14:paraId="6180B6AD">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市农业农村局</w:t>
            </w:r>
          </w:p>
        </w:tc>
        <w:tc>
          <w:tcPr>
            <w:tcW w:w="6642" w:type="dxa"/>
            <w:shd w:val="clear" w:color="DDEBF7" w:fill="FFFFFF"/>
            <w:vAlign w:val="center"/>
          </w:tcPr>
          <w:p w14:paraId="064ABC06">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完成天井垟田园综合体和林川金川有机稻米田园综合体。</w:t>
            </w:r>
          </w:p>
        </w:tc>
      </w:tr>
      <w:tr w14:paraId="70C7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FFFFFF"/>
            <w:vAlign w:val="center"/>
          </w:tcPr>
          <w:p w14:paraId="406B81D8">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25</w:t>
            </w:r>
          </w:p>
        </w:tc>
        <w:tc>
          <w:tcPr>
            <w:tcW w:w="1417" w:type="dxa"/>
            <w:shd w:val="clear" w:color="auto" w:fill="FFFFFF"/>
            <w:vAlign w:val="center"/>
          </w:tcPr>
          <w:p w14:paraId="68AB7DAC">
            <w:pPr>
              <w:widowControl/>
              <w:spacing w:line="26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乡村振兴示范带</w:t>
            </w:r>
          </w:p>
        </w:tc>
        <w:tc>
          <w:tcPr>
            <w:tcW w:w="4990" w:type="dxa"/>
            <w:shd w:val="clear" w:color="auto" w:fill="FFFFFF"/>
            <w:vAlign w:val="center"/>
          </w:tcPr>
          <w:p w14:paraId="2D99DCCA">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在农村人居环境和美丽乡村建设的基础上，按照“产业兴旺、生态宜居、乡风文明、治理有效、生活富裕”的总体要求，完善基础设施、推动乡村建设，促进三产融合。</w:t>
            </w:r>
          </w:p>
        </w:tc>
        <w:tc>
          <w:tcPr>
            <w:tcW w:w="1247" w:type="dxa"/>
            <w:shd w:val="clear" w:color="auto" w:fill="FFFFFF"/>
            <w:vAlign w:val="center"/>
          </w:tcPr>
          <w:p w14:paraId="3A7F27D8">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市农业农村局</w:t>
            </w:r>
          </w:p>
        </w:tc>
        <w:tc>
          <w:tcPr>
            <w:tcW w:w="6642" w:type="dxa"/>
            <w:shd w:val="clear" w:color="auto" w:fill="FFFFFF"/>
            <w:vAlign w:val="center"/>
          </w:tcPr>
          <w:p w14:paraId="48682916">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高标准、高质量建成曹村融合发展等12条乡村振兴示范带。</w:t>
            </w:r>
          </w:p>
        </w:tc>
      </w:tr>
    </w:tbl>
    <w:p w14:paraId="04763BE5">
      <w:pPr>
        <w:rPr>
          <w:rFonts w:ascii="Times New Roman" w:hAnsi="Times New Roman" w:cs="Times New Roman"/>
        </w:rPr>
      </w:pPr>
      <w:r>
        <w:rPr>
          <w:rFonts w:ascii="Times New Roman" w:hAnsi="Times New Roman" w:cs="Times New Roman"/>
        </w:rPr>
        <w:br w:type="page"/>
      </w:r>
    </w:p>
    <w:p w14:paraId="793CCC7E">
      <w:pPr>
        <w:outlineLvl w:val="0"/>
        <w:rPr>
          <w:rFonts w:ascii="Times New Roman" w:hAnsi="Times New Roman" w:eastAsia="黑体" w:cs="Times New Roman"/>
          <w:szCs w:val="32"/>
        </w:rPr>
      </w:pPr>
      <w:bookmarkStart w:id="77" w:name="_Toc139879657"/>
      <w:bookmarkStart w:id="78" w:name="_Toc139879544"/>
      <w:bookmarkStart w:id="79" w:name="_Toc1857"/>
      <w:bookmarkStart w:id="80" w:name="_Toc139879742"/>
      <w:bookmarkStart w:id="81" w:name="_Toc139879629"/>
      <w:r>
        <w:rPr>
          <w:rFonts w:ascii="Times New Roman" w:hAnsi="Times New Roman" w:eastAsia="黑体" w:cs="Times New Roman"/>
          <w:szCs w:val="32"/>
        </w:rPr>
        <w:t>附件3：重大产业清单完成情况</w:t>
      </w:r>
      <w:bookmarkEnd w:id="77"/>
      <w:bookmarkEnd w:id="78"/>
      <w:bookmarkEnd w:id="79"/>
      <w:bookmarkEnd w:id="80"/>
      <w:bookmarkEnd w:id="81"/>
    </w:p>
    <w:tbl>
      <w:tblPr>
        <w:tblStyle w:val="18"/>
        <w:tblW w:w="1514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01"/>
        <w:gridCol w:w="5220"/>
        <w:gridCol w:w="1159"/>
        <w:gridCol w:w="6358"/>
      </w:tblGrid>
      <w:tr w14:paraId="4497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09" w:type="dxa"/>
            <w:shd w:val="clear" w:color="5B9BD5" w:fill="FFFFFF"/>
            <w:vAlign w:val="center"/>
          </w:tcPr>
          <w:p w14:paraId="5C0BFFCC">
            <w:pPr>
              <w:widowControl/>
              <w:spacing w:line="260" w:lineRule="exact"/>
              <w:jc w:val="center"/>
              <w:textAlignment w:val="center"/>
              <w:rPr>
                <w:rFonts w:ascii="Times New Roman" w:hAnsi="Times New Roman" w:cs="Times New Roman"/>
                <w:b/>
                <w:bCs/>
                <w:color w:val="000000"/>
                <w:kern w:val="0"/>
                <w:sz w:val="21"/>
                <w:szCs w:val="21"/>
                <w:lang w:bidi="ar"/>
              </w:rPr>
            </w:pPr>
            <w:r>
              <w:rPr>
                <w:rFonts w:ascii="Times New Roman" w:hAnsi="Times New Roman" w:cs="Times New Roman"/>
                <w:b/>
                <w:bCs/>
                <w:color w:val="000000"/>
                <w:kern w:val="0"/>
                <w:sz w:val="21"/>
                <w:szCs w:val="21"/>
                <w:lang w:bidi="ar"/>
              </w:rPr>
              <w:t>序号</w:t>
            </w:r>
          </w:p>
        </w:tc>
        <w:tc>
          <w:tcPr>
            <w:tcW w:w="1701" w:type="dxa"/>
            <w:shd w:val="clear" w:color="5B9BD5" w:fill="FFFFFF"/>
            <w:vAlign w:val="center"/>
          </w:tcPr>
          <w:p w14:paraId="21FCC96B">
            <w:pPr>
              <w:widowControl/>
              <w:spacing w:line="260" w:lineRule="exact"/>
              <w:jc w:val="center"/>
              <w:textAlignment w:val="center"/>
              <w:rPr>
                <w:rFonts w:ascii="Times New Roman" w:hAnsi="Times New Roman" w:cs="Times New Roman"/>
                <w:b/>
                <w:bCs/>
                <w:color w:val="000000"/>
                <w:kern w:val="0"/>
                <w:sz w:val="21"/>
                <w:szCs w:val="21"/>
                <w:lang w:bidi="ar"/>
              </w:rPr>
            </w:pPr>
            <w:r>
              <w:rPr>
                <w:rFonts w:ascii="Times New Roman" w:hAnsi="Times New Roman" w:cs="Times New Roman"/>
                <w:b/>
                <w:bCs/>
                <w:color w:val="000000"/>
                <w:kern w:val="0"/>
                <w:sz w:val="21"/>
                <w:szCs w:val="21"/>
                <w:lang w:bidi="ar"/>
              </w:rPr>
              <w:t>推进项目名称</w:t>
            </w:r>
          </w:p>
        </w:tc>
        <w:tc>
          <w:tcPr>
            <w:tcW w:w="5220" w:type="dxa"/>
            <w:shd w:val="clear" w:color="5B9BD5" w:fill="FFFFFF"/>
            <w:vAlign w:val="center"/>
          </w:tcPr>
          <w:p w14:paraId="58B63FA3">
            <w:pPr>
              <w:widowControl/>
              <w:spacing w:line="26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工作目标任务</w:t>
            </w:r>
          </w:p>
        </w:tc>
        <w:tc>
          <w:tcPr>
            <w:tcW w:w="1159" w:type="dxa"/>
            <w:shd w:val="clear" w:color="5B9BD5" w:fill="FFFFFF"/>
            <w:vAlign w:val="center"/>
          </w:tcPr>
          <w:p w14:paraId="14B3B3B7">
            <w:pPr>
              <w:widowControl/>
              <w:spacing w:line="26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责任单位</w:t>
            </w:r>
          </w:p>
        </w:tc>
        <w:tc>
          <w:tcPr>
            <w:tcW w:w="6358" w:type="dxa"/>
            <w:shd w:val="clear" w:color="5B9BD5" w:fill="FFFFFF"/>
            <w:vAlign w:val="center"/>
          </w:tcPr>
          <w:p w14:paraId="20795E0A">
            <w:pPr>
              <w:widowControl/>
              <w:spacing w:line="28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2021.1.1-2023.6.30实施情况评估</w:t>
            </w:r>
          </w:p>
        </w:tc>
      </w:tr>
      <w:tr w14:paraId="7A2B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13890E89">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w:t>
            </w:r>
          </w:p>
        </w:tc>
        <w:tc>
          <w:tcPr>
            <w:tcW w:w="1701" w:type="dxa"/>
            <w:shd w:val="clear" w:color="DDEBF7" w:fill="FFFFFF"/>
            <w:vAlign w:val="center"/>
          </w:tcPr>
          <w:p w14:paraId="0E1403B2">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智能汽车关键零部件</w:t>
            </w:r>
          </w:p>
        </w:tc>
        <w:tc>
          <w:tcPr>
            <w:tcW w:w="5220" w:type="dxa"/>
            <w:shd w:val="clear" w:color="DDEBF7" w:fill="FFFFFF"/>
            <w:vAlign w:val="center"/>
          </w:tcPr>
          <w:p w14:paraId="2447973C">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把握全球智能汽车发展机遇，以瑞安智能汽车关键零部件“万亩千亿”大平台建设为核心支撑，以“智能+”战略为导向，聚焦汽车关键零部件、汽车电子两大重点领域，加快现有优势汽车零部件产业向智能化、模块化和集成化发展，提升本地产业综合配套能力；强化“补链强链延链”环节，培育和引进一批汽车电子领域标志性领军型企业项目，打造千亿级智能汽车零部件产业集群，成为中国汽车高端部件智造之都。到2025年，全市智能汽车关键零部件产业实现规上产值1000亿元。</w:t>
            </w:r>
          </w:p>
        </w:tc>
        <w:tc>
          <w:tcPr>
            <w:tcW w:w="1159" w:type="dxa"/>
            <w:shd w:val="clear" w:color="DDEBF7" w:fill="FFFFFF"/>
            <w:vAlign w:val="center"/>
          </w:tcPr>
          <w:p w14:paraId="4753AC04">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w:t>
            </w:r>
          </w:p>
        </w:tc>
        <w:tc>
          <w:tcPr>
            <w:tcW w:w="6358" w:type="dxa"/>
            <w:shd w:val="clear" w:color="DDEBF7" w:fill="FFFFFF"/>
            <w:vAlign w:val="center"/>
          </w:tcPr>
          <w:p w14:paraId="05172588">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①狭义上，</w:t>
            </w:r>
            <w:r>
              <w:rPr>
                <w:rFonts w:ascii="Times New Roman" w:hAnsi="Times New Roman" w:cs="Times New Roman"/>
                <w:color w:val="000000"/>
                <w:kern w:val="0"/>
                <w:sz w:val="21"/>
                <w:szCs w:val="21"/>
                <w:lang w:bidi="ar"/>
              </w:rPr>
              <w:t>2020、2021、2022、2023年1-</w:t>
            </w:r>
            <w:r>
              <w:rPr>
                <w:rFonts w:hint="eastAsia" w:ascii="Times New Roman" w:hAnsi="Times New Roman" w:cs="Times New Roman"/>
                <w:color w:val="000000"/>
                <w:kern w:val="0"/>
                <w:sz w:val="21"/>
                <w:szCs w:val="21"/>
                <w:lang w:bidi="ar"/>
              </w:rPr>
              <w:t>6</w:t>
            </w:r>
            <w:r>
              <w:rPr>
                <w:rFonts w:ascii="Times New Roman" w:hAnsi="Times New Roman" w:cs="Times New Roman"/>
                <w:color w:val="000000"/>
                <w:kern w:val="0"/>
                <w:sz w:val="21"/>
                <w:szCs w:val="21"/>
                <w:lang w:bidi="ar"/>
              </w:rPr>
              <w:t>月汽车零部件产业分别实现规上工业产值142.88亿</w:t>
            </w:r>
            <w:r>
              <w:rPr>
                <w:rFonts w:hint="eastAsia" w:ascii="Times New Roman" w:hAnsi="Times New Roman" w:cs="Times New Roman"/>
                <w:color w:val="000000"/>
                <w:kern w:val="0"/>
                <w:sz w:val="21"/>
                <w:szCs w:val="21"/>
                <w:lang w:bidi="ar"/>
              </w:rPr>
              <w:t>元</w:t>
            </w:r>
            <w:r>
              <w:rPr>
                <w:rFonts w:ascii="Times New Roman" w:hAnsi="Times New Roman" w:cs="Times New Roman"/>
                <w:color w:val="000000"/>
                <w:kern w:val="0"/>
                <w:sz w:val="21"/>
                <w:szCs w:val="21"/>
                <w:lang w:bidi="ar"/>
              </w:rPr>
              <w:t>、172.03亿</w:t>
            </w:r>
            <w:r>
              <w:rPr>
                <w:rFonts w:hint="eastAsia" w:ascii="Times New Roman" w:hAnsi="Times New Roman" w:cs="Times New Roman"/>
                <w:color w:val="000000"/>
                <w:kern w:val="0"/>
                <w:sz w:val="21"/>
                <w:szCs w:val="21"/>
                <w:lang w:bidi="ar"/>
              </w:rPr>
              <w:t>元</w:t>
            </w:r>
            <w:r>
              <w:rPr>
                <w:rFonts w:ascii="Times New Roman" w:hAnsi="Times New Roman" w:cs="Times New Roman"/>
                <w:color w:val="000000"/>
                <w:kern w:val="0"/>
                <w:sz w:val="21"/>
                <w:szCs w:val="21"/>
                <w:lang w:bidi="ar"/>
              </w:rPr>
              <w:t>、207.29亿</w:t>
            </w:r>
            <w:r>
              <w:rPr>
                <w:rFonts w:hint="eastAsia" w:ascii="Times New Roman" w:hAnsi="Times New Roman" w:cs="Times New Roman"/>
                <w:color w:val="000000"/>
                <w:kern w:val="0"/>
                <w:sz w:val="21"/>
                <w:szCs w:val="21"/>
                <w:lang w:bidi="ar"/>
              </w:rPr>
              <w:t>元</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115.18</w:t>
            </w:r>
            <w:r>
              <w:rPr>
                <w:rFonts w:ascii="Times New Roman" w:hAnsi="Times New Roman" w:cs="Times New Roman"/>
                <w:color w:val="000000"/>
                <w:kern w:val="0"/>
                <w:sz w:val="21"/>
                <w:szCs w:val="21"/>
                <w:lang w:bidi="ar"/>
              </w:rPr>
              <w:t>亿；同比增速分别为1.4%、17.4%、14.6%、</w:t>
            </w:r>
            <w:r>
              <w:rPr>
                <w:rFonts w:hint="eastAsia" w:ascii="Times New Roman" w:hAnsi="Times New Roman" w:cs="Times New Roman"/>
                <w:color w:val="000000"/>
                <w:kern w:val="0"/>
                <w:sz w:val="21"/>
                <w:szCs w:val="21"/>
                <w:lang w:bidi="ar"/>
              </w:rPr>
              <w:t>15.4</w:t>
            </w:r>
            <w:r>
              <w:rPr>
                <w:rFonts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以瑞立集团、戈尔德、胜华波等龙头企业为引领，集聚企业超6000家，其中产值超亿的企业60余家，拥有“中国汽摩配之都”称号。</w:t>
            </w:r>
          </w:p>
        </w:tc>
      </w:tr>
      <w:tr w14:paraId="4E4C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2B29DB39">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w:t>
            </w:r>
          </w:p>
        </w:tc>
        <w:tc>
          <w:tcPr>
            <w:tcW w:w="1701" w:type="dxa"/>
            <w:shd w:val="clear" w:color="auto" w:fill="FFFFFF"/>
            <w:vAlign w:val="center"/>
          </w:tcPr>
          <w:p w14:paraId="3935CEF2">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先进高分子材料</w:t>
            </w:r>
          </w:p>
        </w:tc>
        <w:tc>
          <w:tcPr>
            <w:tcW w:w="5220" w:type="dxa"/>
            <w:shd w:val="clear" w:color="auto" w:fill="FFFFFF"/>
            <w:vAlign w:val="center"/>
          </w:tcPr>
          <w:p w14:paraId="06657521">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围绕打造高分子材料强市这一目标，实施“行业龙头企业引领+突破一批产业链关键技术+构建一条标志性产业链”的路径模式，充分发挥华峰集团的龙头引领和技术创新优势，积极开发高分子及复合材料高品质差别化新产品；以打造省内外领先的高分子材料标志性产业链为导向，通过内培外引并举，积极培育前沿高分子材料、功能性膜材料新增长点，不断提升高分子材料在全国乃至全球的影响力。到2025年，全市先进高分子材料产业实现规上产值500亿元。</w:t>
            </w:r>
          </w:p>
        </w:tc>
        <w:tc>
          <w:tcPr>
            <w:tcW w:w="1159" w:type="dxa"/>
            <w:shd w:val="clear" w:color="auto" w:fill="FFFFFF"/>
            <w:vAlign w:val="center"/>
          </w:tcPr>
          <w:p w14:paraId="0FB16143">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w:t>
            </w:r>
          </w:p>
        </w:tc>
        <w:tc>
          <w:tcPr>
            <w:tcW w:w="6358" w:type="dxa"/>
            <w:shd w:val="clear" w:color="auto" w:fill="FFFFFF"/>
            <w:vAlign w:val="center"/>
          </w:tcPr>
          <w:p w14:paraId="36CB3280">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2020、2021、2022、2023年</w:t>
            </w:r>
            <w:r>
              <w:rPr>
                <w:rFonts w:hint="eastAsia" w:ascii="Times New Roman" w:hAnsi="Times New Roman" w:cs="Times New Roman"/>
                <w:color w:val="000000"/>
                <w:kern w:val="0"/>
                <w:sz w:val="21"/>
                <w:szCs w:val="21"/>
                <w:lang w:bidi="ar"/>
              </w:rPr>
              <w:t>1-6</w:t>
            </w:r>
            <w:r>
              <w:rPr>
                <w:rFonts w:ascii="Times New Roman" w:hAnsi="Times New Roman" w:cs="Times New Roman"/>
                <w:color w:val="000000"/>
                <w:kern w:val="0"/>
                <w:sz w:val="21"/>
                <w:szCs w:val="21"/>
                <w:lang w:bidi="ar"/>
              </w:rPr>
              <w:t>月高分子材料产业分别实现规上工业产值175.25亿、271.89亿、254.42亿、</w:t>
            </w:r>
            <w:r>
              <w:rPr>
                <w:rFonts w:hint="eastAsia" w:ascii="Times New Roman" w:hAnsi="Times New Roman" w:cs="Times New Roman"/>
                <w:color w:val="000000"/>
                <w:kern w:val="0"/>
                <w:sz w:val="21"/>
                <w:szCs w:val="21"/>
                <w:lang w:bidi="ar"/>
              </w:rPr>
              <w:t>122.89</w:t>
            </w:r>
            <w:r>
              <w:rPr>
                <w:rFonts w:ascii="Times New Roman" w:hAnsi="Times New Roman" w:cs="Times New Roman"/>
                <w:color w:val="000000"/>
                <w:kern w:val="0"/>
                <w:sz w:val="21"/>
                <w:szCs w:val="21"/>
                <w:lang w:bidi="ar"/>
              </w:rPr>
              <w:t>亿</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高分子材料产业主要包括聚氨酯、氨纶行业和塑料制品行业两大类。龙头企业华峰集团的聚氨酯原液、聚氨酯树脂、氨纶长丝、超纤材料和环己酮等产品全国市场占有率分别高达60％、20％、26％、55％和10％以上，在高分子材料领域具有一定的影响力，正引领带动本地中小企业在改性尼龙、改性聚丙烯、TPT等方向快速发展。</w:t>
            </w:r>
          </w:p>
        </w:tc>
      </w:tr>
      <w:tr w14:paraId="60BD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546A4E01">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3</w:t>
            </w:r>
          </w:p>
        </w:tc>
        <w:tc>
          <w:tcPr>
            <w:tcW w:w="1701" w:type="dxa"/>
            <w:shd w:val="clear" w:color="DDEBF7" w:fill="FFFFFF"/>
            <w:vAlign w:val="center"/>
          </w:tcPr>
          <w:p w14:paraId="08D219AA">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智能装备</w:t>
            </w:r>
          </w:p>
        </w:tc>
        <w:tc>
          <w:tcPr>
            <w:tcW w:w="5220" w:type="dxa"/>
            <w:shd w:val="clear" w:color="DDEBF7" w:fill="FFFFFF"/>
            <w:vAlign w:val="center"/>
          </w:tcPr>
          <w:p w14:paraId="29E502E7">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以智能控制、高精尖为主攻方向，重点瞄准智能成套装备领域，加大产业链上下游配套企业和关联项目引进力度，扩大与瑞安产业发展需求密切相关的智能化装备及数控机床领域规模优势；引导本地龙头骨干企业加大产业链关键共性技术攻关，积极突破关键基础件的产品结构设计、制造工艺及基础材料水平，构筑瑞安未来智造产业发展场景。到2025年，全市智能装备产业实现规上产值500亿元。</w:t>
            </w:r>
          </w:p>
        </w:tc>
        <w:tc>
          <w:tcPr>
            <w:tcW w:w="1159" w:type="dxa"/>
            <w:shd w:val="clear" w:color="DDEBF7" w:fill="FFFFFF"/>
            <w:vAlign w:val="center"/>
          </w:tcPr>
          <w:p w14:paraId="094AE036">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w:t>
            </w:r>
          </w:p>
        </w:tc>
        <w:tc>
          <w:tcPr>
            <w:tcW w:w="6358" w:type="dxa"/>
            <w:shd w:val="clear" w:color="DDEBF7" w:fill="FFFFFF"/>
            <w:vAlign w:val="center"/>
          </w:tcPr>
          <w:p w14:paraId="33FBA714">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2020</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、2021</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、2022</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智能装备产业实现规上工业产值分别为158.3亿元、211.4亿元、214.7亿元；2021</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、2022</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、2023年1-5月同比增速分别为13.2%、-10.5%和</w:t>
            </w:r>
            <w:r>
              <w:rPr>
                <w:rFonts w:hint="eastAsia" w:ascii="Times New Roman" w:hAnsi="Times New Roman" w:cs="Times New Roman"/>
                <w:color w:val="000000"/>
                <w:kern w:val="0"/>
                <w:sz w:val="21"/>
                <w:szCs w:val="21"/>
                <w:lang w:bidi="ar"/>
              </w:rPr>
              <w:t>15</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w:t>
            </w:r>
          </w:p>
        </w:tc>
      </w:tr>
      <w:tr w14:paraId="69AD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769C969E">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4</w:t>
            </w:r>
          </w:p>
        </w:tc>
        <w:tc>
          <w:tcPr>
            <w:tcW w:w="1701" w:type="dxa"/>
            <w:shd w:val="clear" w:color="auto" w:fill="FFFFFF"/>
            <w:vAlign w:val="center"/>
          </w:tcPr>
          <w:p w14:paraId="2523AF1A">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时尚轻工</w:t>
            </w:r>
          </w:p>
        </w:tc>
        <w:tc>
          <w:tcPr>
            <w:tcW w:w="5220" w:type="dxa"/>
            <w:shd w:val="clear" w:color="auto" w:fill="FFFFFF"/>
            <w:vAlign w:val="center"/>
          </w:tcPr>
          <w:p w14:paraId="42250D38">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围绕鞋革、服装、针纺、箱包、眼镜、工艺品等特色产业领域，以产品链、价值链升级为主线，以一镇一经验为抓手，大力推进“创意+”、“品牌+”、“数字+”在时尚轻工产业深度融合，即以“创意+制造”加快提升价值链前端创意设计能力，推进数字化时尚创新基地建设；以“品牌+制造”培育形成一批具有自主知识产权、较强影响力的知名品牌，打响瑞安区域品牌知名度；以“数字+制造”推进“鞋服云”、“箱包云”等行业云平台建设，推广智能制造、协同制造、个性化定制等模式，打造全省产业转型升级标杆区。到2025年，全市时尚轻工产业质量和效益显著提高，规上工业总产值达到300亿元，“中国胶鞋之城”、“中国箱包名城”、“中国眼镜之乡”等区域品牌知名度和影响力进一步提升。</w:t>
            </w:r>
          </w:p>
        </w:tc>
        <w:tc>
          <w:tcPr>
            <w:tcW w:w="1159" w:type="dxa"/>
            <w:shd w:val="clear" w:color="auto" w:fill="FFFFFF"/>
            <w:vAlign w:val="center"/>
          </w:tcPr>
          <w:p w14:paraId="41142B05">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w:t>
            </w:r>
          </w:p>
        </w:tc>
        <w:tc>
          <w:tcPr>
            <w:tcW w:w="6358" w:type="dxa"/>
            <w:shd w:val="clear" w:color="auto" w:fill="FFFFFF"/>
            <w:vAlign w:val="center"/>
          </w:tcPr>
          <w:p w14:paraId="0238FF41">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2020</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、2021</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2022年、</w:t>
            </w:r>
            <w:r>
              <w:rPr>
                <w:rFonts w:ascii="Times New Roman" w:hAnsi="Times New Roman" w:cs="Times New Roman"/>
                <w:color w:val="000000"/>
                <w:kern w:val="0"/>
                <w:sz w:val="21"/>
                <w:szCs w:val="21"/>
                <w:lang w:bidi="ar"/>
              </w:rPr>
              <w:t>2023年</w:t>
            </w:r>
            <w:r>
              <w:rPr>
                <w:rFonts w:hint="eastAsia" w:ascii="Times New Roman" w:hAnsi="Times New Roman" w:cs="Times New Roman"/>
                <w:color w:val="000000"/>
                <w:kern w:val="0"/>
                <w:sz w:val="21"/>
                <w:szCs w:val="21"/>
                <w:lang w:bidi="ar"/>
              </w:rPr>
              <w:t>1-6</w:t>
            </w:r>
            <w:r>
              <w:rPr>
                <w:rFonts w:ascii="Times New Roman" w:hAnsi="Times New Roman" w:cs="Times New Roman"/>
                <w:color w:val="000000"/>
                <w:kern w:val="0"/>
                <w:sz w:val="21"/>
                <w:szCs w:val="21"/>
                <w:lang w:bidi="ar"/>
              </w:rPr>
              <w:t>月</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时尚轻工产业分别实现规上工业产值163.35亿</w:t>
            </w:r>
            <w:r>
              <w:rPr>
                <w:rFonts w:hint="eastAsia" w:ascii="Times New Roman" w:hAnsi="Times New Roman" w:cs="Times New Roman"/>
                <w:color w:val="000000"/>
                <w:kern w:val="0"/>
                <w:sz w:val="21"/>
                <w:szCs w:val="21"/>
                <w:lang w:bidi="ar"/>
              </w:rPr>
              <w:t>元</w:t>
            </w:r>
            <w:r>
              <w:rPr>
                <w:rFonts w:ascii="Times New Roman" w:hAnsi="Times New Roman" w:cs="Times New Roman"/>
                <w:color w:val="000000"/>
                <w:kern w:val="0"/>
                <w:sz w:val="21"/>
                <w:szCs w:val="21"/>
                <w:lang w:bidi="ar"/>
              </w:rPr>
              <w:t>、190.8亿</w:t>
            </w:r>
            <w:r>
              <w:rPr>
                <w:rFonts w:hint="eastAsia" w:ascii="Times New Roman" w:hAnsi="Times New Roman" w:cs="Times New Roman"/>
                <w:color w:val="000000"/>
                <w:kern w:val="0"/>
                <w:sz w:val="21"/>
                <w:szCs w:val="21"/>
                <w:lang w:bidi="ar"/>
              </w:rPr>
              <w:t>元</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213.76元</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125.14</w:t>
            </w:r>
            <w:r>
              <w:rPr>
                <w:rFonts w:ascii="Times New Roman" w:hAnsi="Times New Roman" w:cs="Times New Roman"/>
                <w:color w:val="000000"/>
                <w:kern w:val="0"/>
                <w:sz w:val="21"/>
                <w:szCs w:val="21"/>
                <w:lang w:bidi="ar"/>
              </w:rPr>
              <w:t>亿</w:t>
            </w:r>
            <w:r>
              <w:rPr>
                <w:rFonts w:hint="eastAsia" w:ascii="Times New Roman" w:hAnsi="Times New Roman" w:cs="Times New Roman"/>
                <w:color w:val="000000"/>
                <w:kern w:val="0"/>
                <w:sz w:val="21"/>
                <w:szCs w:val="21"/>
                <w:lang w:bidi="ar"/>
              </w:rPr>
              <w:t>元</w:t>
            </w:r>
            <w:r>
              <w:rPr>
                <w:rFonts w:ascii="Times New Roman" w:hAnsi="Times New Roman" w:cs="Times New Roman"/>
                <w:color w:val="000000"/>
                <w:kern w:val="0"/>
                <w:sz w:val="21"/>
                <w:szCs w:val="21"/>
                <w:lang w:bidi="ar"/>
              </w:rPr>
              <w:t>；同比增速分别为-14.7%、13.9%、</w:t>
            </w:r>
            <w:r>
              <w:rPr>
                <w:rFonts w:hint="eastAsia" w:ascii="Times New Roman" w:hAnsi="Times New Roman" w:cs="Times New Roman"/>
                <w:color w:val="000000"/>
                <w:kern w:val="0"/>
                <w:sz w:val="21"/>
                <w:szCs w:val="21"/>
                <w:lang w:bidi="ar"/>
              </w:rPr>
              <w:t>7.52</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14.7</w:t>
            </w:r>
            <w:r>
              <w:rPr>
                <w:rFonts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时尚轻工产业拥有“中国鞋都·安全鞋名城”、“中国休闲鞋生产基地”、“中国(瑞安)胶鞋名城”、“中国男装名城”、“中国箱包名城”、“中国针织名城”、“中国工艺礼品生产基地”等多张轻工业金名片。</w:t>
            </w:r>
          </w:p>
        </w:tc>
      </w:tr>
      <w:tr w14:paraId="6CB7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768C2468">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5</w:t>
            </w:r>
          </w:p>
        </w:tc>
        <w:tc>
          <w:tcPr>
            <w:tcW w:w="1701" w:type="dxa"/>
            <w:shd w:val="clear" w:color="DDEBF7" w:fill="FFFFFF"/>
            <w:vAlign w:val="center"/>
          </w:tcPr>
          <w:p w14:paraId="6C4F4303">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数字经济</w:t>
            </w:r>
          </w:p>
        </w:tc>
        <w:tc>
          <w:tcPr>
            <w:tcW w:w="5220" w:type="dxa"/>
            <w:shd w:val="clear" w:color="DDEBF7" w:fill="FFFFFF"/>
            <w:vAlign w:val="center"/>
          </w:tcPr>
          <w:p w14:paraId="1E505EA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抢抓传感器产业发展和国产化替代机遇，以MEMS技术为核心的汽车传感器为突破口，以传感器制造及封测量产为重点，强化与北京、上海、深圳等地区对接合作，布局和招引一批高精尖项目落地产业化，着力向上游核心电子元器件部件以及关键材料设备、下游智能终端应用、5G硬件以及工业软件和信息服务业领域拓展，加快构筑瑞安特色优势。到2025年，全市数字经济产业实现规上工业产值100亿元。</w:t>
            </w:r>
          </w:p>
        </w:tc>
        <w:tc>
          <w:tcPr>
            <w:tcW w:w="1159" w:type="dxa"/>
            <w:shd w:val="clear" w:color="DDEBF7" w:fill="FFFFFF"/>
            <w:vAlign w:val="center"/>
          </w:tcPr>
          <w:p w14:paraId="3912B29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w:t>
            </w:r>
          </w:p>
        </w:tc>
        <w:tc>
          <w:tcPr>
            <w:tcW w:w="6358" w:type="dxa"/>
            <w:shd w:val="clear" w:color="DDEBF7" w:fill="FFFFFF"/>
            <w:vAlign w:val="center"/>
          </w:tcPr>
          <w:p w14:paraId="100A036C">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hint="eastAsia" w:ascii="Times New Roman" w:hAnsi="Times New Roman" w:cs="Times New Roman"/>
                <w:color w:val="000000"/>
                <w:kern w:val="0"/>
                <w:sz w:val="21"/>
                <w:szCs w:val="21"/>
                <w:lang w:bidi="ar"/>
              </w:rPr>
              <w:t>2020年、2021年、2022年、2023年1-5月，分别实现</w:t>
            </w:r>
            <w:r>
              <w:rPr>
                <w:rFonts w:ascii="Times New Roman" w:hAnsi="Times New Roman" w:cs="Times New Roman"/>
                <w:color w:val="000000"/>
                <w:kern w:val="0"/>
                <w:sz w:val="21"/>
                <w:szCs w:val="21"/>
                <w:lang w:bidi="ar"/>
              </w:rPr>
              <w:t>数字经济核心产业（规上）工业增加值（包括制造业和服务业）71.4亿元</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77.7亿元</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72.8亿元</w:t>
            </w:r>
            <w:r>
              <w:rPr>
                <w:rFonts w:hint="eastAsia" w:ascii="Times New Roman" w:hAnsi="Times New Roman" w:cs="Times New Roman"/>
                <w:color w:val="000000"/>
                <w:kern w:val="0"/>
                <w:sz w:val="21"/>
                <w:szCs w:val="21"/>
                <w:lang w:bidi="ar"/>
              </w:rPr>
              <w:t>、14.45</w:t>
            </w:r>
            <w:r>
              <w:rPr>
                <w:rFonts w:ascii="Times New Roman" w:hAnsi="Times New Roman" w:cs="Times New Roman"/>
                <w:color w:val="000000"/>
                <w:kern w:val="0"/>
                <w:sz w:val="21"/>
                <w:szCs w:val="21"/>
                <w:lang w:bidi="ar"/>
              </w:rPr>
              <w:t>亿元</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落地</w:t>
            </w:r>
            <w:r>
              <w:rPr>
                <w:rFonts w:hint="eastAsia" w:ascii="Times New Roman" w:hAnsi="Times New Roman" w:cs="Times New Roman"/>
                <w:color w:val="000000"/>
                <w:kern w:val="0"/>
                <w:sz w:val="21"/>
                <w:szCs w:val="21"/>
                <w:lang w:bidi="ar"/>
              </w:rPr>
              <w:t>了</w:t>
            </w:r>
            <w:r>
              <w:rPr>
                <w:rFonts w:ascii="Times New Roman" w:hAnsi="Times New Roman" w:cs="Times New Roman"/>
                <w:color w:val="000000"/>
                <w:kern w:val="0"/>
                <w:sz w:val="21"/>
                <w:szCs w:val="21"/>
                <w:lang w:bidi="ar"/>
              </w:rPr>
              <w:t>一批具有代表性的数字经济项目</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华峰储能项目已实现升规；博泰车联网和阳电梯部件、起迪3D打印等项目已开工；联通浙南5G算力中心在做开工前期处理</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构建“企业级-行业级-区域级”工业互联网阶梯矩阵，全覆盖重点产业、龙头企业智造生产</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瑞立汽车零配件工业互联网平台成功入选省级重点工业互联网平台。</w:t>
            </w:r>
            <w:r>
              <w:rPr>
                <w:rFonts w:hint="eastAsia" w:ascii="仿宋_GB2312" w:hAnsi="仿宋_GB2312" w:cs="仿宋_GB2312"/>
                <w:color w:val="000000"/>
                <w:kern w:val="0"/>
                <w:sz w:val="21"/>
                <w:szCs w:val="21"/>
                <w:lang w:bidi="ar"/>
              </w:rPr>
              <w:t>④</w:t>
            </w:r>
            <w:r>
              <w:rPr>
                <w:rFonts w:ascii="Times New Roman" w:hAnsi="Times New Roman" w:cs="Times New Roman"/>
                <w:color w:val="000000"/>
                <w:kern w:val="0"/>
                <w:sz w:val="21"/>
                <w:szCs w:val="21"/>
                <w:lang w:bidi="ar"/>
              </w:rPr>
              <w:t>截至2023年</w:t>
            </w:r>
            <w:r>
              <w:rPr>
                <w:rFonts w:hint="eastAsia" w:ascii="Times New Roman" w:hAnsi="Times New Roman" w:cs="Times New Roman"/>
                <w:color w:val="000000"/>
                <w:kern w:val="0"/>
                <w:sz w:val="21"/>
                <w:szCs w:val="21"/>
                <w:lang w:bidi="ar"/>
              </w:rPr>
              <w:t>5</w:t>
            </w:r>
            <w:r>
              <w:rPr>
                <w:rFonts w:ascii="Times New Roman" w:hAnsi="Times New Roman" w:cs="Times New Roman"/>
                <w:color w:val="000000"/>
                <w:kern w:val="0"/>
                <w:sz w:val="21"/>
                <w:szCs w:val="21"/>
                <w:lang w:bidi="ar"/>
              </w:rPr>
              <w:t>月底，</w:t>
            </w:r>
            <w:r>
              <w:rPr>
                <w:rFonts w:hint="eastAsia" w:ascii="Times New Roman" w:hAnsi="Times New Roman" w:cs="Times New Roman"/>
                <w:color w:val="000000"/>
                <w:kern w:val="0"/>
                <w:sz w:val="21"/>
                <w:szCs w:val="21"/>
                <w:lang w:bidi="ar"/>
              </w:rPr>
              <w:t>累计</w:t>
            </w:r>
            <w:r>
              <w:rPr>
                <w:rFonts w:ascii="Times New Roman" w:hAnsi="Times New Roman" w:cs="Times New Roman"/>
                <w:color w:val="000000"/>
                <w:kern w:val="0"/>
                <w:sz w:val="21"/>
                <w:szCs w:val="21"/>
                <w:lang w:bidi="ar"/>
              </w:rPr>
              <w:t>新建5G铁塔基站300个、改造5G通讯基站1700个</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开通5G基站</w:t>
            </w:r>
            <w:r>
              <w:rPr>
                <w:rFonts w:hint="eastAsia" w:ascii="Times New Roman" w:hAnsi="Times New Roman" w:cs="Times New Roman"/>
                <w:color w:val="000000"/>
                <w:kern w:val="0"/>
                <w:sz w:val="21"/>
                <w:szCs w:val="21"/>
                <w:lang w:bidi="ar"/>
              </w:rPr>
              <w:t>3185</w:t>
            </w:r>
            <w:r>
              <w:rPr>
                <w:rFonts w:ascii="Times New Roman" w:hAnsi="Times New Roman" w:cs="Times New Roman"/>
                <w:color w:val="000000"/>
                <w:kern w:val="0"/>
                <w:sz w:val="21"/>
                <w:szCs w:val="21"/>
                <w:lang w:bidi="ar"/>
              </w:rPr>
              <w:t>个</w:t>
            </w:r>
            <w:r>
              <w:rPr>
                <w:rFonts w:hint="eastAsia" w:ascii="Times New Roman" w:hAnsi="Times New Roman" w:cs="Times New Roman"/>
                <w:color w:val="000000"/>
                <w:kern w:val="0"/>
                <w:sz w:val="21"/>
                <w:szCs w:val="21"/>
                <w:lang w:bidi="ar"/>
              </w:rPr>
              <w:t>。</w:t>
            </w:r>
          </w:p>
        </w:tc>
      </w:tr>
      <w:tr w14:paraId="786A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5021677D">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6</w:t>
            </w:r>
          </w:p>
        </w:tc>
        <w:tc>
          <w:tcPr>
            <w:tcW w:w="1701" w:type="dxa"/>
            <w:shd w:val="clear" w:color="auto" w:fill="FFFFFF"/>
            <w:vAlign w:val="center"/>
          </w:tcPr>
          <w:p w14:paraId="3D531BA6">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生命健康</w:t>
            </w:r>
          </w:p>
        </w:tc>
        <w:tc>
          <w:tcPr>
            <w:tcW w:w="5220" w:type="dxa"/>
            <w:shd w:val="clear" w:color="auto" w:fill="FFFFFF"/>
            <w:vAlign w:val="center"/>
          </w:tcPr>
          <w:p w14:paraId="2E574863">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结合瑞安机械装备及轻工产品优势基础，以上游制药装备为切入点，支持希望机械、江南制药、富昌机械等行业骨干企业加强产业核心技术攻关，做大制药设备规模；以马屿眼镜小镇等为依托，深入对接中国眼谷、温医大、</w:t>
            </w:r>
            <w:bookmarkStart w:id="91" w:name="_GoBack"/>
            <w:bookmarkEnd w:id="91"/>
            <w:r>
              <w:rPr>
                <w:rFonts w:hint="eastAsia" w:ascii="Times New Roman" w:hAnsi="Times New Roman" w:cs="Times New Roman"/>
                <w:color w:val="000000"/>
                <w:kern w:val="0"/>
                <w:sz w:val="21"/>
                <w:szCs w:val="21"/>
                <w:lang w:eastAsia="zh-CN" w:bidi="ar"/>
              </w:rPr>
              <w:t>中国科学院</w:t>
            </w:r>
            <w:r>
              <w:rPr>
                <w:rFonts w:ascii="Times New Roman" w:hAnsi="Times New Roman" w:cs="Times New Roman"/>
                <w:color w:val="000000"/>
                <w:kern w:val="0"/>
                <w:sz w:val="21"/>
                <w:szCs w:val="21"/>
                <w:lang w:bidi="ar"/>
              </w:rPr>
              <w:t>等临近平台资源，加大建链招商，力争招引一批与机械加工密切相关、发展潜力较大的产业链中游医用器械、医疗耗材产业化项目落户瑞安，延伸拓展全市医疗器械产业链条，全面融入温州、浙江乃至长三角生命健康产业战略部署。到2025年，全市医疗器械产业实现规上产值100亿元。</w:t>
            </w:r>
          </w:p>
        </w:tc>
        <w:tc>
          <w:tcPr>
            <w:tcW w:w="1159" w:type="dxa"/>
            <w:shd w:val="clear" w:color="auto" w:fill="FFFFFF"/>
            <w:vAlign w:val="center"/>
          </w:tcPr>
          <w:p w14:paraId="43CFE0C7">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市经信局、市科技局</w:t>
            </w:r>
          </w:p>
        </w:tc>
        <w:tc>
          <w:tcPr>
            <w:tcW w:w="6358" w:type="dxa"/>
            <w:shd w:val="clear" w:color="auto" w:fill="FFFFFF"/>
            <w:vAlign w:val="center"/>
          </w:tcPr>
          <w:p w14:paraId="65841E46">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2020</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、2021</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、2022年生命健康规上产值分别实现为34.0亿元、49.9亿元、57.9亿元，2021、2022年同比增速分别为46.7%、16%。</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修订《瑞安市科技计划项目实施管理办法》，新增生命健康专项；开展生命健康科研项目27项，总投入研发经费2607万元。</w:t>
            </w:r>
          </w:p>
        </w:tc>
      </w:tr>
      <w:tr w14:paraId="125A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1698AF13">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7</w:t>
            </w:r>
          </w:p>
        </w:tc>
        <w:tc>
          <w:tcPr>
            <w:tcW w:w="1701" w:type="dxa"/>
            <w:shd w:val="clear" w:color="DDEBF7" w:fill="FFFFFF"/>
            <w:vAlign w:val="center"/>
          </w:tcPr>
          <w:p w14:paraId="02358A3C">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海洋经济</w:t>
            </w:r>
          </w:p>
        </w:tc>
        <w:tc>
          <w:tcPr>
            <w:tcW w:w="5220" w:type="dxa"/>
            <w:shd w:val="clear" w:color="DDEBF7" w:fill="FFFFFF"/>
            <w:vAlign w:val="center"/>
          </w:tcPr>
          <w:p w14:paraId="4950A804">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依托瑞安海涂、海港、海岛、海域优势，坚持聚焦特色、错位竞争、多方合发展原则，着力推动海洋渔业向集约化、深水化、加工及贸易服务化发展，积极培育水陆两栖游艇船研发制造产业、渔业智能化养殖装备产业、海洋生物医药及制品产业等海洋战新产业，积极发展海洋旅游、海洋商贸、海洋信息等现代服务业。加强港航、海岛、涉海道路等基础设施建设，加强海洋科技创新和海洋生态保护。打造成为服务于长三角城市群、辐射海西经济圈的安全健康食品供应地、海洋现代综合服务保障地、海洋现代化生态化数字化先行区。到2025年，培育形成百亿级海洋经济规模。</w:t>
            </w:r>
          </w:p>
        </w:tc>
        <w:tc>
          <w:tcPr>
            <w:tcW w:w="1159" w:type="dxa"/>
            <w:shd w:val="clear" w:color="DDEBF7" w:fill="FFFFFF"/>
            <w:vAlign w:val="center"/>
          </w:tcPr>
          <w:p w14:paraId="690C1B9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市农业农村局、市经信局、市发改局、市自然资源和规划局、市文旅局、市发改局（国民经济综合科）</w:t>
            </w:r>
          </w:p>
        </w:tc>
        <w:tc>
          <w:tcPr>
            <w:tcW w:w="6358" w:type="dxa"/>
            <w:shd w:val="clear" w:color="DDEBF7" w:fill="FFFFFF"/>
            <w:vAlign w:val="center"/>
          </w:tcPr>
          <w:p w14:paraId="6C66A59B">
            <w:pPr>
              <w:widowControl/>
              <w:spacing w:line="260" w:lineRule="exact"/>
              <w:textAlignment w:val="center"/>
              <w:rPr>
                <w:rFonts w:ascii="Times New Roman" w:hAnsi="Times New Roman" w:cs="Times New Roman"/>
                <w:color w:val="000000"/>
                <w:sz w:val="21"/>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渔业总产值2021</w:t>
            </w:r>
            <w:r>
              <w:rPr>
                <w:rFonts w:hint="eastAsia" w:ascii="Times New Roman" w:hAnsi="Times New Roman" w:cs="Times New Roman"/>
                <w:color w:val="000000"/>
                <w:kern w:val="0"/>
                <w:sz w:val="21"/>
                <w:szCs w:val="21"/>
                <w:lang w:bidi="ar"/>
              </w:rPr>
              <w:t>年</w:t>
            </w:r>
            <w:r>
              <w:rPr>
                <w:rFonts w:ascii="Times New Roman" w:hAnsi="Times New Roman" w:cs="Times New Roman"/>
                <w:color w:val="000000"/>
                <w:kern w:val="0"/>
                <w:sz w:val="21"/>
                <w:szCs w:val="21"/>
                <w:lang w:bidi="ar"/>
              </w:rPr>
              <w:t>、2022年，分别实现20.511亿元、23.2953亿。</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2022年浙江省瑞安北麂岛海域国家级海洋牧场示范区被列入第七批国家级海洋牧场示范区创建名单。</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推进凤凰山作业区、上望作业区重点港口码头项目建设，2022年港口货物总吞吐</w:t>
            </w:r>
            <w:r>
              <w:rPr>
                <w:rFonts w:hint="eastAsia" w:ascii="Times New Roman" w:hAnsi="Times New Roman" w:cs="Times New Roman"/>
                <w:color w:val="000000"/>
                <w:kern w:val="0"/>
                <w:sz w:val="21"/>
                <w:szCs w:val="21"/>
                <w:lang w:bidi="ar"/>
              </w:rPr>
              <w:t>为</w:t>
            </w:r>
            <w:r>
              <w:rPr>
                <w:rFonts w:ascii="Times New Roman" w:hAnsi="Times New Roman" w:cs="Times New Roman"/>
                <w:color w:val="000000"/>
                <w:kern w:val="0"/>
                <w:sz w:val="21"/>
                <w:szCs w:val="21"/>
                <w:lang w:bidi="ar"/>
              </w:rPr>
              <w:t>530.4197万吨</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④</w:t>
            </w:r>
            <w:r>
              <w:rPr>
                <w:rFonts w:ascii="Times New Roman" w:hAnsi="Times New Roman" w:cs="Times New Roman"/>
                <w:color w:val="000000"/>
                <w:kern w:val="0"/>
                <w:sz w:val="21"/>
                <w:szCs w:val="21"/>
                <w:lang w:bidi="ar"/>
              </w:rPr>
              <w:t>北麂国际渔村石头屋项目通过二期验收，“侨爱润舍”民宿项目启动建设</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洞头至北麂10千伏电网工程落地建设</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海水淡化二期工程</w:t>
            </w:r>
            <w:r>
              <w:rPr>
                <w:rFonts w:hint="eastAsia" w:ascii="Times New Roman" w:hAnsi="Times New Roman" w:cs="Times New Roman"/>
                <w:color w:val="000000"/>
                <w:kern w:val="0"/>
                <w:sz w:val="21"/>
                <w:szCs w:val="21"/>
                <w:lang w:bidi="ar"/>
              </w:rPr>
              <w:t>完工。</w:t>
            </w:r>
          </w:p>
        </w:tc>
      </w:tr>
      <w:tr w14:paraId="4CF6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39A25C04">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8</w:t>
            </w:r>
          </w:p>
        </w:tc>
        <w:tc>
          <w:tcPr>
            <w:tcW w:w="1701" w:type="dxa"/>
            <w:shd w:val="clear" w:color="auto" w:fill="FFFFFF"/>
            <w:vAlign w:val="center"/>
          </w:tcPr>
          <w:p w14:paraId="211BE3C7">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信息服务</w:t>
            </w:r>
          </w:p>
        </w:tc>
        <w:tc>
          <w:tcPr>
            <w:tcW w:w="5220" w:type="dxa"/>
            <w:shd w:val="clear" w:color="auto" w:fill="FFFFFF"/>
            <w:vAlign w:val="center"/>
          </w:tcPr>
          <w:p w14:paraId="7FC24CEC">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入实施数字经济“一号工程”，通过落实产业扶持政策，扩大信息服务产业规模，到2025年，全市信息化发展指数100以上，实现信息服务业营业收入超80亿。基本形成以大数据、工业数字化、制造业数字化、服务业数字化、融合新业态新模式为核心的数字经济发展格局。</w:t>
            </w:r>
          </w:p>
        </w:tc>
        <w:tc>
          <w:tcPr>
            <w:tcW w:w="1159" w:type="dxa"/>
            <w:shd w:val="clear" w:color="auto" w:fill="FFFFFF"/>
            <w:vAlign w:val="center"/>
          </w:tcPr>
          <w:p w14:paraId="1CD2DB8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w:t>
            </w:r>
          </w:p>
        </w:tc>
        <w:tc>
          <w:tcPr>
            <w:tcW w:w="6358" w:type="dxa"/>
            <w:shd w:val="clear" w:color="auto" w:fill="FFFFFF"/>
            <w:vAlign w:val="center"/>
          </w:tcPr>
          <w:p w14:paraId="136034F1">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2021年</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2022年</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2023年</w:t>
            </w:r>
            <w:r>
              <w:rPr>
                <w:rFonts w:hint="eastAsia" w:ascii="Times New Roman" w:hAnsi="Times New Roman" w:cs="Times New Roman"/>
                <w:color w:val="000000"/>
                <w:kern w:val="0"/>
                <w:sz w:val="21"/>
                <w:szCs w:val="21"/>
                <w:lang w:bidi="ar"/>
              </w:rPr>
              <w:t>1-4</w:t>
            </w:r>
            <w:r>
              <w:rPr>
                <w:rFonts w:ascii="Times New Roman" w:hAnsi="Times New Roman" w:cs="Times New Roman"/>
                <w:color w:val="000000"/>
                <w:kern w:val="0"/>
                <w:sz w:val="21"/>
                <w:szCs w:val="21"/>
                <w:lang w:bidi="ar"/>
              </w:rPr>
              <w:t>月</w:t>
            </w:r>
            <w:r>
              <w:rPr>
                <w:rFonts w:hint="eastAsia" w:ascii="Times New Roman" w:hAnsi="Times New Roman" w:cs="Times New Roman"/>
                <w:color w:val="000000"/>
                <w:kern w:val="0"/>
                <w:sz w:val="21"/>
                <w:szCs w:val="21"/>
                <w:lang w:bidi="ar"/>
              </w:rPr>
              <w:t>，分别</w:t>
            </w:r>
            <w:r>
              <w:rPr>
                <w:rFonts w:ascii="Times New Roman" w:hAnsi="Times New Roman" w:cs="Times New Roman"/>
                <w:color w:val="000000"/>
                <w:kern w:val="0"/>
                <w:sz w:val="21"/>
                <w:szCs w:val="21"/>
                <w:lang w:bidi="ar"/>
              </w:rPr>
              <w:t>实现信息服务业营业收入48亿元</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52亿元</w:t>
            </w:r>
            <w:r>
              <w:rPr>
                <w:rFonts w:hint="eastAsia" w:ascii="Times New Roman" w:hAnsi="Times New Roman" w:cs="Times New Roman"/>
                <w:color w:val="000000"/>
                <w:kern w:val="0"/>
                <w:sz w:val="21"/>
                <w:szCs w:val="21"/>
                <w:lang w:bidi="ar"/>
              </w:rPr>
              <w:t>、17.4</w:t>
            </w:r>
            <w:r>
              <w:rPr>
                <w:rFonts w:ascii="Times New Roman" w:hAnsi="Times New Roman" w:cs="Times New Roman"/>
                <w:color w:val="000000"/>
                <w:kern w:val="0"/>
                <w:sz w:val="21"/>
                <w:szCs w:val="21"/>
                <w:lang w:bidi="ar"/>
              </w:rPr>
              <w:t>亿元</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2021年汽车及零部件“新智造试点”入选省级产业集群新智造试点</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2022年完成省级两化深度融合国家示范区建设验收，两化融合发展总指数112.34，连续6年居全省第一梯队；信息化发展指数达到101.4。2023年入选全省中小企业数字化改造财政专项激励。</w:t>
            </w:r>
            <w:r>
              <w:rPr>
                <w:rFonts w:hint="eastAsia" w:ascii="仿宋_GB2312" w:hAnsi="仿宋_GB2312" w:cs="仿宋_GB2312"/>
                <w:color w:val="000000"/>
                <w:kern w:val="0"/>
                <w:sz w:val="21"/>
                <w:szCs w:val="21"/>
                <w:lang w:bidi="ar"/>
              </w:rPr>
              <w:t>③两年半，累计新增工业机器人1104台、智能化技改项目734个、上云企业43家，列入省未来工厂1个、省智能工厂（数字化车间）9家，其中</w:t>
            </w:r>
            <w:r>
              <w:rPr>
                <w:rFonts w:ascii="Times New Roman" w:hAnsi="Times New Roman" w:cs="Times New Roman"/>
                <w:color w:val="000000"/>
                <w:kern w:val="0"/>
                <w:sz w:val="21"/>
                <w:szCs w:val="21"/>
                <w:lang w:bidi="ar"/>
              </w:rPr>
              <w:t>规上汽车零部件企业数字化改造1.0覆盖率达到90%、2.0覆盖率近30%</w:t>
            </w:r>
            <w:r>
              <w:rPr>
                <w:rFonts w:hint="eastAsia" w:ascii="Times New Roman" w:hAnsi="Times New Roman" w:cs="Times New Roman"/>
                <w:color w:val="000000"/>
                <w:kern w:val="0"/>
                <w:sz w:val="21"/>
                <w:szCs w:val="21"/>
                <w:lang w:bidi="ar"/>
              </w:rPr>
              <w:t>。</w:t>
            </w:r>
          </w:p>
        </w:tc>
      </w:tr>
      <w:tr w14:paraId="323D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544D5138">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9</w:t>
            </w:r>
          </w:p>
        </w:tc>
        <w:tc>
          <w:tcPr>
            <w:tcW w:w="1701" w:type="dxa"/>
            <w:shd w:val="clear" w:color="DDEBF7" w:fill="FFFFFF"/>
            <w:vAlign w:val="center"/>
          </w:tcPr>
          <w:p w14:paraId="2A5082A1">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创意设计</w:t>
            </w:r>
          </w:p>
        </w:tc>
        <w:tc>
          <w:tcPr>
            <w:tcW w:w="5220" w:type="dxa"/>
            <w:shd w:val="clear" w:color="DDEBF7" w:fill="FFFFFF"/>
            <w:vAlign w:val="center"/>
          </w:tcPr>
          <w:p w14:paraId="63889314">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突出设计服务对提升产业创新能力的关键引领作用，通过建设玉海文化创意设计、侨贸小镇时尚轻工创意设计、东新工业创意设计三大产业街区，吸引国内外高端创意设计资源集聚，为我市制造业企业、时尚文化企业等提供全面的创意设计服务。力争到2025年，创意设计产业增加值50亿元，年均增长15%以上，集聚各类创意设计企业（机构）50家以上，打造多维、立体、融合、市场化发展的创意设计产业生态链。</w:t>
            </w:r>
          </w:p>
        </w:tc>
        <w:tc>
          <w:tcPr>
            <w:tcW w:w="1159" w:type="dxa"/>
            <w:shd w:val="clear" w:color="DDEBF7" w:fill="FFFFFF"/>
            <w:vAlign w:val="center"/>
          </w:tcPr>
          <w:p w14:paraId="5570F1AB">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市科技局、市文旅局</w:t>
            </w:r>
          </w:p>
        </w:tc>
        <w:tc>
          <w:tcPr>
            <w:tcW w:w="6358" w:type="dxa"/>
            <w:shd w:val="clear" w:color="DDEBF7" w:fill="FFFFFF"/>
            <w:vAlign w:val="center"/>
          </w:tcPr>
          <w:p w14:paraId="0ED9668F">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定期举办瑞安文创品、旅游商品、伴手礼设计大赛，鼓励企业、院校投入设计，积极引导非遗文创品公司成立。</w:t>
            </w:r>
          </w:p>
        </w:tc>
      </w:tr>
      <w:tr w14:paraId="096E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1F071118">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10</w:t>
            </w:r>
          </w:p>
        </w:tc>
        <w:tc>
          <w:tcPr>
            <w:tcW w:w="1701" w:type="dxa"/>
            <w:shd w:val="clear" w:color="auto" w:fill="FFFFFF"/>
            <w:vAlign w:val="center"/>
          </w:tcPr>
          <w:p w14:paraId="1DF12483">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金融服务</w:t>
            </w:r>
          </w:p>
        </w:tc>
        <w:tc>
          <w:tcPr>
            <w:tcW w:w="5220" w:type="dxa"/>
            <w:shd w:val="clear" w:color="auto" w:fill="FFFFFF"/>
            <w:vAlign w:val="center"/>
          </w:tcPr>
          <w:p w14:paraId="5803CA65">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以增强金融服务实体经济质效为出发点和落脚点，以现代金融产业聚集区为载体，以壮大金融机构、培育新兴金融、创新科技金融、强化风险防范为路径，为瑞安加快构建现代化经济体系提供多元化的金融支持。力争到2025年，金融业增加值在现有基础上实现翻一番，突破百亿元。</w:t>
            </w:r>
          </w:p>
        </w:tc>
        <w:tc>
          <w:tcPr>
            <w:tcW w:w="1159" w:type="dxa"/>
            <w:shd w:val="clear" w:color="auto" w:fill="FFFFFF"/>
            <w:vAlign w:val="center"/>
          </w:tcPr>
          <w:p w14:paraId="33B3EC68">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市金融工作服务中心</w:t>
            </w:r>
            <w:r>
              <w:rPr>
                <w:rFonts w:hint="eastAsia" w:ascii="Times New Roman" w:hAnsi="Times New Roman" w:cs="Times New Roman"/>
                <w:color w:val="000000"/>
                <w:kern w:val="0"/>
                <w:sz w:val="21"/>
                <w:szCs w:val="21"/>
                <w:lang w:bidi="ar"/>
              </w:rPr>
              <w:t>、人行瑞安市支行、银保监瑞安监管组</w:t>
            </w:r>
          </w:p>
        </w:tc>
        <w:tc>
          <w:tcPr>
            <w:tcW w:w="6358" w:type="dxa"/>
            <w:shd w:val="clear" w:color="auto" w:fill="FFFFFF"/>
            <w:vAlign w:val="center"/>
          </w:tcPr>
          <w:p w14:paraId="20941E96">
            <w:pPr>
              <w:widowControl/>
              <w:spacing w:line="260" w:lineRule="exact"/>
              <w:textAlignment w:val="center"/>
              <w:rPr>
                <w:rFonts w:ascii="Times New Roman" w:hAnsi="Times New Roman" w:cs="Times New Roman"/>
                <w:color w:val="000000"/>
                <w:kern w:val="0"/>
                <w:sz w:val="21"/>
                <w:szCs w:val="21"/>
                <w:lang w:bidi="ar"/>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2021年</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2022年</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2023年</w:t>
            </w:r>
            <w:r>
              <w:rPr>
                <w:rFonts w:hint="eastAsia" w:ascii="Times New Roman" w:hAnsi="Times New Roman" w:cs="Times New Roman"/>
                <w:color w:val="000000"/>
                <w:kern w:val="0"/>
                <w:sz w:val="21"/>
                <w:szCs w:val="21"/>
                <w:lang w:bidi="ar"/>
              </w:rPr>
              <w:t>1-6</w:t>
            </w:r>
            <w:r>
              <w:rPr>
                <w:rFonts w:ascii="Times New Roman" w:hAnsi="Times New Roman" w:cs="Times New Roman"/>
                <w:color w:val="000000"/>
                <w:kern w:val="0"/>
                <w:sz w:val="21"/>
                <w:szCs w:val="21"/>
                <w:lang w:bidi="ar"/>
              </w:rPr>
              <w:t>月</w:t>
            </w:r>
            <w:r>
              <w:rPr>
                <w:rFonts w:hint="eastAsia" w:ascii="Times New Roman" w:hAnsi="Times New Roman" w:cs="Times New Roman"/>
                <w:color w:val="000000"/>
                <w:kern w:val="0"/>
                <w:sz w:val="21"/>
                <w:szCs w:val="21"/>
                <w:lang w:bidi="ar"/>
              </w:rPr>
              <w:t>，分别</w:t>
            </w:r>
            <w:r>
              <w:rPr>
                <w:rFonts w:ascii="Times New Roman" w:hAnsi="Times New Roman" w:cs="Times New Roman"/>
                <w:color w:val="000000"/>
                <w:kern w:val="0"/>
                <w:sz w:val="21"/>
                <w:szCs w:val="21"/>
                <w:lang w:bidi="ar"/>
              </w:rPr>
              <w:t>实现金融业增加值66.79亿元</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72.81亿元</w:t>
            </w:r>
            <w:r>
              <w:rPr>
                <w:rFonts w:hint="eastAsia" w:ascii="Times New Roman" w:hAnsi="Times New Roman" w:cs="Times New Roman"/>
                <w:color w:val="000000"/>
                <w:kern w:val="0"/>
                <w:sz w:val="21"/>
                <w:szCs w:val="21"/>
                <w:lang w:bidi="ar"/>
              </w:rPr>
              <w:t>、41.32</w:t>
            </w:r>
            <w:r>
              <w:rPr>
                <w:rFonts w:ascii="Times New Roman" w:hAnsi="Times New Roman" w:cs="Times New Roman"/>
                <w:color w:val="000000"/>
                <w:kern w:val="0"/>
                <w:sz w:val="21"/>
                <w:szCs w:val="21"/>
                <w:lang w:bidi="ar"/>
              </w:rPr>
              <w:t>亿元</w:t>
            </w:r>
            <w:r>
              <w:rPr>
                <w:rFonts w:hint="eastAsia" w:ascii="Times New Roman" w:hAnsi="Times New Roman" w:cs="Times New Roman"/>
                <w:color w:val="000000"/>
                <w:kern w:val="0"/>
                <w:sz w:val="21"/>
                <w:szCs w:val="21"/>
                <w:lang w:bidi="ar"/>
              </w:rPr>
              <w:t>；同比增长分别为</w:t>
            </w:r>
            <w:r>
              <w:rPr>
                <w:rFonts w:ascii="Times New Roman" w:hAnsi="Times New Roman" w:cs="Times New Roman"/>
                <w:color w:val="000000"/>
                <w:kern w:val="0"/>
                <w:sz w:val="21"/>
                <w:szCs w:val="21"/>
                <w:lang w:bidi="ar"/>
              </w:rPr>
              <w:t>5.8%</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7.9%</w:t>
            </w:r>
            <w:r>
              <w:rPr>
                <w:rFonts w:hint="eastAsia" w:ascii="Times New Roman" w:hAnsi="Times New Roman" w:cs="Times New Roman"/>
                <w:color w:val="000000"/>
                <w:kern w:val="0"/>
                <w:sz w:val="21"/>
                <w:szCs w:val="21"/>
                <w:lang w:bidi="ar"/>
              </w:rPr>
              <w:t>、10.6</w:t>
            </w:r>
            <w:r>
              <w:rPr>
                <w:rFonts w:ascii="Times New Roman" w:hAnsi="Times New Roman" w:cs="Times New Roman"/>
                <w:color w:val="000000"/>
                <w:kern w:val="0"/>
                <w:sz w:val="21"/>
                <w:szCs w:val="21"/>
                <w:lang w:bidi="ar"/>
              </w:rPr>
              <w:t>%。</w:t>
            </w:r>
          </w:p>
          <w:p w14:paraId="6166C1CE">
            <w:pPr>
              <w:widowControl/>
              <w:spacing w:line="260" w:lineRule="exact"/>
              <w:textAlignment w:val="center"/>
              <w:rPr>
                <w:rFonts w:ascii="Times New Roman" w:hAnsi="Times New Roman" w:cs="Times New Roman"/>
                <w:color w:val="000000"/>
                <w:kern w:val="0"/>
                <w:sz w:val="21"/>
                <w:szCs w:val="21"/>
                <w:lang w:bidi="ar"/>
              </w:rPr>
            </w:pP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银行机构由28家增加为31家</w:t>
            </w:r>
            <w:r>
              <w:rPr>
                <w:rFonts w:hint="eastAsia" w:ascii="Times New Roman" w:hAnsi="Times New Roman" w:cs="Times New Roman"/>
                <w:color w:val="000000"/>
                <w:kern w:val="0"/>
                <w:sz w:val="21"/>
                <w:szCs w:val="21"/>
                <w:lang w:bidi="ar"/>
              </w:rPr>
              <w:t>（是否为两年半来增加的数据？）</w:t>
            </w:r>
            <w:r>
              <w:rPr>
                <w:rFonts w:ascii="Times New Roman" w:hAnsi="Times New Roman" w:cs="Times New Roman"/>
                <w:color w:val="000000"/>
                <w:kern w:val="0"/>
                <w:sz w:val="21"/>
                <w:szCs w:val="21"/>
                <w:lang w:bidi="ar"/>
              </w:rPr>
              <w:t>。</w:t>
            </w:r>
          </w:p>
          <w:p w14:paraId="475909C3">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推动“绿色金融”发展，“绿色金融”改革项目纳入温州改革试点，发放全省首笔“气候贷”。</w:t>
            </w:r>
            <w:r>
              <w:rPr>
                <w:rFonts w:hint="eastAsia" w:ascii="仿宋_GB2312" w:hAnsi="仿宋_GB2312" w:cs="仿宋_GB2312"/>
                <w:color w:val="000000"/>
                <w:kern w:val="0"/>
                <w:sz w:val="21"/>
                <w:szCs w:val="21"/>
                <w:lang w:bidi="ar"/>
              </w:rPr>
              <w:t>④</w:t>
            </w:r>
            <w:r>
              <w:rPr>
                <w:rFonts w:ascii="Times New Roman" w:hAnsi="Times New Roman" w:cs="Times New Roman"/>
                <w:color w:val="000000"/>
                <w:kern w:val="0"/>
                <w:sz w:val="21"/>
                <w:szCs w:val="21"/>
                <w:lang w:bidi="ar"/>
              </w:rPr>
              <w:t>发挥好科技金融联盟平台优势，积极拓宽科技型企业融资渠道</w:t>
            </w:r>
            <w:r>
              <w:rPr>
                <w:rFonts w:hint="eastAsia" w:ascii="Times New Roman" w:hAnsi="Times New Roman" w:cs="Times New Roman"/>
                <w:color w:val="000000"/>
                <w:kern w:val="0"/>
                <w:sz w:val="21"/>
                <w:szCs w:val="21"/>
                <w:lang w:bidi="ar"/>
              </w:rPr>
              <w:t>。</w:t>
            </w:r>
          </w:p>
        </w:tc>
      </w:tr>
      <w:tr w14:paraId="3419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0855A993">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11</w:t>
            </w:r>
          </w:p>
        </w:tc>
        <w:tc>
          <w:tcPr>
            <w:tcW w:w="1701" w:type="dxa"/>
            <w:shd w:val="clear" w:color="DDEBF7" w:fill="FFFFFF"/>
            <w:vAlign w:val="center"/>
          </w:tcPr>
          <w:p w14:paraId="11D32719">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人力资源</w:t>
            </w:r>
          </w:p>
        </w:tc>
        <w:tc>
          <w:tcPr>
            <w:tcW w:w="5220" w:type="dxa"/>
            <w:shd w:val="clear" w:color="DDEBF7" w:fill="FFFFFF"/>
            <w:vAlign w:val="center"/>
          </w:tcPr>
          <w:p w14:paraId="072B1E60">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打造覆盖城乡的人力资源市场，健全公共就业服务体系，加大浙江温州人力资源服务产业园、中意人力资源服务产业园的扶持力度，打造全生命周期人力资源服务综合体。到2025年，引进国内外知名人力资源服务机构5家（含）以上，培育、引进人力资源服务机构总数达到50家（含）以上，年产值达10亿元（含）以上。</w:t>
            </w:r>
          </w:p>
        </w:tc>
        <w:tc>
          <w:tcPr>
            <w:tcW w:w="1159" w:type="dxa"/>
            <w:shd w:val="clear" w:color="DDEBF7" w:fill="FFFFFF"/>
            <w:vAlign w:val="center"/>
          </w:tcPr>
          <w:p w14:paraId="770E6B45">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市人社局</w:t>
            </w:r>
          </w:p>
        </w:tc>
        <w:tc>
          <w:tcPr>
            <w:tcW w:w="6358" w:type="dxa"/>
            <w:shd w:val="clear" w:color="DDEBF7" w:fill="FFFFFF"/>
            <w:vAlign w:val="center"/>
          </w:tcPr>
          <w:p w14:paraId="7472AD6B">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①2020、2021年、2022年、2023年</w:t>
            </w:r>
            <w:r>
              <w:rPr>
                <w:rFonts w:hint="eastAsia" w:ascii="Times New Roman" w:hAnsi="Times New Roman" w:cs="Times New Roman"/>
                <w:color w:val="000000"/>
                <w:kern w:val="0"/>
                <w:sz w:val="21"/>
                <w:szCs w:val="21"/>
                <w:lang w:bidi="ar"/>
              </w:rPr>
              <w:t>（预计）产业园</w:t>
            </w:r>
            <w:r>
              <w:rPr>
                <w:rFonts w:ascii="Times New Roman" w:hAnsi="Times New Roman" w:cs="Times New Roman"/>
                <w:color w:val="000000"/>
                <w:kern w:val="0"/>
                <w:sz w:val="21"/>
                <w:szCs w:val="21"/>
                <w:lang w:bidi="ar"/>
              </w:rPr>
              <w:t>产值</w:t>
            </w:r>
            <w:r>
              <w:rPr>
                <w:rFonts w:hint="eastAsia" w:ascii="Times New Roman" w:hAnsi="Times New Roman" w:cs="Times New Roman"/>
                <w:color w:val="000000"/>
                <w:kern w:val="0"/>
                <w:sz w:val="21"/>
                <w:szCs w:val="21"/>
                <w:lang w:bidi="ar"/>
              </w:rPr>
              <w:t>分别为8</w:t>
            </w:r>
            <w:r>
              <w:rPr>
                <w:rFonts w:ascii="Times New Roman" w:hAnsi="Times New Roman" w:cs="Times New Roman"/>
                <w:color w:val="000000"/>
                <w:kern w:val="0"/>
                <w:sz w:val="21"/>
                <w:szCs w:val="21"/>
                <w:lang w:bidi="ar"/>
              </w:rPr>
              <w:t>亿</w:t>
            </w:r>
            <w:r>
              <w:rPr>
                <w:rFonts w:hint="eastAsia" w:ascii="Times New Roman" w:hAnsi="Times New Roman" w:cs="Times New Roman"/>
                <w:color w:val="000000"/>
                <w:kern w:val="0"/>
                <w:sz w:val="21"/>
                <w:szCs w:val="21"/>
                <w:lang w:bidi="ar"/>
              </w:rPr>
              <w:t>元</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15</w:t>
            </w:r>
            <w:r>
              <w:rPr>
                <w:rFonts w:ascii="Times New Roman" w:hAnsi="Times New Roman" w:cs="Times New Roman"/>
                <w:color w:val="000000"/>
                <w:kern w:val="0"/>
                <w:sz w:val="21"/>
                <w:szCs w:val="21"/>
                <w:lang w:bidi="ar"/>
              </w:rPr>
              <w:t>亿</w:t>
            </w:r>
            <w:r>
              <w:rPr>
                <w:rFonts w:hint="eastAsia" w:ascii="Times New Roman" w:hAnsi="Times New Roman" w:cs="Times New Roman"/>
                <w:color w:val="000000"/>
                <w:kern w:val="0"/>
                <w:sz w:val="21"/>
                <w:szCs w:val="21"/>
                <w:lang w:bidi="ar"/>
              </w:rPr>
              <w:t>元</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18</w:t>
            </w:r>
            <w:r>
              <w:rPr>
                <w:rFonts w:ascii="Times New Roman" w:hAnsi="Times New Roman" w:cs="Times New Roman"/>
                <w:color w:val="000000"/>
                <w:kern w:val="0"/>
                <w:sz w:val="21"/>
                <w:szCs w:val="21"/>
                <w:lang w:bidi="ar"/>
              </w:rPr>
              <w:t>亿</w:t>
            </w:r>
            <w:r>
              <w:rPr>
                <w:rFonts w:hint="eastAsia" w:ascii="Times New Roman" w:hAnsi="Times New Roman" w:cs="Times New Roman"/>
                <w:color w:val="000000"/>
                <w:kern w:val="0"/>
                <w:sz w:val="21"/>
                <w:szCs w:val="21"/>
                <w:lang w:bidi="ar"/>
              </w:rPr>
              <w:t>元、20亿元；</w:t>
            </w:r>
            <w:r>
              <w:rPr>
                <w:rFonts w:ascii="Times New Roman" w:hAnsi="Times New Roman" w:cs="Times New Roman"/>
                <w:color w:val="000000"/>
                <w:kern w:val="0"/>
                <w:sz w:val="21"/>
                <w:szCs w:val="21"/>
                <w:lang w:bidi="ar"/>
              </w:rPr>
              <w:t>2021、2022和2023年同比增速</w:t>
            </w:r>
            <w:r>
              <w:rPr>
                <w:rFonts w:hint="eastAsia" w:ascii="Times New Roman" w:hAnsi="Times New Roman" w:cs="Times New Roman"/>
                <w:color w:val="000000"/>
                <w:kern w:val="0"/>
                <w:sz w:val="21"/>
                <w:szCs w:val="21"/>
                <w:lang w:bidi="ar"/>
              </w:rPr>
              <w:t>分别为87.5</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20</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11</w:t>
            </w:r>
            <w:r>
              <w:rPr>
                <w:rFonts w:ascii="Times New Roman" w:hAnsi="Times New Roman" w:cs="Times New Roman"/>
                <w:color w:val="000000"/>
                <w:kern w:val="0"/>
                <w:sz w:val="21"/>
                <w:szCs w:val="21"/>
                <w:lang w:bidi="ar"/>
              </w:rPr>
              <w:t>%（预计）</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中意人力资源服务产业园成立中意人才交流合作中心、中国(瑞安)意大利入境前服务中心</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2022年出台《关于印发加快浙江温州人力资源服务产业园建设实施办法的通知》</w:t>
            </w:r>
            <w:r>
              <w:rPr>
                <w:rFonts w:hint="eastAsia"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eastAsia="zh-CN" w:bidi="ar"/>
              </w:rPr>
              <w:t>截至2023年6月，</w:t>
            </w:r>
            <w:r>
              <w:rPr>
                <w:rFonts w:ascii="Times New Roman" w:hAnsi="Times New Roman" w:cs="Times New Roman"/>
                <w:color w:val="000000"/>
                <w:kern w:val="0"/>
                <w:sz w:val="21"/>
                <w:szCs w:val="21"/>
                <w:lang w:bidi="ar"/>
              </w:rPr>
              <w:t>浙江温州人力资源服务产业园</w:t>
            </w:r>
            <w:r>
              <w:rPr>
                <w:rFonts w:hint="eastAsia" w:ascii="Times New Roman" w:hAnsi="Times New Roman" w:cs="Times New Roman"/>
                <w:color w:val="000000"/>
                <w:kern w:val="0"/>
                <w:sz w:val="21"/>
                <w:szCs w:val="21"/>
                <w:lang w:bidi="ar"/>
              </w:rPr>
              <w:t>累计引入知名机构4家；</w:t>
            </w:r>
            <w:r>
              <w:rPr>
                <w:rFonts w:ascii="Times New Roman" w:hAnsi="Times New Roman" w:cs="Times New Roman"/>
                <w:color w:val="000000"/>
                <w:kern w:val="0"/>
                <w:sz w:val="21"/>
                <w:szCs w:val="21"/>
                <w:lang w:bidi="ar"/>
              </w:rPr>
              <w:t>2022年园区总产值18亿元，税收8000万元</w:t>
            </w:r>
            <w:r>
              <w:rPr>
                <w:rFonts w:hint="eastAsia" w:ascii="Times New Roman" w:hAnsi="Times New Roman" w:cs="Times New Roman"/>
                <w:color w:val="000000"/>
                <w:kern w:val="0"/>
                <w:sz w:val="21"/>
                <w:szCs w:val="21"/>
                <w:lang w:bidi="ar"/>
              </w:rPr>
              <w:t>。</w:t>
            </w:r>
          </w:p>
        </w:tc>
      </w:tr>
      <w:tr w14:paraId="742B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71DABF82">
            <w:pPr>
              <w:widowControl/>
              <w:spacing w:line="26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12</w:t>
            </w:r>
          </w:p>
        </w:tc>
        <w:tc>
          <w:tcPr>
            <w:tcW w:w="1701" w:type="dxa"/>
            <w:shd w:val="clear" w:color="auto" w:fill="FFFFFF"/>
            <w:vAlign w:val="center"/>
          </w:tcPr>
          <w:p w14:paraId="3B2FECCF">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现代物流</w:t>
            </w:r>
          </w:p>
        </w:tc>
        <w:tc>
          <w:tcPr>
            <w:tcW w:w="5220" w:type="dxa"/>
            <w:shd w:val="clear" w:color="auto" w:fill="FFFFFF"/>
            <w:vAlign w:val="center"/>
          </w:tcPr>
          <w:p w14:paraId="2D15E257">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努力构建一批整合能力强、协同效率高的供应链平台，培育一批行业带动能力强的供应链领先企业，形成一批供应链体系完整、国际竞争力强的产业集群，力争到2025年，现代供应链行业增加值超过50亿元，年均增长15%以上，培育4A级以上物流企业2-3家，基本建立布局合理、技术先进、便捷高效、绿色环保、安全有序的现代物流服务体系。</w:t>
            </w:r>
          </w:p>
        </w:tc>
        <w:tc>
          <w:tcPr>
            <w:tcW w:w="1159" w:type="dxa"/>
            <w:shd w:val="clear" w:color="auto" w:fill="FFFFFF"/>
            <w:vAlign w:val="center"/>
          </w:tcPr>
          <w:p w14:paraId="21B4142C">
            <w:pPr>
              <w:widowControl/>
              <w:spacing w:line="26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市发改局（服务业专班）</w:t>
            </w:r>
          </w:p>
        </w:tc>
        <w:tc>
          <w:tcPr>
            <w:tcW w:w="6358" w:type="dxa"/>
            <w:shd w:val="clear" w:color="auto" w:fill="FFFFFF"/>
            <w:vAlign w:val="center"/>
          </w:tcPr>
          <w:p w14:paraId="6E359A6E">
            <w:pPr>
              <w:widowControl/>
              <w:spacing w:line="260" w:lineRule="exact"/>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①现有物流企业500多家，物流规上企业21家，3A级以上企业10家，完成瑞安“十四五”物流A级企业培育目标，成功招引京东、普洛斯等世界500强物流企业</w:t>
            </w:r>
            <w:r>
              <w:rPr>
                <w:rFonts w:hint="eastAsia" w:ascii="Times New Roman" w:hAnsi="Times New Roman" w:cs="Times New Roman"/>
                <w:color w:val="000000"/>
                <w:kern w:val="0"/>
                <w:sz w:val="21"/>
                <w:szCs w:val="21"/>
                <w:lang w:bidi="ar"/>
              </w:rPr>
              <w:t>。</w:t>
            </w:r>
          </w:p>
          <w:p w14:paraId="593179B9">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出台物流国家3A级以上企业、物流企业小升规、物流企业智能化升级等惠企政策</w:t>
            </w:r>
            <w:r>
              <w:rPr>
                <w:rFonts w:hint="eastAsia" w:ascii="Times New Roman" w:hAnsi="Times New Roman" w:cs="Times New Roman"/>
                <w:color w:val="000000"/>
                <w:kern w:val="0"/>
                <w:sz w:val="21"/>
                <w:szCs w:val="21"/>
                <w:lang w:bidi="ar"/>
              </w:rPr>
              <w:t>。</w:t>
            </w:r>
          </w:p>
        </w:tc>
      </w:tr>
    </w:tbl>
    <w:p w14:paraId="324379F2">
      <w:pPr>
        <w:ind w:firstLine="640"/>
        <w:outlineLvl w:val="0"/>
        <w:rPr>
          <w:rFonts w:ascii="Times New Roman" w:hAnsi="Times New Roman" w:eastAsia="黑体" w:cs="Times New Roman"/>
          <w:szCs w:val="32"/>
        </w:rPr>
      </w:pPr>
      <w:r>
        <w:rPr>
          <w:rFonts w:ascii="Times New Roman" w:hAnsi="Times New Roman" w:cs="Times New Roman"/>
          <w:color w:val="000000"/>
          <w:kern w:val="0"/>
          <w:sz w:val="21"/>
          <w:szCs w:val="21"/>
          <w:lang w:bidi="ar"/>
        </w:rPr>
        <w:br w:type="page"/>
      </w:r>
      <w:bookmarkStart w:id="82" w:name="_Toc139879743"/>
      <w:bookmarkStart w:id="83" w:name="_Toc139879630"/>
      <w:bookmarkStart w:id="84" w:name="_Toc139879545"/>
      <w:bookmarkStart w:id="85" w:name="_Toc19195"/>
      <w:bookmarkStart w:id="86" w:name="_Toc139879658"/>
      <w:r>
        <w:rPr>
          <w:rFonts w:ascii="Times New Roman" w:hAnsi="Times New Roman" w:eastAsia="黑体" w:cs="Times New Roman"/>
          <w:szCs w:val="32"/>
        </w:rPr>
        <w:t>附件4：重大改革清单完成情况</w:t>
      </w:r>
      <w:bookmarkEnd w:id="82"/>
      <w:bookmarkEnd w:id="83"/>
      <w:bookmarkEnd w:id="84"/>
      <w:bookmarkEnd w:id="85"/>
      <w:bookmarkEnd w:id="86"/>
    </w:p>
    <w:tbl>
      <w:tblPr>
        <w:tblStyle w:val="18"/>
        <w:tblW w:w="14882"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07"/>
        <w:gridCol w:w="3118"/>
        <w:gridCol w:w="1985"/>
        <w:gridCol w:w="7463"/>
      </w:tblGrid>
      <w:tr w14:paraId="10A2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09" w:type="dxa"/>
            <w:shd w:val="clear" w:color="DDEBF7" w:fill="FFFFFF"/>
            <w:vAlign w:val="center"/>
          </w:tcPr>
          <w:p w14:paraId="75FB4850">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序号</w:t>
            </w:r>
          </w:p>
        </w:tc>
        <w:tc>
          <w:tcPr>
            <w:tcW w:w="1607" w:type="dxa"/>
            <w:shd w:val="clear" w:color="DDEBF7" w:fill="FFFFFF"/>
            <w:vAlign w:val="center"/>
          </w:tcPr>
          <w:p w14:paraId="136D075A">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项目名称</w:t>
            </w:r>
          </w:p>
        </w:tc>
        <w:tc>
          <w:tcPr>
            <w:tcW w:w="3118" w:type="dxa"/>
            <w:shd w:val="clear" w:color="DDEBF7" w:fill="FFFFFF"/>
            <w:vAlign w:val="center"/>
          </w:tcPr>
          <w:p w14:paraId="7FD06F56">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工作目标任务</w:t>
            </w:r>
          </w:p>
        </w:tc>
        <w:tc>
          <w:tcPr>
            <w:tcW w:w="1985" w:type="dxa"/>
            <w:shd w:val="clear" w:color="DDEBF7" w:fill="FFFFFF"/>
            <w:vAlign w:val="center"/>
          </w:tcPr>
          <w:p w14:paraId="5B65DA5E">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责任单位</w:t>
            </w:r>
          </w:p>
        </w:tc>
        <w:tc>
          <w:tcPr>
            <w:tcW w:w="7463" w:type="dxa"/>
            <w:shd w:val="clear" w:color="DDEBF7" w:fill="FFFFFF"/>
            <w:vAlign w:val="center"/>
          </w:tcPr>
          <w:p w14:paraId="48EFB938">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2021.1.1-2023.6.30实施情况评估</w:t>
            </w:r>
          </w:p>
        </w:tc>
      </w:tr>
      <w:tr w14:paraId="28AA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1874CEC8">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w:t>
            </w:r>
          </w:p>
        </w:tc>
        <w:tc>
          <w:tcPr>
            <w:tcW w:w="1607" w:type="dxa"/>
            <w:shd w:val="clear" w:color="DDEBF7" w:fill="FFFFFF"/>
            <w:vAlign w:val="center"/>
          </w:tcPr>
          <w:p w14:paraId="13894DCF">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全面推进数字化改革</w:t>
            </w:r>
          </w:p>
        </w:tc>
        <w:tc>
          <w:tcPr>
            <w:tcW w:w="3118" w:type="dxa"/>
            <w:shd w:val="clear" w:color="DDEBF7" w:fill="FFFFFF"/>
            <w:vAlign w:val="center"/>
          </w:tcPr>
          <w:p w14:paraId="0DD0D95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构建“1+5+2”工作体系，初步建成“整体智治”现代政府。</w:t>
            </w:r>
          </w:p>
        </w:tc>
        <w:tc>
          <w:tcPr>
            <w:tcW w:w="1985" w:type="dxa"/>
            <w:shd w:val="clear" w:color="DDEBF7" w:fill="FFFFFF"/>
            <w:vAlign w:val="center"/>
          </w:tcPr>
          <w:p w14:paraId="70E0743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市大数据管理中心、市政务服务中心、市委改革办、市发改局（体制改革科、共富专班）</w:t>
            </w:r>
          </w:p>
        </w:tc>
        <w:tc>
          <w:tcPr>
            <w:tcW w:w="7463" w:type="dxa"/>
            <w:shd w:val="clear" w:color="DDEBF7" w:fill="FFFFFF"/>
            <w:vAlign w:val="center"/>
          </w:tcPr>
          <w:p w14:paraId="1D3254C7">
            <w:pPr>
              <w:widowControl/>
              <w:spacing w:line="260" w:lineRule="exact"/>
              <w:textAlignment w:val="center"/>
              <w:rPr>
                <w:rFonts w:ascii="Times New Roman" w:hAnsi="Times New Roman" w:cs="Times New Roman"/>
                <w:color w:val="000000"/>
                <w:kern w:val="0"/>
                <w:sz w:val="21"/>
                <w:szCs w:val="21"/>
                <w:lang w:bidi="ar"/>
              </w:rPr>
            </w:pPr>
          </w:p>
          <w:p w14:paraId="20094C58">
            <w:pPr>
              <w:widowControl/>
              <w:spacing w:line="26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迭代“1+5+2”工作体系为“1+6+2”工作体系，</w:t>
            </w:r>
            <w:r>
              <w:rPr>
                <w:rFonts w:hint="eastAsia" w:ascii="Times New Roman" w:hAnsi="Times New Roman" w:cs="Times New Roman"/>
                <w:color w:val="000000"/>
                <w:kern w:val="0"/>
                <w:sz w:val="21"/>
                <w:szCs w:val="21"/>
                <w:lang w:bidi="ar"/>
              </w:rPr>
              <w:t>已初步建成</w:t>
            </w:r>
            <w:r>
              <w:rPr>
                <w:rFonts w:ascii="Times New Roman" w:hAnsi="Times New Roman" w:cs="Times New Roman"/>
                <w:color w:val="000000"/>
                <w:kern w:val="0"/>
                <w:sz w:val="21"/>
                <w:szCs w:val="21"/>
                <w:lang w:bidi="ar"/>
              </w:rPr>
              <w:t>一体化智能化公共数据平台，6大系统实现功能全上线。</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助力2个数据开放利用事例纳入全省优秀案例库、9个案例纳入温州案例集；</w:t>
            </w:r>
            <w:r>
              <w:rPr>
                <w:rFonts w:hint="eastAsia" w:ascii="Times New Roman" w:hAnsi="Times New Roman" w:cs="Times New Roman"/>
                <w:color w:val="000000"/>
                <w:kern w:val="0"/>
                <w:sz w:val="21"/>
                <w:szCs w:val="21"/>
                <w:lang w:bidi="ar"/>
              </w:rPr>
              <w:t>两客一重一危”安全驾驶智能模块等2个项目列入全省“一地创新、全省共享”“一本账”S0</w:t>
            </w:r>
            <w:r>
              <w:rPr>
                <w:rFonts w:ascii="Times New Roman" w:hAnsi="Times New Roman" w:cs="Times New Roman"/>
                <w:color w:val="000000"/>
                <w:kern w:val="0"/>
                <w:sz w:val="21"/>
                <w:szCs w:val="21"/>
                <w:lang w:bidi="ar"/>
              </w:rPr>
              <w:t>；“云上指挥”智能模块在温州和县市区共享使用；</w:t>
            </w:r>
            <w:r>
              <w:rPr>
                <w:rFonts w:hint="eastAsia" w:ascii="Times New Roman" w:hAnsi="Times New Roman" w:cs="Times New Roman"/>
                <w:color w:val="000000"/>
                <w:kern w:val="0"/>
                <w:sz w:val="21"/>
                <w:szCs w:val="21"/>
                <w:lang w:eastAsia="zh-Hans" w:bidi="ar"/>
              </w:rPr>
              <w:t>建成</w:t>
            </w:r>
            <w:r>
              <w:rPr>
                <w:rFonts w:ascii="Times New Roman" w:hAnsi="Times New Roman" w:cs="Times New Roman"/>
                <w:color w:val="000000"/>
                <w:kern w:val="0"/>
                <w:sz w:val="21"/>
                <w:szCs w:val="21"/>
                <w:lang w:bidi="ar"/>
              </w:rPr>
              <w:t>推广机器视觉中心，建设物联感知中心、空间中心试点项目（温州“一网统管”首个验收落地试点项目）；实现“浙里办”全渠道覆盖。</w:t>
            </w:r>
            <w:r>
              <w:rPr>
                <w:rFonts w:hint="eastAsia" w:ascii="仿宋_GB2312" w:hAnsi="仿宋_GB2312" w:cs="仿宋_GB2312"/>
                <w:color w:val="000000"/>
                <w:kern w:val="0"/>
                <w:sz w:val="21"/>
                <w:szCs w:val="21"/>
                <w:lang w:bidi="ar"/>
              </w:rPr>
              <w:t>③</w:t>
            </w:r>
            <w:r>
              <w:rPr>
                <w:rFonts w:hint="eastAsia" w:ascii="仿宋_GB2312" w:hAnsi="仿宋_GB2312" w:cs="仿宋_GB2312"/>
                <w:color w:val="000000"/>
                <w:kern w:val="0"/>
                <w:sz w:val="21"/>
                <w:szCs w:val="21"/>
                <w:lang w:eastAsia="zh-Hans" w:bidi="ar"/>
              </w:rPr>
              <w:t>两年半来</w:t>
            </w:r>
            <w:r>
              <w:rPr>
                <w:rFonts w:ascii="仿宋_GB2312" w:hAnsi="仿宋_GB2312" w:cs="仿宋_GB2312"/>
                <w:color w:val="000000"/>
                <w:kern w:val="0"/>
                <w:sz w:val="21"/>
                <w:szCs w:val="21"/>
                <w:lang w:eastAsia="zh-Hans" w:bidi="ar"/>
              </w:rPr>
              <w:t>，</w:t>
            </w:r>
            <w:r>
              <w:rPr>
                <w:rFonts w:ascii="Times New Roman" w:hAnsi="Times New Roman" w:cs="Times New Roman"/>
                <w:color w:val="000000"/>
                <w:kern w:val="0"/>
                <w:sz w:val="21"/>
                <w:szCs w:val="21"/>
                <w:lang w:bidi="ar"/>
              </w:rPr>
              <w:t>协助全市各部门上架便民服务应用26个，数量居温州第一；推进政务服务“一网通办”，全市“一网通办”率达98%，线下窗口收件率达93.36%；“浙政钉”用户激活率100%，日均活跃率90%以上；成功入选中国《小康》杂志“2022年度县市智慧城市百佳样本”榜单，位列全国第25，居温州第1。</w:t>
            </w:r>
          </w:p>
        </w:tc>
      </w:tr>
      <w:tr w14:paraId="1A12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4EF23353">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w:t>
            </w:r>
          </w:p>
        </w:tc>
        <w:tc>
          <w:tcPr>
            <w:tcW w:w="1607" w:type="dxa"/>
            <w:shd w:val="clear" w:color="auto" w:fill="FFFFFF"/>
            <w:vAlign w:val="center"/>
          </w:tcPr>
          <w:p w14:paraId="4C7150D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深化“最多跑一次”改革</w:t>
            </w:r>
          </w:p>
        </w:tc>
        <w:tc>
          <w:tcPr>
            <w:tcW w:w="3118" w:type="dxa"/>
            <w:shd w:val="clear" w:color="auto" w:fill="FFFFFF"/>
            <w:vAlign w:val="center"/>
          </w:tcPr>
          <w:p w14:paraId="1F259C0B">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确保一般企业投资项目审批“最多70天”实现率达到100%。</w:t>
            </w:r>
          </w:p>
        </w:tc>
        <w:tc>
          <w:tcPr>
            <w:tcW w:w="1985" w:type="dxa"/>
            <w:shd w:val="clear" w:color="auto" w:fill="FFFFFF"/>
            <w:vAlign w:val="center"/>
          </w:tcPr>
          <w:p w14:paraId="7E8FA82B">
            <w:pPr>
              <w:widowControl/>
              <w:spacing w:line="24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市自然资源和规划局、市政务服务中心、市委改革办、市发改局（审批中心）</w:t>
            </w:r>
          </w:p>
        </w:tc>
        <w:tc>
          <w:tcPr>
            <w:tcW w:w="7463" w:type="dxa"/>
            <w:shd w:val="clear" w:color="auto" w:fill="FFFFFF"/>
            <w:vAlign w:val="center"/>
          </w:tcPr>
          <w:p w14:paraId="0A09343F">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出让项目建筑方案审批“最多70天”已达100%。</w:t>
            </w:r>
            <w:r>
              <w:rPr>
                <w:rFonts w:hint="eastAsia" w:ascii="仿宋_GB2312" w:hAnsi="仿宋_GB2312" w:cs="仿宋_GB2312"/>
                <w:color w:val="000000"/>
                <w:kern w:val="0"/>
                <w:sz w:val="21"/>
                <w:szCs w:val="21"/>
                <w:lang w:eastAsia="zh-Hans" w:bidi="ar"/>
              </w:rPr>
              <w:t>两年半来</w:t>
            </w:r>
            <w:r>
              <w:rPr>
                <w:rFonts w:ascii="仿宋_GB2312" w:hAnsi="仿宋_GB2312" w:cs="仿宋_GB2312"/>
                <w:color w:val="000000"/>
                <w:kern w:val="0"/>
                <w:sz w:val="21"/>
                <w:szCs w:val="21"/>
                <w:lang w:eastAsia="zh-Hans" w:bidi="ar"/>
              </w:rPr>
              <w:t>，</w:t>
            </w:r>
            <w:r>
              <w:rPr>
                <w:rFonts w:ascii="Times New Roman" w:hAnsi="Times New Roman" w:cs="Times New Roman"/>
                <w:color w:val="000000"/>
                <w:kern w:val="0"/>
                <w:sz w:val="21"/>
                <w:szCs w:val="21"/>
                <w:lang w:bidi="ar"/>
              </w:rPr>
              <w:t>赋码且竣工验收项目数93个，平均用时2.9天，最长用时28.5天，实现率达100%。</w:t>
            </w:r>
          </w:p>
        </w:tc>
      </w:tr>
      <w:tr w14:paraId="4775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21A1B663">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3</w:t>
            </w:r>
          </w:p>
        </w:tc>
        <w:tc>
          <w:tcPr>
            <w:tcW w:w="1607" w:type="dxa"/>
            <w:shd w:val="clear" w:color="DDEBF7" w:fill="FFFFFF"/>
            <w:vAlign w:val="center"/>
          </w:tcPr>
          <w:p w14:paraId="2FD904F0">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创建全国民营经济示范城市</w:t>
            </w:r>
          </w:p>
        </w:tc>
        <w:tc>
          <w:tcPr>
            <w:tcW w:w="3118" w:type="dxa"/>
            <w:shd w:val="clear" w:color="DDEBF7" w:fill="FFFFFF"/>
            <w:vAlign w:val="center"/>
          </w:tcPr>
          <w:p w14:paraId="3030B64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第一批创成全国民营经济示范城市。</w:t>
            </w:r>
          </w:p>
        </w:tc>
        <w:tc>
          <w:tcPr>
            <w:tcW w:w="1985" w:type="dxa"/>
            <w:shd w:val="clear" w:color="DDEBF7" w:fill="FFFFFF"/>
            <w:vAlign w:val="center"/>
          </w:tcPr>
          <w:p w14:paraId="20981F7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市发改局</w:t>
            </w:r>
          </w:p>
        </w:tc>
        <w:tc>
          <w:tcPr>
            <w:tcW w:w="7463" w:type="dxa"/>
            <w:shd w:val="clear" w:color="DDEBF7" w:fill="FFFFFF"/>
            <w:vAlign w:val="center"/>
          </w:tcPr>
          <w:p w14:paraId="6AB6E631">
            <w:pPr>
              <w:widowControl/>
              <w:spacing w:line="28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2021年温州作为</w:t>
            </w:r>
            <w:r>
              <w:rPr>
                <w:rFonts w:ascii="Times New Roman" w:hAnsi="Times New Roman" w:cs="Times New Roman"/>
                <w:color w:val="000000"/>
                <w:kern w:val="0"/>
                <w:sz w:val="21"/>
                <w:szCs w:val="21"/>
                <w:lang w:bidi="ar"/>
              </w:rPr>
              <w:t>全国民营经济示范城市首批创建城市</w:t>
            </w:r>
            <w:r>
              <w:rPr>
                <w:rFonts w:hint="eastAsia" w:ascii="Times New Roman" w:hAnsi="Times New Roman" w:cs="Times New Roman"/>
                <w:color w:val="000000"/>
                <w:kern w:val="0"/>
                <w:sz w:val="21"/>
                <w:szCs w:val="21"/>
                <w:lang w:bidi="ar"/>
              </w:rPr>
              <w:t>开展</w:t>
            </w:r>
            <w:r>
              <w:rPr>
                <w:rFonts w:ascii="Times New Roman" w:hAnsi="Times New Roman" w:cs="Times New Roman"/>
                <w:sz w:val="21"/>
                <w:szCs w:val="21"/>
              </w:rPr>
              <w:t>改革试点</w:t>
            </w:r>
            <w:r>
              <w:rPr>
                <w:rFonts w:hint="eastAsia" w:ascii="Times New Roman" w:hAnsi="Times New Roman" w:cs="Times New Roman"/>
                <w:sz w:val="21"/>
                <w:szCs w:val="21"/>
              </w:rPr>
              <w:t>，瑞安配合市级部门开展相关工作。</w:t>
            </w:r>
          </w:p>
        </w:tc>
      </w:tr>
      <w:tr w14:paraId="43A9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08311AB3">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4</w:t>
            </w:r>
          </w:p>
        </w:tc>
        <w:tc>
          <w:tcPr>
            <w:tcW w:w="1607" w:type="dxa"/>
            <w:shd w:val="clear" w:color="auto" w:fill="FFFFFF"/>
            <w:vAlign w:val="center"/>
          </w:tcPr>
          <w:p w14:paraId="773E790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深化国际化营商环境试点</w:t>
            </w:r>
          </w:p>
        </w:tc>
        <w:tc>
          <w:tcPr>
            <w:tcW w:w="3118" w:type="dxa"/>
            <w:shd w:val="clear" w:color="auto" w:fill="FFFFFF"/>
            <w:vAlign w:val="center"/>
          </w:tcPr>
          <w:p w14:paraId="2E58456B">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按世界银行营商环境标准评价的各项量化指标达到国内领先水平。</w:t>
            </w:r>
          </w:p>
        </w:tc>
        <w:tc>
          <w:tcPr>
            <w:tcW w:w="1985" w:type="dxa"/>
            <w:shd w:val="clear" w:color="auto" w:fill="FFFFFF"/>
            <w:vAlign w:val="center"/>
          </w:tcPr>
          <w:p w14:paraId="030984F0">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市发改局（体制改革科）</w:t>
            </w:r>
          </w:p>
        </w:tc>
        <w:tc>
          <w:tcPr>
            <w:tcW w:w="7463" w:type="dxa"/>
            <w:shd w:val="clear" w:color="auto" w:fill="FFFFFF"/>
            <w:vAlign w:val="center"/>
          </w:tcPr>
          <w:p w14:paraId="0215ACFE">
            <w:pPr>
              <w:widowControl/>
              <w:spacing w:line="28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hint="eastAsia" w:ascii="Times New Roman" w:hAnsi="Times New Roman" w:cs="Times New Roman"/>
                <w:color w:val="000000"/>
                <w:kern w:val="0"/>
                <w:sz w:val="21"/>
                <w:szCs w:val="21"/>
                <w:lang w:bidi="ar"/>
              </w:rPr>
              <w:t>2021年度浙江省营商环境评价瑞安得分为87.01分，在全省县（市）中处于第二档。</w:t>
            </w:r>
            <w:r>
              <w:rPr>
                <w:rFonts w:hint="eastAsia" w:ascii="仿宋_GB2312" w:hAnsi="仿宋_GB2312" w:cs="仿宋_GB2312"/>
                <w:color w:val="000000"/>
                <w:kern w:val="0"/>
                <w:sz w:val="21"/>
                <w:szCs w:val="21"/>
                <w:lang w:bidi="ar"/>
              </w:rPr>
              <w:t>②</w:t>
            </w:r>
            <w:r>
              <w:rPr>
                <w:rFonts w:hint="eastAsia" w:ascii="Times New Roman" w:hAnsi="Times New Roman" w:cs="Times New Roman"/>
                <w:color w:val="000000"/>
                <w:kern w:val="0"/>
                <w:sz w:val="21"/>
                <w:szCs w:val="21"/>
                <w:lang w:bidi="ar"/>
              </w:rPr>
              <w:t>2021年度温州市营商环境评价瑞安列温州第2；2022年度温州市1-10月营商环境评价瑞安列温州第1，创历史最好成绩。</w:t>
            </w:r>
          </w:p>
        </w:tc>
      </w:tr>
      <w:tr w14:paraId="05D4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52A91C36">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5</w:t>
            </w:r>
          </w:p>
        </w:tc>
        <w:tc>
          <w:tcPr>
            <w:tcW w:w="1607" w:type="dxa"/>
            <w:shd w:val="clear" w:color="DDEBF7" w:fill="FFFFFF"/>
            <w:vAlign w:val="center"/>
          </w:tcPr>
          <w:p w14:paraId="2980C33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深化国资国企改革</w:t>
            </w:r>
          </w:p>
        </w:tc>
        <w:tc>
          <w:tcPr>
            <w:tcW w:w="3118" w:type="dxa"/>
            <w:shd w:val="clear" w:color="DDEBF7" w:fill="FFFFFF"/>
            <w:vAlign w:val="center"/>
          </w:tcPr>
          <w:p w14:paraId="0D4E55D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做大资产规模、提升企业活力，形成功能更明确、主业更突出、分布更合理、运转更高效的国资国企布局结构。优化公司治理结构，完善用人制度和激励机制，形成以管资本为主的统一监管体系。</w:t>
            </w:r>
          </w:p>
        </w:tc>
        <w:tc>
          <w:tcPr>
            <w:tcW w:w="1985" w:type="dxa"/>
            <w:shd w:val="clear" w:color="DDEBF7" w:fill="FFFFFF"/>
            <w:vAlign w:val="center"/>
          </w:tcPr>
          <w:p w14:paraId="7AB2FD92">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市财政局（市国资办）</w:t>
            </w:r>
          </w:p>
        </w:tc>
        <w:tc>
          <w:tcPr>
            <w:tcW w:w="7463" w:type="dxa"/>
            <w:shd w:val="clear" w:color="DDEBF7" w:fill="FFFFFF"/>
            <w:vAlign w:val="center"/>
          </w:tcPr>
          <w:p w14:paraId="18973DB1">
            <w:pPr>
              <w:widowControl/>
              <w:spacing w:line="28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优化提升国企考核指标体系</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出台新的市管国有企业负责人考核办法，突出国企投融资能力考核</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国企改革稳步推进，构建市国投集团、市城发集团、市产发集团、市国发集团四大集团框架，市经开区公司、市工业公司获得AA企业主体信用评级，两年半完成15家国有融资平台公司市场化转型，累计盘活国有资产160.89亿元。</w:t>
            </w:r>
          </w:p>
        </w:tc>
      </w:tr>
      <w:tr w14:paraId="524E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726E9D53">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6</w:t>
            </w:r>
          </w:p>
        </w:tc>
        <w:tc>
          <w:tcPr>
            <w:tcW w:w="1607" w:type="dxa"/>
            <w:shd w:val="clear" w:color="auto" w:fill="FFFFFF"/>
            <w:vAlign w:val="center"/>
          </w:tcPr>
          <w:p w14:paraId="27EC45B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深化“三位一体”改革</w:t>
            </w:r>
          </w:p>
        </w:tc>
        <w:tc>
          <w:tcPr>
            <w:tcW w:w="3118" w:type="dxa"/>
            <w:shd w:val="clear" w:color="auto" w:fill="FFFFFF"/>
            <w:vAlign w:val="center"/>
          </w:tcPr>
          <w:p w14:paraId="7D572060">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以“一体化”为核心，以组织化体系构建增强基层活力，把数字赋能作为手段和路径，助推农业农村现代化，全方位打造示范标杆。</w:t>
            </w:r>
          </w:p>
        </w:tc>
        <w:tc>
          <w:tcPr>
            <w:tcW w:w="1985" w:type="dxa"/>
            <w:shd w:val="clear" w:color="auto" w:fill="FFFFFF"/>
            <w:vAlign w:val="center"/>
          </w:tcPr>
          <w:p w14:paraId="5559F30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市农业农村局、市供销联社</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市金融工作服务中心</w:t>
            </w:r>
          </w:p>
        </w:tc>
        <w:tc>
          <w:tcPr>
            <w:tcW w:w="7463" w:type="dxa"/>
            <w:shd w:val="clear" w:color="auto" w:fill="FFFFFF"/>
            <w:vAlign w:val="center"/>
          </w:tcPr>
          <w:p w14:paraId="1DEE2E0E">
            <w:pPr>
              <w:widowControl/>
              <w:spacing w:line="28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坚持农性定位和互助性质，指导3家农村资金互助社（会）整合社（会）员闲置资金实现内部互助，截至2023年</w:t>
            </w:r>
            <w:r>
              <w:rPr>
                <w:rFonts w:hint="eastAsia" w:ascii="Times New Roman" w:hAnsi="Times New Roman" w:cs="Times New Roman"/>
                <w:color w:val="000000"/>
                <w:kern w:val="0"/>
                <w:sz w:val="21"/>
                <w:szCs w:val="21"/>
                <w:lang w:bidi="ar"/>
              </w:rPr>
              <w:t>6</w:t>
            </w:r>
            <w:r>
              <w:rPr>
                <w:rFonts w:ascii="Times New Roman" w:hAnsi="Times New Roman" w:cs="Times New Roman"/>
                <w:color w:val="000000"/>
                <w:kern w:val="0"/>
                <w:sz w:val="21"/>
                <w:szCs w:val="21"/>
                <w:lang w:bidi="ar"/>
              </w:rPr>
              <w:t>月，已累计发放贷款（投放互助金）</w:t>
            </w:r>
            <w:r>
              <w:rPr>
                <w:rFonts w:hint="eastAsia" w:ascii="Times New Roman" w:hAnsi="Times New Roman" w:cs="Times New Roman"/>
                <w:color w:val="000000"/>
                <w:kern w:val="0"/>
                <w:sz w:val="21"/>
                <w:szCs w:val="21"/>
                <w:lang w:bidi="ar"/>
              </w:rPr>
              <w:t>4776</w:t>
            </w:r>
            <w:r>
              <w:rPr>
                <w:rFonts w:ascii="Times New Roman" w:hAnsi="Times New Roman" w:cs="Times New Roman"/>
                <w:color w:val="000000"/>
                <w:kern w:val="0"/>
                <w:sz w:val="21"/>
                <w:szCs w:val="21"/>
                <w:lang w:bidi="ar"/>
              </w:rPr>
              <w:t>笔</w:t>
            </w:r>
            <w:r>
              <w:rPr>
                <w:rFonts w:hint="eastAsia" w:ascii="Times New Roman" w:hAnsi="Times New Roman" w:cs="Times New Roman"/>
                <w:color w:val="000000"/>
                <w:kern w:val="0"/>
                <w:sz w:val="21"/>
                <w:szCs w:val="21"/>
                <w:lang w:bidi="ar"/>
              </w:rPr>
              <w:t>7.79</w:t>
            </w:r>
            <w:r>
              <w:rPr>
                <w:rFonts w:ascii="Times New Roman" w:hAnsi="Times New Roman" w:cs="Times New Roman"/>
                <w:color w:val="000000"/>
                <w:kern w:val="0"/>
                <w:sz w:val="21"/>
                <w:szCs w:val="21"/>
                <w:lang w:bidi="ar"/>
              </w:rPr>
              <w:t>亿元；指导兴民农村保险互助社弥补传统农业保险“缺位”，</w:t>
            </w:r>
            <w:r>
              <w:rPr>
                <w:rFonts w:hint="eastAsia" w:ascii="Times New Roman" w:hAnsi="Times New Roman" w:cs="Times New Roman"/>
                <w:color w:val="000000"/>
                <w:kern w:val="0"/>
                <w:sz w:val="21"/>
                <w:szCs w:val="21"/>
                <w:lang w:eastAsia="zh-Hans" w:bidi="ar"/>
              </w:rPr>
              <w:t>两年半来</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已累计承保</w:t>
            </w:r>
            <w:r>
              <w:rPr>
                <w:rFonts w:hint="eastAsia" w:ascii="Times New Roman" w:hAnsi="Times New Roman" w:cs="Times New Roman"/>
                <w:color w:val="000000"/>
                <w:kern w:val="0"/>
                <w:sz w:val="21"/>
                <w:szCs w:val="21"/>
                <w:lang w:bidi="ar"/>
              </w:rPr>
              <w:t>505</w:t>
            </w:r>
            <w:r>
              <w:rPr>
                <w:rFonts w:ascii="Times New Roman" w:hAnsi="Times New Roman" w:cs="Times New Roman"/>
                <w:color w:val="000000"/>
                <w:kern w:val="0"/>
                <w:sz w:val="21"/>
                <w:szCs w:val="21"/>
                <w:lang w:bidi="ar"/>
              </w:rPr>
              <w:t>笔，覆盖农户</w:t>
            </w:r>
            <w:r>
              <w:rPr>
                <w:rFonts w:hint="eastAsia" w:ascii="Times New Roman" w:hAnsi="Times New Roman" w:cs="Times New Roman"/>
                <w:color w:val="000000"/>
                <w:kern w:val="0"/>
                <w:sz w:val="21"/>
                <w:szCs w:val="21"/>
                <w:lang w:bidi="ar"/>
              </w:rPr>
              <w:t>11161</w:t>
            </w:r>
            <w:r>
              <w:rPr>
                <w:rFonts w:ascii="Times New Roman" w:hAnsi="Times New Roman" w:cs="Times New Roman"/>
                <w:color w:val="000000"/>
                <w:kern w:val="0"/>
                <w:sz w:val="21"/>
                <w:szCs w:val="21"/>
                <w:lang w:bidi="ar"/>
              </w:rPr>
              <w:t>人次，提供保险金额</w:t>
            </w:r>
            <w:r>
              <w:rPr>
                <w:rFonts w:hint="eastAsia" w:ascii="Times New Roman" w:hAnsi="Times New Roman" w:cs="Times New Roman"/>
                <w:color w:val="000000"/>
                <w:kern w:val="0"/>
                <w:sz w:val="21"/>
                <w:szCs w:val="21"/>
                <w:lang w:bidi="ar"/>
              </w:rPr>
              <w:t>19235.81</w:t>
            </w:r>
            <w:r>
              <w:rPr>
                <w:rFonts w:ascii="Times New Roman" w:hAnsi="Times New Roman" w:cs="Times New Roman"/>
                <w:color w:val="000000"/>
                <w:kern w:val="0"/>
                <w:sz w:val="21"/>
                <w:szCs w:val="21"/>
                <w:lang w:bidi="ar"/>
              </w:rPr>
              <w:t>万元。</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推进市级农合联实体化运作，构建“1个市级农合联+10个涉农乡镇农合联+N个产业农合联”组织体系。</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建成“三位一体”智农共富平台，打造“无忧种田”“无忧销售”“无忧贷款”“无忧补贴”四大场景，平台上线一年半来，已有1.2万余户农业经营主体上线使用，授信金额超4.4亿元。</w:t>
            </w:r>
            <w:r>
              <w:rPr>
                <w:rFonts w:hint="eastAsia" w:ascii="仿宋_GB2312" w:hAnsi="仿宋_GB2312" w:cs="仿宋_GB2312"/>
                <w:color w:val="000000"/>
                <w:kern w:val="0"/>
                <w:sz w:val="21"/>
                <w:szCs w:val="21"/>
                <w:lang w:bidi="ar"/>
              </w:rPr>
              <w:t>④</w:t>
            </w:r>
            <w:r>
              <w:rPr>
                <w:rFonts w:ascii="Times New Roman" w:hAnsi="Times New Roman" w:cs="Times New Roman"/>
                <w:color w:val="000000"/>
                <w:kern w:val="0"/>
                <w:sz w:val="21"/>
                <w:szCs w:val="21"/>
                <w:lang w:bidi="ar"/>
              </w:rPr>
              <w:t>入选省高质量发展建设共同富裕示范区第二批试点、列入省强村富民乡村集成改革实践试点、入选深化农村“三位一体”改革实施县；</w:t>
            </w:r>
            <w:r>
              <w:rPr>
                <w:rFonts w:hint="eastAsia" w:ascii="Times New Roman" w:hAnsi="Times New Roman" w:cs="Times New Roman"/>
                <w:color w:val="000000"/>
                <w:kern w:val="0"/>
                <w:sz w:val="21"/>
                <w:szCs w:val="21"/>
                <w:lang w:eastAsia="zh-Hans" w:bidi="ar"/>
              </w:rPr>
              <w:t>两年半来</w:t>
            </w:r>
            <w:r>
              <w:rPr>
                <w:rFonts w:ascii="Times New Roman" w:hAnsi="Times New Roman" w:cs="Times New Roman"/>
                <w:color w:val="000000"/>
                <w:kern w:val="0"/>
                <w:sz w:val="21"/>
                <w:szCs w:val="21"/>
                <w:lang w:eastAsia="zh-Hans" w:bidi="ar"/>
              </w:rPr>
              <w:t>，</w:t>
            </w:r>
            <w:r>
              <w:rPr>
                <w:rFonts w:hint="eastAsia" w:ascii="Times New Roman" w:hAnsi="Times New Roman" w:cs="Times New Roman"/>
                <w:color w:val="000000"/>
                <w:kern w:val="0"/>
                <w:sz w:val="21"/>
                <w:szCs w:val="21"/>
                <w:lang w:eastAsia="zh-Hans" w:bidi="ar"/>
              </w:rPr>
              <w:t>累计</w:t>
            </w:r>
            <w:r>
              <w:rPr>
                <w:rFonts w:ascii="Times New Roman" w:hAnsi="Times New Roman" w:cs="Times New Roman"/>
                <w:color w:val="000000"/>
                <w:kern w:val="0"/>
                <w:sz w:val="21"/>
                <w:szCs w:val="21"/>
                <w:lang w:bidi="ar"/>
              </w:rPr>
              <w:t>创成国家级示范社</w:t>
            </w:r>
            <w:r>
              <w:rPr>
                <w:rFonts w:hint="eastAsia" w:ascii="Times New Roman" w:hAnsi="Times New Roman" w:cs="Times New Roman"/>
                <w:color w:val="000000"/>
                <w:kern w:val="0"/>
                <w:sz w:val="21"/>
                <w:szCs w:val="21"/>
                <w:lang w:bidi="ar"/>
              </w:rPr>
              <w:t>2</w:t>
            </w:r>
            <w:r>
              <w:rPr>
                <w:rFonts w:ascii="Times New Roman" w:hAnsi="Times New Roman" w:cs="Times New Roman"/>
                <w:color w:val="000000"/>
                <w:kern w:val="0"/>
                <w:sz w:val="21"/>
                <w:szCs w:val="21"/>
                <w:lang w:bidi="ar"/>
              </w:rPr>
              <w:t>家，省级示范社</w:t>
            </w:r>
            <w:r>
              <w:rPr>
                <w:rFonts w:hint="eastAsia" w:ascii="Times New Roman" w:hAnsi="Times New Roman" w:cs="Times New Roman"/>
                <w:color w:val="000000"/>
                <w:kern w:val="0"/>
                <w:sz w:val="21"/>
                <w:szCs w:val="21"/>
                <w:lang w:bidi="ar"/>
              </w:rPr>
              <w:t>4</w:t>
            </w:r>
            <w:r>
              <w:rPr>
                <w:rFonts w:ascii="Times New Roman" w:hAnsi="Times New Roman" w:cs="Times New Roman"/>
                <w:color w:val="000000"/>
                <w:kern w:val="0"/>
                <w:sz w:val="21"/>
                <w:szCs w:val="21"/>
                <w:lang w:bidi="ar"/>
              </w:rPr>
              <w:t>家。</w:t>
            </w:r>
          </w:p>
        </w:tc>
      </w:tr>
      <w:tr w14:paraId="2A92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6C0B33D2">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7</w:t>
            </w:r>
          </w:p>
        </w:tc>
        <w:tc>
          <w:tcPr>
            <w:tcW w:w="1607" w:type="dxa"/>
            <w:shd w:val="clear" w:color="DDEBF7" w:fill="FFFFFF"/>
            <w:vAlign w:val="center"/>
          </w:tcPr>
          <w:p w14:paraId="41604E0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建立现代地方财税金融体制</w:t>
            </w:r>
          </w:p>
        </w:tc>
        <w:tc>
          <w:tcPr>
            <w:tcW w:w="3118" w:type="dxa"/>
            <w:shd w:val="clear" w:color="DDEBF7" w:fill="FFFFFF"/>
            <w:vAlign w:val="center"/>
          </w:tcPr>
          <w:p w14:paraId="1BC0365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现代地方财税金融体制初步构建，市场主体活力充分释放，政府职能有效转变。</w:t>
            </w:r>
          </w:p>
        </w:tc>
        <w:tc>
          <w:tcPr>
            <w:tcW w:w="1985" w:type="dxa"/>
            <w:shd w:val="clear" w:color="DDEBF7" w:fill="FFFFFF"/>
            <w:vAlign w:val="center"/>
          </w:tcPr>
          <w:p w14:paraId="3EEA23A8">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市税务局、市财政局</w:t>
            </w:r>
          </w:p>
        </w:tc>
        <w:tc>
          <w:tcPr>
            <w:tcW w:w="7463" w:type="dxa"/>
            <w:shd w:val="clear" w:color="DDEBF7" w:fill="FFFFFF"/>
            <w:vAlign w:val="center"/>
          </w:tcPr>
          <w:p w14:paraId="33CEACCC">
            <w:pPr>
              <w:widowControl/>
              <w:spacing w:line="28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以系统化思维和信息化手段整合预算管理全流程，实现预算资金全链条清晰可查.</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出台《关于全面构建集中财力办大事的财政政策体系实施意见》《关于加强2022年度瑞安市预算收支管理的通知》《关于坚决落实党政机关过紧日子要求的通知》《关于加强“三公”经费管理和财政可承受能力评估的通知》</w:t>
            </w:r>
            <w:r>
              <w:rPr>
                <w:rFonts w:hint="eastAsia" w:ascii="Times New Roman" w:hAnsi="Times New Roman" w:cs="Times New Roman"/>
                <w:color w:val="000000"/>
                <w:kern w:val="0"/>
                <w:sz w:val="21"/>
                <w:szCs w:val="21"/>
                <w:lang w:eastAsia="zh-Hans" w:bidi="ar"/>
              </w:rPr>
              <w:t>等系列文件</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eastAsia="zh-Hans" w:bidi="ar"/>
              </w:rPr>
              <w:t>推动全市</w:t>
            </w:r>
            <w:r>
              <w:rPr>
                <w:rFonts w:ascii="Times New Roman" w:hAnsi="Times New Roman" w:cs="Times New Roman"/>
                <w:color w:val="000000"/>
                <w:kern w:val="0"/>
                <w:sz w:val="21"/>
                <w:szCs w:val="21"/>
                <w:lang w:bidi="ar"/>
              </w:rPr>
              <w:t>财政平稳运行、更可持续。</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积极落实中办、国办《关于进一步深化征管改革的意见》，按照总局省局部署建设智慧税务、推动税收征管现代化。</w:t>
            </w:r>
            <w:r>
              <w:rPr>
                <w:rFonts w:hint="eastAsia" w:ascii="仿宋_GB2312" w:hAnsi="仿宋_GB2312" w:cs="仿宋_GB2312"/>
                <w:color w:val="000000"/>
                <w:kern w:val="0"/>
                <w:sz w:val="21"/>
                <w:szCs w:val="21"/>
                <w:lang w:bidi="ar"/>
              </w:rPr>
              <w:t>④</w:t>
            </w:r>
            <w:r>
              <w:rPr>
                <w:rFonts w:ascii="Times New Roman" w:hAnsi="Times New Roman" w:cs="Times New Roman"/>
                <w:color w:val="000000"/>
                <w:kern w:val="0"/>
                <w:sz w:val="21"/>
                <w:szCs w:val="21"/>
                <w:lang w:bidi="ar"/>
              </w:rPr>
              <w:t>初步构建未来五年集中财力办大事财政政策体系；全面厘清我市财政各类中长期支出责任和刚性需求，积极打造我市中长期财政承受能力体系。</w:t>
            </w:r>
            <w:r>
              <w:rPr>
                <w:rFonts w:hint="eastAsia" w:ascii="仿宋_GB2312" w:hAnsi="仿宋_GB2312" w:cs="仿宋_GB2312"/>
                <w:color w:val="000000"/>
                <w:kern w:val="0"/>
                <w:sz w:val="21"/>
                <w:szCs w:val="21"/>
                <w:lang w:bidi="ar"/>
              </w:rPr>
              <w:t>⑤</w:t>
            </w:r>
            <w:r>
              <w:rPr>
                <w:rFonts w:ascii="Times New Roman" w:hAnsi="Times New Roman" w:cs="Times New Roman"/>
                <w:color w:val="000000"/>
                <w:kern w:val="0"/>
                <w:sz w:val="21"/>
                <w:szCs w:val="21"/>
                <w:lang w:bidi="ar"/>
              </w:rPr>
              <w:t>初步完成财政可承受能力模型风险指标及底层数据逻辑公式设置，对接“财力承受画像”模块开发，拟打造实时更新的财政承受能力数据模型。</w:t>
            </w:r>
          </w:p>
        </w:tc>
      </w:tr>
      <w:tr w14:paraId="1E6E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2FDED7EF">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8</w:t>
            </w:r>
          </w:p>
        </w:tc>
        <w:tc>
          <w:tcPr>
            <w:tcW w:w="1607" w:type="dxa"/>
            <w:shd w:val="clear" w:color="auto" w:fill="FFFFFF"/>
            <w:vAlign w:val="center"/>
          </w:tcPr>
          <w:p w14:paraId="17F5A9E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深化能源改革</w:t>
            </w:r>
          </w:p>
        </w:tc>
        <w:tc>
          <w:tcPr>
            <w:tcW w:w="3118" w:type="dxa"/>
            <w:shd w:val="clear" w:color="auto" w:fill="FFFFFF"/>
            <w:vAlign w:val="center"/>
          </w:tcPr>
          <w:p w14:paraId="6F021EB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企业用能成本得到有效降低。</w:t>
            </w:r>
          </w:p>
        </w:tc>
        <w:tc>
          <w:tcPr>
            <w:tcW w:w="1985" w:type="dxa"/>
            <w:shd w:val="clear" w:color="auto" w:fill="FFFFFF"/>
            <w:vAlign w:val="center"/>
          </w:tcPr>
          <w:p w14:paraId="258D2C1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市发改局（能源科）</w:t>
            </w:r>
          </w:p>
        </w:tc>
        <w:tc>
          <w:tcPr>
            <w:tcW w:w="7463" w:type="dxa"/>
            <w:shd w:val="clear" w:color="auto" w:fill="FFFFFF"/>
            <w:vAlign w:val="center"/>
          </w:tcPr>
          <w:p w14:paraId="3D520FF8">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相关政策由省级部门制定，瑞安市级积极贯彻落实相关政策。</w:t>
            </w:r>
          </w:p>
        </w:tc>
      </w:tr>
      <w:tr w14:paraId="634D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1174966F">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9</w:t>
            </w:r>
          </w:p>
        </w:tc>
        <w:tc>
          <w:tcPr>
            <w:tcW w:w="1607" w:type="dxa"/>
            <w:shd w:val="clear" w:color="DDEBF7" w:fill="FFFFFF"/>
            <w:vAlign w:val="center"/>
          </w:tcPr>
          <w:p w14:paraId="12949FE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深化“三医联动”“六医统筹”改革</w:t>
            </w:r>
          </w:p>
        </w:tc>
        <w:tc>
          <w:tcPr>
            <w:tcW w:w="3118" w:type="dxa"/>
            <w:shd w:val="clear" w:color="DDEBF7" w:fill="FFFFFF"/>
            <w:vAlign w:val="center"/>
          </w:tcPr>
          <w:p w14:paraId="0D577D1B">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全面建立覆盖群众生命健康全周期的基本医疗卫生制度，看病难、看病贵问题得到明显缓解。</w:t>
            </w:r>
          </w:p>
        </w:tc>
        <w:tc>
          <w:tcPr>
            <w:tcW w:w="1985" w:type="dxa"/>
            <w:shd w:val="clear" w:color="DDEBF7" w:fill="FFFFFF"/>
            <w:vAlign w:val="center"/>
          </w:tcPr>
          <w:p w14:paraId="0B7D493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市医保局、市财政局、市卫健局</w:t>
            </w:r>
          </w:p>
        </w:tc>
        <w:tc>
          <w:tcPr>
            <w:tcW w:w="7463" w:type="dxa"/>
            <w:shd w:val="clear" w:color="DDEBF7" w:fill="FFFFFF"/>
            <w:vAlign w:val="center"/>
          </w:tcPr>
          <w:p w14:paraId="1070EEE8">
            <w:pPr>
              <w:widowControl/>
              <w:spacing w:line="28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推进“医疗高地”建设。持续推进市中医院与上海中医药大学附属岳阳中西医结合医院医联体、滨海人民医院建设</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实施“县级强院”工程。改造提升瑞安市人民医院瑞祥</w:t>
            </w:r>
            <w:r>
              <w:rPr>
                <w:rFonts w:hint="eastAsia" w:ascii="Times New Roman" w:hAnsi="Times New Roman" w:cs="Times New Roman"/>
                <w:color w:val="000000"/>
                <w:kern w:val="0"/>
                <w:sz w:val="21"/>
                <w:szCs w:val="21"/>
                <w:lang w:bidi="ar"/>
              </w:rPr>
              <w:t>院</w:t>
            </w:r>
            <w:r>
              <w:rPr>
                <w:rFonts w:ascii="Times New Roman" w:hAnsi="Times New Roman" w:cs="Times New Roman"/>
                <w:color w:val="000000"/>
                <w:kern w:val="0"/>
                <w:sz w:val="21"/>
                <w:szCs w:val="21"/>
                <w:lang w:bidi="ar"/>
              </w:rPr>
              <w:t>区</w:t>
            </w:r>
            <w:r>
              <w:rPr>
                <w:rFonts w:hint="eastAsia" w:ascii="Times New Roman" w:hAnsi="Times New Roman" w:cs="Times New Roman"/>
                <w:color w:val="000000"/>
                <w:kern w:val="0"/>
                <w:sz w:val="21"/>
                <w:szCs w:val="21"/>
                <w:lang w:bidi="ar"/>
              </w:rPr>
              <w:t>，并创成全省首批县级“三甲”医院</w:t>
            </w:r>
            <w:r>
              <w:rPr>
                <w:rFonts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夯实基层卫生健康“网底”。</w:t>
            </w: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开工建设芳庄卫生院等10家基层卫生院改造，建成二乙水平卫生院1家（莘塍卫生院）；智慧健康站88家；加快家庭医生签约服务提质扩面，十类重点人群签约率达75%以上。</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深入推进医养结合</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建成高楼卫生院医养结合项目，</w:t>
            </w:r>
            <w:r>
              <w:rPr>
                <w:rFonts w:hint="eastAsia" w:ascii="Times New Roman" w:hAnsi="Times New Roman" w:cs="Times New Roman"/>
                <w:color w:val="000000"/>
                <w:kern w:val="0"/>
                <w:sz w:val="21"/>
                <w:szCs w:val="21"/>
                <w:lang w:eastAsia="zh-Hans" w:bidi="ar"/>
              </w:rPr>
              <w:t>有序推进</w:t>
            </w:r>
            <w:r>
              <w:rPr>
                <w:rFonts w:ascii="Times New Roman" w:hAnsi="Times New Roman" w:cs="Times New Roman"/>
                <w:color w:val="000000"/>
                <w:kern w:val="0"/>
                <w:sz w:val="21"/>
                <w:szCs w:val="21"/>
                <w:lang w:bidi="ar"/>
              </w:rPr>
              <w:t>瑞安市人民医院等6家公立医院的改造、扩建工程。</w:t>
            </w:r>
            <w:r>
              <w:rPr>
                <w:rFonts w:hint="eastAsia" w:ascii="仿宋_GB2312" w:hAnsi="仿宋_GB2312" w:cs="仿宋_GB2312"/>
                <w:color w:val="000000"/>
                <w:kern w:val="0"/>
                <w:sz w:val="21"/>
                <w:szCs w:val="21"/>
                <w:lang w:bidi="ar"/>
              </w:rPr>
              <w:t>④</w:t>
            </w:r>
            <w:r>
              <w:rPr>
                <w:rFonts w:ascii="Times New Roman" w:hAnsi="Times New Roman" w:cs="Times New Roman"/>
                <w:color w:val="000000"/>
                <w:kern w:val="0"/>
                <w:sz w:val="21"/>
                <w:szCs w:val="21"/>
                <w:lang w:bidi="ar"/>
              </w:rPr>
              <w:t>深化医保支付方式改革</w:t>
            </w:r>
            <w:r>
              <w:rPr>
                <w:rFonts w:hint="eastAsia" w:ascii="Times New Roman" w:hAnsi="Times New Roman" w:cs="Times New Roman"/>
                <w:color w:val="000000"/>
                <w:kern w:val="0"/>
                <w:sz w:val="21"/>
                <w:szCs w:val="21"/>
                <w:lang w:bidi="ar"/>
              </w:rPr>
              <w:t>，提升</w:t>
            </w:r>
            <w:r>
              <w:rPr>
                <w:rFonts w:ascii="Times New Roman" w:hAnsi="Times New Roman" w:cs="Times New Roman"/>
                <w:color w:val="000000"/>
                <w:kern w:val="0"/>
                <w:sz w:val="21"/>
                <w:szCs w:val="21"/>
                <w:lang w:bidi="ar"/>
              </w:rPr>
              <w:t>基本公共卫生服务投入</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加大城乡居民医保财政负担部分</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落实国家、省级、市级联合药品和医用耗材带量集采政策</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完成瑞安市中医院“中医处方一件事”改革</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公立医院综合改革评价2021年位居全省第三</w:t>
            </w:r>
            <w:r>
              <w:rPr>
                <w:rFonts w:hint="eastAsia" w:ascii="Times New Roman" w:hAnsi="Times New Roman" w:cs="Times New Roman"/>
                <w:color w:val="000000"/>
                <w:kern w:val="0"/>
                <w:sz w:val="21"/>
                <w:szCs w:val="21"/>
                <w:lang w:bidi="ar"/>
              </w:rPr>
              <w:t>。</w:t>
            </w:r>
          </w:p>
        </w:tc>
      </w:tr>
      <w:tr w14:paraId="4639B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5847413C">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10</w:t>
            </w:r>
          </w:p>
        </w:tc>
        <w:tc>
          <w:tcPr>
            <w:tcW w:w="1607" w:type="dxa"/>
            <w:shd w:val="clear" w:color="auto" w:fill="FFFFFF"/>
            <w:vAlign w:val="center"/>
          </w:tcPr>
          <w:p w14:paraId="60AF181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健全公共卫生应急管理体系</w:t>
            </w:r>
          </w:p>
        </w:tc>
        <w:tc>
          <w:tcPr>
            <w:tcW w:w="3118" w:type="dxa"/>
            <w:shd w:val="clear" w:color="auto" w:fill="FFFFFF"/>
            <w:vAlign w:val="center"/>
          </w:tcPr>
          <w:p w14:paraId="7602003A">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公共卫生应急管理体系全面形成，应对突发重大公共卫生事件的能力水平明显提高。</w:t>
            </w:r>
          </w:p>
        </w:tc>
        <w:tc>
          <w:tcPr>
            <w:tcW w:w="1985" w:type="dxa"/>
            <w:shd w:val="clear" w:color="auto" w:fill="FFFFFF"/>
            <w:vAlign w:val="center"/>
          </w:tcPr>
          <w:p w14:paraId="540F611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市卫健局</w:t>
            </w:r>
          </w:p>
        </w:tc>
        <w:tc>
          <w:tcPr>
            <w:tcW w:w="7463" w:type="dxa"/>
            <w:shd w:val="clear" w:color="auto" w:fill="FFFFFF"/>
            <w:vAlign w:val="center"/>
          </w:tcPr>
          <w:p w14:paraId="21ED9243">
            <w:pPr>
              <w:widowControl/>
              <w:spacing w:line="28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强化基础设施建设。已按标准化建设市疾病预防控制中心。全域实现城区服务半径不超过3.5公里，平均急救反应时间少于11分钟。实现调度系统数据同省、温州市院前医疗急救120云平台系统互联互通，做到全省急救调度“一张网”，实现“浙里办”一键呼叫；率全省之先打造瑞安急救云台账系统，实现全市急救车辆、数据指标一站式实时高效管理。</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健全卫生应急体系建设。完善应急指挥决策系统，定期更新系统数据，落实法定传染病网络直报工作，29家基层医疗机构确定为传染病监测哨点医院。</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完善应急物资储备能力。根据省应急物资储备目录，做好日常应急物资的贮备更新。构建“1+1+N”保障储备网络，按照“应急优先”原则，统筹安排、按需分配。</w:t>
            </w:r>
          </w:p>
        </w:tc>
      </w:tr>
      <w:tr w14:paraId="2AD9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186FD2D7">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11</w:t>
            </w:r>
          </w:p>
        </w:tc>
        <w:tc>
          <w:tcPr>
            <w:tcW w:w="1607" w:type="dxa"/>
            <w:shd w:val="clear" w:color="DDEBF7" w:fill="FFFFFF"/>
            <w:vAlign w:val="center"/>
          </w:tcPr>
          <w:p w14:paraId="54C2CAC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深化医疗保障制度改革</w:t>
            </w:r>
          </w:p>
        </w:tc>
        <w:tc>
          <w:tcPr>
            <w:tcW w:w="3118" w:type="dxa"/>
            <w:shd w:val="clear" w:color="DDEBF7" w:fill="FFFFFF"/>
            <w:vAlign w:val="center"/>
          </w:tcPr>
          <w:p w14:paraId="2F3AE048">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全面建立成熟定型的多层次医疗保障制度体系，成为全省高质量医疗保障服务、科学治理创新的标杆。</w:t>
            </w:r>
          </w:p>
        </w:tc>
        <w:tc>
          <w:tcPr>
            <w:tcW w:w="1985" w:type="dxa"/>
            <w:shd w:val="clear" w:color="DDEBF7" w:fill="FFFFFF"/>
            <w:vAlign w:val="center"/>
          </w:tcPr>
          <w:p w14:paraId="715DCDD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市医保局</w:t>
            </w:r>
          </w:p>
        </w:tc>
        <w:tc>
          <w:tcPr>
            <w:tcW w:w="7463" w:type="dxa"/>
            <w:shd w:val="clear" w:color="DDEBF7" w:fill="FFFFFF"/>
            <w:vAlign w:val="center"/>
          </w:tcPr>
          <w:p w14:paraId="38134186">
            <w:pPr>
              <w:widowControl/>
              <w:spacing w:line="28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eastAsia="zh-Hans" w:bidi="ar"/>
              </w:rPr>
              <w:t>实现</w:t>
            </w:r>
            <w:r>
              <w:rPr>
                <w:rFonts w:ascii="Times New Roman" w:hAnsi="Times New Roman" w:cs="Times New Roman"/>
                <w:color w:val="000000"/>
                <w:kern w:val="0"/>
                <w:sz w:val="21"/>
                <w:szCs w:val="21"/>
                <w:lang w:bidi="ar"/>
              </w:rPr>
              <w:t>困难群众资助参保率100%、医疗救助落实率100%、高额医疗费用化解率100%，迭代完善惠民型商业补充保险--温州益康保，建立医保暖心慈善共富基金，推动三重制度综合保障与慈善救助、商业健康保险等协同发展。</w:t>
            </w:r>
          </w:p>
        </w:tc>
      </w:tr>
      <w:tr w14:paraId="03C8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1C4F237B">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12</w:t>
            </w:r>
          </w:p>
        </w:tc>
        <w:tc>
          <w:tcPr>
            <w:tcW w:w="1607" w:type="dxa"/>
            <w:shd w:val="clear" w:color="auto" w:fill="FFFFFF"/>
            <w:vAlign w:val="center"/>
          </w:tcPr>
          <w:p w14:paraId="607D73FF">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构建和实施生态系统生产价值实现机制</w:t>
            </w:r>
          </w:p>
        </w:tc>
        <w:tc>
          <w:tcPr>
            <w:tcW w:w="3118" w:type="dxa"/>
            <w:shd w:val="clear" w:color="auto" w:fill="FFFFFF"/>
            <w:vAlign w:val="center"/>
          </w:tcPr>
          <w:p w14:paraId="42DF88E8">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在具备条件的县（市、区）开展生态系统生产总值（GEP）核算，探索形成示范应用样板。</w:t>
            </w:r>
          </w:p>
        </w:tc>
        <w:tc>
          <w:tcPr>
            <w:tcW w:w="1985" w:type="dxa"/>
            <w:shd w:val="clear" w:color="auto" w:fill="FFFFFF"/>
            <w:vAlign w:val="center"/>
          </w:tcPr>
          <w:p w14:paraId="14AFDC3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市发改局（能源科）</w:t>
            </w:r>
          </w:p>
        </w:tc>
        <w:tc>
          <w:tcPr>
            <w:tcW w:w="7463" w:type="dxa"/>
            <w:shd w:val="clear" w:color="auto" w:fill="FFFFFF"/>
            <w:vAlign w:val="center"/>
          </w:tcPr>
          <w:p w14:paraId="53BF34F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本工作未在瑞安开展，目前仅在试点地区推进，建议删除。（发改能源科反馈）</w:t>
            </w:r>
          </w:p>
        </w:tc>
      </w:tr>
      <w:tr w14:paraId="67BE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0AD2B96F">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13</w:t>
            </w:r>
          </w:p>
        </w:tc>
        <w:tc>
          <w:tcPr>
            <w:tcW w:w="1607" w:type="dxa"/>
            <w:shd w:val="clear" w:color="DDEBF7" w:fill="FFFFFF"/>
            <w:vAlign w:val="center"/>
          </w:tcPr>
          <w:p w14:paraId="70729D2A">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深化市域治理现代化试点城市创建</w:t>
            </w:r>
          </w:p>
        </w:tc>
        <w:tc>
          <w:tcPr>
            <w:tcW w:w="3118" w:type="dxa"/>
            <w:shd w:val="clear" w:color="DDEBF7" w:fill="FFFFFF"/>
            <w:vAlign w:val="center"/>
          </w:tcPr>
          <w:p w14:paraId="040D977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高质量高水平创成全国市域社会治理现代化试点城市。</w:t>
            </w:r>
          </w:p>
        </w:tc>
        <w:tc>
          <w:tcPr>
            <w:tcW w:w="1985" w:type="dxa"/>
            <w:shd w:val="clear" w:color="DDEBF7" w:fill="FFFFFF"/>
            <w:vAlign w:val="center"/>
          </w:tcPr>
          <w:p w14:paraId="4980C52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市委政法委</w:t>
            </w:r>
          </w:p>
        </w:tc>
        <w:tc>
          <w:tcPr>
            <w:tcW w:w="7463" w:type="dxa"/>
            <w:shd w:val="clear" w:color="DDEBF7" w:fill="FFFFFF"/>
            <w:vAlign w:val="center"/>
          </w:tcPr>
          <w:p w14:paraId="6EE4330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省考核验收组于5月8日对温州市创建市域社会治理现代化试点城市进行验收，瑞安作为抽查点位迎接检查。</w:t>
            </w:r>
          </w:p>
        </w:tc>
      </w:tr>
      <w:tr w14:paraId="4E71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3077400A">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14</w:t>
            </w:r>
          </w:p>
        </w:tc>
        <w:tc>
          <w:tcPr>
            <w:tcW w:w="1607" w:type="dxa"/>
            <w:shd w:val="clear" w:color="auto" w:fill="FFFFFF"/>
            <w:vAlign w:val="center"/>
          </w:tcPr>
          <w:p w14:paraId="6B45118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构建智慧应急“一张图”</w:t>
            </w:r>
          </w:p>
        </w:tc>
        <w:tc>
          <w:tcPr>
            <w:tcW w:w="3118" w:type="dxa"/>
            <w:shd w:val="clear" w:color="auto" w:fill="FFFFFF"/>
            <w:vAlign w:val="center"/>
          </w:tcPr>
          <w:p w14:paraId="3A9A2498">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全市域应急管理数字化一体化水平全省领先。</w:t>
            </w:r>
          </w:p>
        </w:tc>
        <w:tc>
          <w:tcPr>
            <w:tcW w:w="1985" w:type="dxa"/>
            <w:shd w:val="clear" w:color="auto" w:fill="FFFFFF"/>
            <w:vAlign w:val="center"/>
          </w:tcPr>
          <w:p w14:paraId="7F8DF49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市应急管理局</w:t>
            </w:r>
          </w:p>
        </w:tc>
        <w:tc>
          <w:tcPr>
            <w:tcW w:w="7463" w:type="dxa"/>
            <w:shd w:val="clear" w:color="auto" w:fill="FFFFFF"/>
            <w:vAlign w:val="center"/>
          </w:tcPr>
          <w:p w14:paraId="370542CC">
            <w:pPr>
              <w:widowControl/>
              <w:spacing w:line="28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智慧应急“一张图</w:t>
            </w:r>
            <w:r>
              <w:rPr>
                <w:rFonts w:hint="eastAsia" w:ascii="Times New Roman" w:hAnsi="Times New Roman" w:cs="Times New Roman"/>
                <w:color w:val="000000"/>
                <w:kern w:val="0"/>
                <w:sz w:val="21"/>
                <w:szCs w:val="21"/>
                <w:lang w:bidi="ar"/>
              </w:rPr>
              <w:t>”完成</w:t>
            </w:r>
            <w:r>
              <w:rPr>
                <w:rFonts w:ascii="Times New Roman" w:hAnsi="Times New Roman" w:cs="Times New Roman"/>
                <w:color w:val="000000"/>
                <w:kern w:val="0"/>
                <w:sz w:val="21"/>
                <w:szCs w:val="21"/>
                <w:lang w:bidi="ar"/>
              </w:rPr>
              <w:t>开发建设</w:t>
            </w:r>
            <w:r>
              <w:rPr>
                <w:rFonts w:hint="eastAsia" w:ascii="Times New Roman" w:hAnsi="Times New Roman" w:cs="Times New Roman"/>
                <w:color w:val="000000"/>
                <w:kern w:val="0"/>
                <w:sz w:val="21"/>
                <w:szCs w:val="21"/>
                <w:lang w:bidi="ar"/>
              </w:rPr>
              <w:t>；</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2022年以来，承担了省厅安全生产电力大数据分析应用试点，目前正在开发中。</w:t>
            </w:r>
          </w:p>
        </w:tc>
      </w:tr>
      <w:tr w14:paraId="2A59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04FDFDB0">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15</w:t>
            </w:r>
          </w:p>
        </w:tc>
        <w:tc>
          <w:tcPr>
            <w:tcW w:w="1607" w:type="dxa"/>
            <w:shd w:val="clear" w:color="DDEBF7" w:fill="FFFFFF"/>
            <w:vAlign w:val="center"/>
          </w:tcPr>
          <w:p w14:paraId="0823C2E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“县乡一体、条抓块统”改革</w:t>
            </w:r>
          </w:p>
        </w:tc>
        <w:tc>
          <w:tcPr>
            <w:tcW w:w="3118" w:type="dxa"/>
            <w:shd w:val="clear" w:color="DDEBF7" w:fill="FFFFFF"/>
            <w:vAlign w:val="center"/>
          </w:tcPr>
          <w:p w14:paraId="5E8A1792">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聚焦重点领域，依托“基层治理四平台”，开展差异化探索，重点突出整体智治，构建覆盖县、乡、村、微网格四个层级的“一云四柱N应用”治理体系。突出党建统领、整体智治、高效协同，迭代升级“基层治理四平台”，推进基层事务“一件事”综合集成，建立健全指挥系统、数字赋能系统、评价系统。</w:t>
            </w:r>
          </w:p>
        </w:tc>
        <w:tc>
          <w:tcPr>
            <w:tcW w:w="1985" w:type="dxa"/>
            <w:shd w:val="clear" w:color="DDEBF7" w:fill="FFFFFF"/>
            <w:vAlign w:val="center"/>
          </w:tcPr>
          <w:p w14:paraId="0B3FB0E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市大数据管理中心、市委政法委、市委组织部、市政务服务中心、市委改革办</w:t>
            </w:r>
            <w:r>
              <w:rPr>
                <w:rFonts w:hint="eastAsia" w:ascii="Times New Roman" w:hAnsi="Times New Roman" w:cs="Times New Roman"/>
                <w:color w:val="000000"/>
                <w:kern w:val="0"/>
                <w:sz w:val="21"/>
                <w:szCs w:val="21"/>
                <w:lang w:bidi="ar"/>
              </w:rPr>
              <w:t>、市委办公室</w:t>
            </w:r>
          </w:p>
        </w:tc>
        <w:tc>
          <w:tcPr>
            <w:tcW w:w="7463" w:type="dxa"/>
            <w:shd w:val="clear" w:color="DDEBF7" w:fill="FFFFFF"/>
            <w:vAlign w:val="center"/>
          </w:tcPr>
          <w:p w14:paraId="48A7AD2C">
            <w:pPr>
              <w:widowControl/>
              <w:spacing w:line="280" w:lineRule="exact"/>
              <w:textAlignment w:val="center"/>
              <w:rPr>
                <w:rFonts w:ascii="Times New Roman" w:hAnsi="Times New Roman" w:cs="Times New Roman"/>
                <w:color w:val="000000"/>
                <w:szCs w:val="21"/>
              </w:rPr>
            </w:pPr>
            <w:r>
              <w:rPr>
                <w:rFonts w:hint="eastAsia" w:ascii="仿宋_GB2312" w:hAnsi="仿宋_GB2312" w:cs="仿宋_GB2312"/>
                <w:color w:val="000000"/>
                <w:kern w:val="0"/>
                <w:sz w:val="21"/>
                <w:szCs w:val="21"/>
                <w:lang w:bidi="ar"/>
              </w:rPr>
              <w:t>①</w:t>
            </w:r>
            <w:r>
              <w:rPr>
                <w:rFonts w:ascii="Times New Roman" w:hAnsi="Times New Roman" w:cs="Times New Roman"/>
                <w:color w:val="000000"/>
                <w:kern w:val="0"/>
                <w:sz w:val="21"/>
                <w:szCs w:val="21"/>
                <w:lang w:bidi="ar"/>
              </w:rPr>
              <w:t>基层“一件事”集成联办方面。在“公共数据平台+城市大脑”建设中搭建“一件事”业务协同模块，选定建筑垃圾管理、校园周边安全等2个“一件事”先试先行。</w:t>
            </w:r>
            <w:r>
              <w:rPr>
                <w:rFonts w:hint="eastAsia" w:ascii="仿宋_GB2312" w:hAnsi="仿宋_GB2312" w:cs="仿宋_GB2312"/>
                <w:color w:val="000000"/>
                <w:kern w:val="0"/>
                <w:sz w:val="21"/>
                <w:szCs w:val="21"/>
                <w:lang w:bidi="ar"/>
              </w:rPr>
              <w:t>②</w:t>
            </w:r>
            <w:r>
              <w:rPr>
                <w:rFonts w:ascii="Times New Roman" w:hAnsi="Times New Roman" w:cs="Times New Roman"/>
                <w:color w:val="000000"/>
                <w:kern w:val="0"/>
                <w:sz w:val="21"/>
                <w:szCs w:val="21"/>
                <w:lang w:bidi="ar"/>
              </w:rPr>
              <w:t>党建统领网格智治，2022年下半年，市委组织部、市委政法委对全市网格进行调整</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从1027个网格调整为1497个网格，每个网格按照1+3+N配备网格长、网格指导员、专职网格员、兼职网格员、包联干部等。</w:t>
            </w:r>
            <w:r>
              <w:rPr>
                <w:rFonts w:hint="eastAsia" w:ascii="仿宋_GB2312" w:hAnsi="仿宋_GB2312" w:cs="仿宋_GB2312"/>
                <w:color w:val="000000"/>
                <w:kern w:val="0"/>
                <w:sz w:val="21"/>
                <w:szCs w:val="21"/>
                <w:lang w:bidi="ar"/>
              </w:rPr>
              <w:t>③</w:t>
            </w:r>
            <w:r>
              <w:rPr>
                <w:rFonts w:ascii="Times New Roman" w:hAnsi="Times New Roman" w:cs="Times New Roman"/>
                <w:color w:val="000000"/>
                <w:kern w:val="0"/>
                <w:sz w:val="21"/>
                <w:szCs w:val="21"/>
                <w:lang w:bidi="ar"/>
              </w:rPr>
              <w:t>“县乡一体、条抓块统”改革</w:t>
            </w:r>
            <w:r>
              <w:rPr>
                <w:rFonts w:hint="eastAsia" w:ascii="Times New Roman" w:hAnsi="Times New Roman" w:cs="Times New Roman"/>
                <w:color w:val="000000"/>
                <w:kern w:val="0"/>
                <w:sz w:val="21"/>
                <w:szCs w:val="21"/>
                <w:lang w:bidi="ar"/>
              </w:rPr>
              <w:t>积极</w:t>
            </w:r>
            <w:r>
              <w:rPr>
                <w:rFonts w:ascii="Times New Roman" w:hAnsi="Times New Roman" w:cs="Times New Roman"/>
                <w:color w:val="000000"/>
                <w:kern w:val="0"/>
                <w:sz w:val="21"/>
                <w:szCs w:val="21"/>
                <w:lang w:bidi="ar"/>
              </w:rPr>
              <w:t>融入基层治理系统建设，已构建上下贯通的县乡村三级政务便民服务体系，分类推进乡镇（街道）便民服务中心和村居（社区）服务站“示范型”“标准型”“基础型”建设全覆盖，镇街高频可办事项182项，利用网办、掌办、委托代跑等方式为村居社区群众提供红色代帮办服务，实现基层群众就近办事、方便办事，共享均等政务服务。</w:t>
            </w:r>
          </w:p>
        </w:tc>
      </w:tr>
    </w:tbl>
    <w:p w14:paraId="7CAA5EA0">
      <w:pPr>
        <w:rPr>
          <w:rFonts w:ascii="Times New Roman" w:hAnsi="Times New Roman" w:cs="Times New Roman"/>
        </w:rPr>
      </w:pPr>
      <w:r>
        <w:rPr>
          <w:rFonts w:ascii="Times New Roman" w:hAnsi="Times New Roman" w:cs="Times New Roman"/>
        </w:rPr>
        <w:br w:type="page"/>
      </w:r>
    </w:p>
    <w:p w14:paraId="7CB61D47">
      <w:pPr>
        <w:ind w:firstLine="640"/>
        <w:outlineLvl w:val="0"/>
        <w:rPr>
          <w:rFonts w:ascii="Times New Roman" w:hAnsi="Times New Roman" w:eastAsia="黑体" w:cs="Times New Roman"/>
          <w:szCs w:val="32"/>
        </w:rPr>
      </w:pPr>
      <w:bookmarkStart w:id="87" w:name="_Toc8989"/>
      <w:r>
        <w:rPr>
          <w:rFonts w:ascii="Times New Roman" w:hAnsi="Times New Roman" w:eastAsia="黑体" w:cs="Times New Roman"/>
          <w:szCs w:val="32"/>
        </w:rPr>
        <w:t>附件5：重大政策清单完成情况</w:t>
      </w:r>
      <w:bookmarkEnd w:id="87"/>
    </w:p>
    <w:tbl>
      <w:tblPr>
        <w:tblStyle w:val="18"/>
        <w:tblW w:w="14882"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79"/>
        <w:gridCol w:w="4560"/>
        <w:gridCol w:w="1418"/>
        <w:gridCol w:w="6216"/>
      </w:tblGrid>
      <w:tr w14:paraId="618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09" w:type="dxa"/>
            <w:shd w:val="clear" w:color="DDEBF7" w:fill="FFFFFF"/>
            <w:vAlign w:val="center"/>
          </w:tcPr>
          <w:p w14:paraId="602F72EC">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序号</w:t>
            </w:r>
          </w:p>
        </w:tc>
        <w:tc>
          <w:tcPr>
            <w:tcW w:w="1979" w:type="dxa"/>
            <w:shd w:val="clear" w:color="DDEBF7" w:fill="FFFFFF"/>
            <w:vAlign w:val="center"/>
          </w:tcPr>
          <w:p w14:paraId="1967D18F">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领域—名称</w:t>
            </w:r>
          </w:p>
        </w:tc>
        <w:tc>
          <w:tcPr>
            <w:tcW w:w="4560" w:type="dxa"/>
            <w:shd w:val="clear" w:color="DDEBF7" w:fill="FFFFFF"/>
            <w:vAlign w:val="center"/>
          </w:tcPr>
          <w:p w14:paraId="3456441E">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工作目标任务</w:t>
            </w:r>
          </w:p>
        </w:tc>
        <w:tc>
          <w:tcPr>
            <w:tcW w:w="1418" w:type="dxa"/>
            <w:shd w:val="clear" w:color="DDEBF7" w:fill="FFFFFF"/>
            <w:vAlign w:val="center"/>
          </w:tcPr>
          <w:p w14:paraId="62EC6DBD">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责任单位</w:t>
            </w:r>
          </w:p>
        </w:tc>
        <w:tc>
          <w:tcPr>
            <w:tcW w:w="6216" w:type="dxa"/>
            <w:shd w:val="clear" w:color="DDEBF7" w:fill="FFFFFF"/>
            <w:vAlign w:val="center"/>
          </w:tcPr>
          <w:p w14:paraId="45459A31">
            <w:pPr>
              <w:widowControl/>
              <w:spacing w:line="280" w:lineRule="exact"/>
              <w:jc w:val="center"/>
              <w:textAlignment w:val="center"/>
              <w:rPr>
                <w:rFonts w:ascii="Times New Roman" w:hAnsi="Times New Roman" w:cs="Times New Roman"/>
                <w:b/>
                <w:bCs/>
                <w:color w:val="000000"/>
                <w:sz w:val="21"/>
                <w:szCs w:val="21"/>
              </w:rPr>
            </w:pPr>
            <w:r>
              <w:rPr>
                <w:rFonts w:ascii="Times New Roman" w:hAnsi="Times New Roman" w:cs="Times New Roman"/>
                <w:b/>
                <w:bCs/>
                <w:color w:val="000000"/>
                <w:kern w:val="0"/>
                <w:sz w:val="21"/>
                <w:szCs w:val="21"/>
                <w:lang w:bidi="ar"/>
              </w:rPr>
              <w:t>2021.1.1-2023.6.30实施情况评估</w:t>
            </w:r>
          </w:p>
        </w:tc>
      </w:tr>
      <w:tr w14:paraId="1BB9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6F2EA37B">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w:t>
            </w:r>
          </w:p>
        </w:tc>
        <w:tc>
          <w:tcPr>
            <w:tcW w:w="1979" w:type="dxa"/>
            <w:shd w:val="clear" w:color="DDEBF7" w:fill="FFFFFF"/>
            <w:vAlign w:val="center"/>
          </w:tcPr>
          <w:p w14:paraId="6AF1315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促进科技创新发展--落实科技型企业税收优惠和财政支持政策</w:t>
            </w:r>
          </w:p>
        </w:tc>
        <w:tc>
          <w:tcPr>
            <w:tcW w:w="4560" w:type="dxa"/>
            <w:shd w:val="clear" w:color="DDEBF7" w:fill="FFFFFF"/>
            <w:vAlign w:val="center"/>
          </w:tcPr>
          <w:p w14:paraId="600C8C08">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开展创新政策先行先试，整合完善科技创新政策，落实好研发费用加计扣除、高新技术企业税收优惠等税收优惠政策。推进科技型企业认定奖励、科技企业孵化器奖励、众创空间奖励、市外引进高新技术企业奖励、创新型领军企业培育奖励等政策刚性兑现。</w:t>
            </w:r>
          </w:p>
        </w:tc>
        <w:tc>
          <w:tcPr>
            <w:tcW w:w="1418" w:type="dxa"/>
            <w:shd w:val="clear" w:color="DDEBF7" w:fill="FFFFFF"/>
            <w:vAlign w:val="center"/>
          </w:tcPr>
          <w:p w14:paraId="179C88E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市税务局、市科技局、市财政局</w:t>
            </w:r>
          </w:p>
        </w:tc>
        <w:tc>
          <w:tcPr>
            <w:tcW w:w="6216" w:type="dxa"/>
            <w:shd w:val="clear" w:color="DDEBF7" w:fill="FFFFFF"/>
            <w:vAlign w:val="center"/>
          </w:tcPr>
          <w:p w14:paraId="12B7F6FC">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落实研发费用加计扣除政策，2021年度研发费用加计扣除金额35.83亿元，2022年度研发费用加计扣除金额36.85亿元</w:t>
            </w:r>
            <w:r>
              <w:rPr>
                <w:rFonts w:hint="eastAsia" w:ascii="Times New Roman" w:hAnsi="Times New Roman" w:cs="Times New Roman"/>
                <w:color w:val="000000"/>
                <w:kern w:val="0"/>
                <w:sz w:val="21"/>
                <w:szCs w:val="21"/>
                <w:lang w:bidi="ar"/>
              </w:rPr>
              <w:t>。</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落实科技创新发展支持政策，</w:t>
            </w:r>
            <w:r>
              <w:rPr>
                <w:rFonts w:hint="eastAsia" w:ascii="Times New Roman" w:hAnsi="Times New Roman" w:cs="Times New Roman"/>
                <w:color w:val="000000"/>
                <w:kern w:val="0"/>
                <w:sz w:val="21"/>
                <w:szCs w:val="21"/>
                <w:lang w:bidi="ar"/>
              </w:rPr>
              <w:t>2021年至2022年</w:t>
            </w:r>
            <w:r>
              <w:rPr>
                <w:rFonts w:ascii="Times New Roman" w:hAnsi="Times New Roman" w:cs="Times New Roman"/>
                <w:color w:val="000000"/>
                <w:kern w:val="0"/>
                <w:sz w:val="21"/>
                <w:szCs w:val="21"/>
                <w:lang w:bidi="ar"/>
              </w:rPr>
              <w:t>，刚性兑现科技创新专项资金22993.4万元，其中高新技术企业奖励7360万元，科技型企业奖励</w:t>
            </w:r>
            <w:r>
              <w:rPr>
                <w:rFonts w:hint="eastAsia" w:ascii="Times New Roman" w:hAnsi="Times New Roman" w:cs="Times New Roman"/>
                <w:color w:val="000000"/>
                <w:kern w:val="0"/>
                <w:sz w:val="21"/>
                <w:szCs w:val="21"/>
                <w:lang w:bidi="ar"/>
              </w:rPr>
              <w:t>1075</w:t>
            </w:r>
            <w:r>
              <w:rPr>
                <w:rFonts w:ascii="Times New Roman" w:hAnsi="Times New Roman" w:cs="Times New Roman"/>
                <w:color w:val="000000"/>
                <w:kern w:val="0"/>
                <w:sz w:val="21"/>
                <w:szCs w:val="21"/>
                <w:lang w:bidi="ar"/>
              </w:rPr>
              <w:t>万元，孵化器、众创空间奖励</w:t>
            </w:r>
            <w:r>
              <w:rPr>
                <w:rFonts w:hint="eastAsia" w:ascii="Times New Roman" w:hAnsi="Times New Roman" w:cs="Times New Roman"/>
                <w:color w:val="000000"/>
                <w:kern w:val="0"/>
                <w:sz w:val="21"/>
                <w:szCs w:val="21"/>
                <w:lang w:bidi="ar"/>
              </w:rPr>
              <w:t>240</w:t>
            </w:r>
            <w:r>
              <w:rPr>
                <w:rFonts w:ascii="Times New Roman" w:hAnsi="Times New Roman" w:cs="Times New Roman"/>
                <w:color w:val="000000"/>
                <w:kern w:val="0"/>
                <w:sz w:val="21"/>
                <w:szCs w:val="21"/>
                <w:lang w:bidi="ar"/>
              </w:rPr>
              <w:t>万元。</w:t>
            </w:r>
            <w:r>
              <w:rPr>
                <w:rFonts w:hint="eastAsia" w:ascii="仿宋_GB2312" w:hAnsi="等线" w:cs="宋体"/>
                <w:kern w:val="0"/>
                <w:sz w:val="21"/>
                <w:szCs w:val="21"/>
              </w:rPr>
              <w:t>③</w:t>
            </w:r>
            <w:r>
              <w:rPr>
                <w:rFonts w:ascii="Times New Roman" w:hAnsi="Times New Roman" w:cs="Times New Roman"/>
                <w:color w:val="000000"/>
                <w:kern w:val="0"/>
                <w:sz w:val="21"/>
                <w:szCs w:val="21"/>
                <w:lang w:bidi="ar"/>
              </w:rPr>
              <w:t>大力实施科技新政27条，促进科技创新发展。</w:t>
            </w:r>
          </w:p>
        </w:tc>
      </w:tr>
      <w:tr w14:paraId="3D2D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06CF5F6B">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w:t>
            </w:r>
          </w:p>
        </w:tc>
        <w:tc>
          <w:tcPr>
            <w:tcW w:w="1979" w:type="dxa"/>
            <w:shd w:val="clear" w:color="auto" w:fill="FFFFFF"/>
            <w:vAlign w:val="center"/>
          </w:tcPr>
          <w:p w14:paraId="2CF9A8AF">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促进科技创新发展--加大科技成果转化激励</w:t>
            </w:r>
          </w:p>
        </w:tc>
        <w:tc>
          <w:tcPr>
            <w:tcW w:w="4560" w:type="dxa"/>
            <w:shd w:val="clear" w:color="auto" w:fill="FFFFFF"/>
            <w:vAlign w:val="center"/>
          </w:tcPr>
          <w:p w14:paraId="7D953D3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完善科技成果转移转化渠道和利益分配机制。研究促进高校院所与企业产学研深度融合的政策。研究支持技术转移机构和技术经理人培育发展政策，形成“科技创新-成果转化-科技创新”的良性循环。</w:t>
            </w:r>
          </w:p>
        </w:tc>
        <w:tc>
          <w:tcPr>
            <w:tcW w:w="1418" w:type="dxa"/>
            <w:shd w:val="clear" w:color="auto" w:fill="FFFFFF"/>
            <w:vAlign w:val="center"/>
          </w:tcPr>
          <w:p w14:paraId="78EAC36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市科技局</w:t>
            </w:r>
          </w:p>
        </w:tc>
        <w:tc>
          <w:tcPr>
            <w:tcW w:w="6216" w:type="dxa"/>
            <w:shd w:val="clear" w:color="auto" w:fill="FFFFFF"/>
            <w:vAlign w:val="center"/>
          </w:tcPr>
          <w:p w14:paraId="78AD958E">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成立科技金融联盟，参与发行全国第一单技术产权证券化ABN、ABS项目。</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打造科技大市场，列入“中国浙江网上技术市场3.0”应用建设先行试点，贯通线上线下科技成果转化链条。</w:t>
            </w:r>
          </w:p>
        </w:tc>
      </w:tr>
      <w:tr w14:paraId="581F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5C0DCF02">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3</w:t>
            </w:r>
          </w:p>
        </w:tc>
        <w:tc>
          <w:tcPr>
            <w:tcW w:w="1979" w:type="dxa"/>
            <w:shd w:val="clear" w:color="DDEBF7" w:fill="FFFFFF"/>
            <w:vAlign w:val="center"/>
          </w:tcPr>
          <w:p w14:paraId="7AC2499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促进科技创新发展--实施更具竞争力的人才激励和支持政策</w:t>
            </w:r>
          </w:p>
        </w:tc>
        <w:tc>
          <w:tcPr>
            <w:tcW w:w="4560" w:type="dxa"/>
            <w:shd w:val="clear" w:color="DDEBF7" w:fill="FFFFFF"/>
            <w:vAlign w:val="center"/>
          </w:tcPr>
          <w:p w14:paraId="4DA2B07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加大重点关键领域拔尖创新人才、基础研究人才、产业技术研发人才培养支持。建立大学生来瑞留瑞返瑞的全链条支持体系。健全高技能人才培育体系。落实青年人才无障碍极简落户等政策，建立市级科研项目向青年人才、基层一线科研人员倾斜支持机制。</w:t>
            </w:r>
          </w:p>
        </w:tc>
        <w:tc>
          <w:tcPr>
            <w:tcW w:w="1418" w:type="dxa"/>
            <w:shd w:val="clear" w:color="DDEBF7" w:fill="FFFFFF"/>
            <w:vAlign w:val="center"/>
          </w:tcPr>
          <w:p w14:paraId="5FDEFD2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市委组织部（市委人才办）</w:t>
            </w:r>
          </w:p>
        </w:tc>
        <w:tc>
          <w:tcPr>
            <w:tcW w:w="6216" w:type="dxa"/>
            <w:shd w:val="clear" w:color="DDEBF7" w:fill="FFFFFF"/>
            <w:vAlign w:val="center"/>
          </w:tcPr>
          <w:p w14:paraId="5CFA9CE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已迭代出台“人才新政3.0”。</w:t>
            </w:r>
          </w:p>
        </w:tc>
      </w:tr>
      <w:tr w14:paraId="4C6B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6F50ACDD">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4</w:t>
            </w:r>
          </w:p>
        </w:tc>
        <w:tc>
          <w:tcPr>
            <w:tcW w:w="1979" w:type="dxa"/>
            <w:shd w:val="clear" w:color="auto" w:fill="FFFFFF"/>
            <w:vAlign w:val="center"/>
          </w:tcPr>
          <w:p w14:paraId="4DFD3B1A">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促进科技创新发展--支持科技创新的若干政策意见</w:t>
            </w:r>
          </w:p>
        </w:tc>
        <w:tc>
          <w:tcPr>
            <w:tcW w:w="4560" w:type="dxa"/>
            <w:shd w:val="clear" w:color="auto" w:fill="FFFFFF"/>
            <w:vAlign w:val="center"/>
          </w:tcPr>
          <w:p w14:paraId="74563320">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深入实施创新驱动发展战略，进一步提升自主创新能力，补齐科技创新短板，推动瑞安实现高质量发展。</w:t>
            </w:r>
          </w:p>
        </w:tc>
        <w:tc>
          <w:tcPr>
            <w:tcW w:w="1418" w:type="dxa"/>
            <w:shd w:val="clear" w:color="auto" w:fill="FFFFFF"/>
            <w:vAlign w:val="center"/>
          </w:tcPr>
          <w:p w14:paraId="14F5FE4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市经信局、市科技局、市财政局</w:t>
            </w:r>
          </w:p>
        </w:tc>
        <w:tc>
          <w:tcPr>
            <w:tcW w:w="6216" w:type="dxa"/>
            <w:shd w:val="clear" w:color="auto" w:fill="FFFFFF"/>
            <w:vAlign w:val="center"/>
          </w:tcPr>
          <w:p w14:paraId="305CFAC9">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实施科技新政，</w:t>
            </w:r>
            <w:r>
              <w:rPr>
                <w:rFonts w:hint="eastAsia" w:ascii="Times New Roman" w:hAnsi="Times New Roman" w:cs="Times New Roman"/>
                <w:color w:val="000000"/>
                <w:kern w:val="0"/>
                <w:sz w:val="21"/>
                <w:szCs w:val="21"/>
                <w:lang w:bidi="ar"/>
              </w:rPr>
              <w:t>改进加强科技计划项目和科技资金管理，优化项目评审流程。</w:t>
            </w:r>
            <w:r>
              <w:rPr>
                <w:rFonts w:ascii="Times New Roman" w:hAnsi="Times New Roman" w:cs="Times New Roman"/>
                <w:color w:val="000000"/>
                <w:kern w:val="0"/>
                <w:sz w:val="21"/>
                <w:szCs w:val="21"/>
                <w:lang w:bidi="ar"/>
              </w:rPr>
              <w:t>出台《瑞安市人民政府关于印发瑞安市支持科技创新发展加快打造“创新之城”若干政策的通知》文件。</w:t>
            </w: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，全市科技支出10.25亿元。</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积极引导企业加强国家、省市各级企业技术中心建设，加强省级工业新产品开发，加强装备领域首台（套）产品的开发及推广应用。</w:t>
            </w:r>
            <w:r>
              <w:rPr>
                <w:rFonts w:hint="eastAsia" w:ascii="仿宋_GB2312" w:hAnsi="等线" w:cs="宋体"/>
                <w:kern w:val="0"/>
                <w:sz w:val="21"/>
                <w:szCs w:val="21"/>
              </w:rPr>
              <w:t>③</w:t>
            </w:r>
            <w:r>
              <w:rPr>
                <w:rFonts w:ascii="Times New Roman" w:hAnsi="Times New Roman" w:cs="Times New Roman"/>
                <w:color w:val="000000"/>
                <w:kern w:val="0"/>
                <w:sz w:val="21"/>
                <w:szCs w:val="21"/>
                <w:lang w:bidi="ar"/>
              </w:rPr>
              <w:t>2023年成功获批</w:t>
            </w:r>
            <w:r>
              <w:rPr>
                <w:rFonts w:hint="eastAsia" w:ascii="Times New Roman" w:hAnsi="Times New Roman" w:cs="Times New Roman"/>
                <w:color w:val="000000"/>
                <w:kern w:val="0"/>
                <w:sz w:val="21"/>
                <w:szCs w:val="21"/>
                <w:lang w:bidi="ar"/>
              </w:rPr>
              <w:t>创建</w:t>
            </w:r>
            <w:r>
              <w:rPr>
                <w:rFonts w:ascii="Times New Roman" w:hAnsi="Times New Roman" w:cs="Times New Roman"/>
                <w:color w:val="000000"/>
                <w:kern w:val="0"/>
                <w:sz w:val="21"/>
                <w:szCs w:val="21"/>
                <w:lang w:bidi="ar"/>
              </w:rPr>
              <w:t>国家创新型县（市）。</w:t>
            </w:r>
          </w:p>
        </w:tc>
      </w:tr>
      <w:tr w14:paraId="3A57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1452D512">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5</w:t>
            </w:r>
          </w:p>
        </w:tc>
        <w:tc>
          <w:tcPr>
            <w:tcW w:w="1979" w:type="dxa"/>
            <w:shd w:val="clear" w:color="DDEBF7" w:fill="FFFFFF"/>
            <w:vAlign w:val="center"/>
          </w:tcPr>
          <w:p w14:paraId="05CEA00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推动产业发展--产业政策财政奖补资金兑现管理办法</w:t>
            </w:r>
          </w:p>
        </w:tc>
        <w:tc>
          <w:tcPr>
            <w:tcW w:w="4560" w:type="dxa"/>
            <w:shd w:val="clear" w:color="DDEBF7" w:fill="FFFFFF"/>
            <w:vAlign w:val="center"/>
          </w:tcPr>
          <w:p w14:paraId="0ED0F28A">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加强产业政策的统一执行和规范管理，提高财政奖补资金使用的导向性和时效性，进一步优化营商环境，加快推动我市经济社会高质量发展。</w:t>
            </w:r>
          </w:p>
        </w:tc>
        <w:tc>
          <w:tcPr>
            <w:tcW w:w="1418" w:type="dxa"/>
            <w:shd w:val="clear" w:color="DDEBF7" w:fill="FFFFFF"/>
            <w:vAlign w:val="center"/>
          </w:tcPr>
          <w:p w14:paraId="738D72AB">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市经信局、市财政局</w:t>
            </w:r>
          </w:p>
        </w:tc>
        <w:tc>
          <w:tcPr>
            <w:tcW w:w="6216" w:type="dxa"/>
            <w:shd w:val="clear" w:color="DDEBF7" w:fill="FFFFFF"/>
            <w:vAlign w:val="center"/>
          </w:tcPr>
          <w:p w14:paraId="16B016CE">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，财政共兑现奖补资金8.2亿元，资源执行率超额超前完成。</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梳理400多条产业政策形成最新产业政策清单，修订奖补资金兑现管理办法，试行跨年兑现机制；落实奖补资金刚性兑，两年半以来累计快速兑现超15亿元。</w:t>
            </w:r>
          </w:p>
        </w:tc>
      </w:tr>
      <w:tr w14:paraId="64CB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3551F2FC">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6</w:t>
            </w:r>
          </w:p>
        </w:tc>
        <w:tc>
          <w:tcPr>
            <w:tcW w:w="1979" w:type="dxa"/>
            <w:shd w:val="clear" w:color="auto" w:fill="FFFFFF"/>
            <w:vAlign w:val="center"/>
          </w:tcPr>
          <w:p w14:paraId="3DC209E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推动产业发展--加快推进工业经济高质量发展的若干政策意见</w:t>
            </w:r>
          </w:p>
        </w:tc>
        <w:tc>
          <w:tcPr>
            <w:tcW w:w="4560" w:type="dxa"/>
            <w:shd w:val="clear" w:color="auto" w:fill="FFFFFF"/>
            <w:vAlign w:val="center"/>
          </w:tcPr>
          <w:p w14:paraId="0C1FA98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落实新发展理念，加速高质量发展，整合优化增补我市工业经济有关措施，结合瑞安工业经济实际，制定政策意见。</w:t>
            </w:r>
          </w:p>
        </w:tc>
        <w:tc>
          <w:tcPr>
            <w:tcW w:w="1418" w:type="dxa"/>
            <w:shd w:val="clear" w:color="auto" w:fill="FFFFFF"/>
            <w:vAlign w:val="center"/>
          </w:tcPr>
          <w:p w14:paraId="74F0B170">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市经信局、市发改局</w:t>
            </w:r>
          </w:p>
        </w:tc>
        <w:tc>
          <w:tcPr>
            <w:tcW w:w="6216" w:type="dxa"/>
            <w:shd w:val="clear" w:color="auto" w:fill="FFFFFF"/>
            <w:vAlign w:val="center"/>
          </w:tcPr>
          <w:p w14:paraId="7EE9F28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出台《瑞安市进一步推动工业经济高质量发展若干政策》《瑞安市产业政策财政奖补资金兑现管理办法（修订）》</w:t>
            </w:r>
            <w:r>
              <w:rPr>
                <w:rFonts w:hint="eastAsia" w:ascii="Times New Roman" w:hAnsi="Times New Roman" w:cs="Times New Roman"/>
                <w:color w:val="000000"/>
                <w:kern w:val="0"/>
                <w:sz w:val="21"/>
                <w:szCs w:val="21"/>
                <w:lang w:eastAsia="zh-Hans" w:bidi="ar"/>
              </w:rPr>
              <w:t>等</w:t>
            </w:r>
            <w:r>
              <w:rPr>
                <w:rFonts w:ascii="Times New Roman" w:hAnsi="Times New Roman" w:cs="Times New Roman"/>
                <w:color w:val="000000"/>
                <w:kern w:val="0"/>
                <w:sz w:val="21"/>
                <w:szCs w:val="21"/>
                <w:lang w:bidi="ar"/>
              </w:rPr>
              <w:t>文件。</w:t>
            </w:r>
          </w:p>
        </w:tc>
      </w:tr>
      <w:tr w14:paraId="0FF6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06B861A0">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7</w:t>
            </w:r>
          </w:p>
        </w:tc>
        <w:tc>
          <w:tcPr>
            <w:tcW w:w="1979" w:type="dxa"/>
            <w:shd w:val="clear" w:color="DDEBF7" w:fill="FFFFFF"/>
            <w:vAlign w:val="center"/>
          </w:tcPr>
          <w:p w14:paraId="75105DB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推动产业发展--推进企业上市和金融发展的若干政策意见</w:t>
            </w:r>
          </w:p>
        </w:tc>
        <w:tc>
          <w:tcPr>
            <w:tcW w:w="4560" w:type="dxa"/>
            <w:shd w:val="clear" w:color="DDEBF7" w:fill="FFFFFF"/>
            <w:vAlign w:val="center"/>
          </w:tcPr>
          <w:p w14:paraId="35763A2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落实省“凤凰行动”计划，加大金融支持服务实体经济力度，整合优化增补我市企业上市和金融发展有关措施，制定鼓励企业积极上市和增强金融发展政策意见。</w:t>
            </w:r>
          </w:p>
        </w:tc>
        <w:tc>
          <w:tcPr>
            <w:tcW w:w="1418" w:type="dxa"/>
            <w:shd w:val="clear" w:color="DDEBF7" w:fill="FFFFFF"/>
            <w:vAlign w:val="center"/>
          </w:tcPr>
          <w:p w14:paraId="414E339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市金融工作服务中心、市自然资源和规划局、市财政局</w:t>
            </w:r>
          </w:p>
        </w:tc>
        <w:tc>
          <w:tcPr>
            <w:tcW w:w="6216" w:type="dxa"/>
            <w:shd w:val="clear" w:color="DDEBF7" w:fill="FFFFFF"/>
            <w:vAlign w:val="center"/>
          </w:tcPr>
          <w:p w14:paraId="48573C11">
            <w:pPr>
              <w:widowControl/>
              <w:spacing w:line="280" w:lineRule="exact"/>
              <w:textAlignment w:val="center"/>
              <w:rPr>
                <w:rFonts w:ascii="Times New Roman" w:hAnsi="Times New Roman" w:cs="Times New Roman"/>
                <w:color w:val="000000"/>
                <w:kern w:val="0"/>
                <w:sz w:val="21"/>
                <w:szCs w:val="21"/>
                <w:lang w:bidi="ar"/>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出台《瑞安市企业上市和金融发展扶持政策》《瑞安市农业农村农民扶持若干政策（修改）》《关于进一步助力市场主体减负纾困推动经济稳进提质的若干意见》等文件；兑现金融机构奖补资金913.5万元、企业上市奖励资金1亿元。</w:t>
            </w:r>
            <w:r>
              <w:rPr>
                <w:rFonts w:hint="eastAsia" w:ascii="仿宋_GB2312" w:hAnsi="等线" w:cs="宋体"/>
                <w:kern w:val="0"/>
                <w:sz w:val="21"/>
                <w:szCs w:val="21"/>
              </w:rPr>
              <w:t>②</w:t>
            </w:r>
            <w:r>
              <w:rPr>
                <w:rFonts w:hint="eastAsia" w:ascii="仿宋_GB2312" w:hAnsi="等线" w:cs="宋体"/>
                <w:kern w:val="0"/>
                <w:sz w:val="21"/>
                <w:szCs w:val="21"/>
                <w:lang w:eastAsia="zh-Hans"/>
              </w:rPr>
              <w:t>截至</w:t>
            </w:r>
            <w:r>
              <w:rPr>
                <w:rFonts w:ascii="仿宋_GB2312" w:hAnsi="等线" w:cs="宋体"/>
                <w:kern w:val="0"/>
                <w:sz w:val="21"/>
                <w:szCs w:val="21"/>
                <w:lang w:eastAsia="zh-Hans"/>
              </w:rPr>
              <w:t>2023</w:t>
            </w:r>
            <w:r>
              <w:rPr>
                <w:rFonts w:hint="eastAsia" w:ascii="仿宋_GB2312" w:hAnsi="等线" w:cs="宋体"/>
                <w:kern w:val="0"/>
                <w:sz w:val="21"/>
                <w:szCs w:val="21"/>
                <w:lang w:eastAsia="zh-Hans"/>
              </w:rPr>
              <w:t>年</w:t>
            </w:r>
            <w:r>
              <w:rPr>
                <w:rFonts w:ascii="仿宋_GB2312" w:hAnsi="等线" w:cs="宋体"/>
                <w:kern w:val="0"/>
                <w:sz w:val="21"/>
                <w:szCs w:val="21"/>
                <w:lang w:eastAsia="zh-Hans"/>
              </w:rPr>
              <w:t>6</w:t>
            </w:r>
            <w:r>
              <w:rPr>
                <w:rFonts w:hint="eastAsia" w:ascii="仿宋_GB2312" w:hAnsi="等线" w:cs="宋体"/>
                <w:kern w:val="0"/>
                <w:sz w:val="21"/>
                <w:szCs w:val="21"/>
                <w:lang w:eastAsia="zh-Hans"/>
              </w:rPr>
              <w:t>月</w:t>
            </w:r>
            <w:r>
              <w:rPr>
                <w:rFonts w:ascii="仿宋_GB2312" w:hAnsi="等线" w:cs="宋体"/>
                <w:kern w:val="0"/>
                <w:sz w:val="21"/>
                <w:szCs w:val="21"/>
                <w:lang w:eastAsia="zh-Hans"/>
              </w:rPr>
              <w:t>，</w:t>
            </w:r>
            <w:r>
              <w:rPr>
                <w:rFonts w:hint="eastAsia" w:ascii="仿宋_GB2312" w:hAnsi="等线" w:cs="宋体"/>
                <w:kern w:val="0"/>
                <w:sz w:val="21"/>
                <w:szCs w:val="21"/>
                <w:lang w:eastAsia="zh-Hans"/>
              </w:rPr>
              <w:t>拥有</w:t>
            </w:r>
            <w:r>
              <w:rPr>
                <w:rFonts w:ascii="Times New Roman" w:hAnsi="Times New Roman" w:cs="Times New Roman"/>
                <w:color w:val="000000"/>
                <w:kern w:val="0"/>
                <w:sz w:val="21"/>
                <w:szCs w:val="21"/>
                <w:lang w:bidi="ar"/>
              </w:rPr>
              <w:t>A股上市公司5家（其中过会2家），上市挂牌签约企业15家、新三板挂牌企业9家。</w:t>
            </w:r>
          </w:p>
        </w:tc>
      </w:tr>
      <w:tr w14:paraId="1260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500ED1CB">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8</w:t>
            </w:r>
          </w:p>
        </w:tc>
        <w:tc>
          <w:tcPr>
            <w:tcW w:w="1979" w:type="dxa"/>
            <w:shd w:val="clear" w:color="auto" w:fill="FFFFFF"/>
            <w:vAlign w:val="center"/>
          </w:tcPr>
          <w:p w14:paraId="5FA86E0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推动产业发展--加快质量强市建设的若干政策意见</w:t>
            </w:r>
          </w:p>
        </w:tc>
        <w:tc>
          <w:tcPr>
            <w:tcW w:w="4560" w:type="dxa"/>
            <w:shd w:val="clear" w:color="auto" w:fill="FFFFFF"/>
            <w:vAlign w:val="center"/>
          </w:tcPr>
          <w:p w14:paraId="0051FA8F">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落实新发展理念，加快质量强市示范市建设，整合优化增补我市质量提升、标准创新、品牌创建、知识产权等有关措施。</w:t>
            </w:r>
          </w:p>
        </w:tc>
        <w:tc>
          <w:tcPr>
            <w:tcW w:w="1418" w:type="dxa"/>
            <w:shd w:val="clear" w:color="auto" w:fill="FFFFFF"/>
            <w:vAlign w:val="center"/>
          </w:tcPr>
          <w:p w14:paraId="7ED39D7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市农业农村局、市市场监管局</w:t>
            </w:r>
          </w:p>
        </w:tc>
        <w:tc>
          <w:tcPr>
            <w:tcW w:w="6216" w:type="dxa"/>
            <w:shd w:val="clear" w:color="auto" w:fill="FFFFFF"/>
            <w:vAlign w:val="center"/>
          </w:tcPr>
          <w:p w14:paraId="71948D91">
            <w:pPr>
              <w:widowControl/>
              <w:spacing w:line="280" w:lineRule="exact"/>
              <w:textAlignment w:val="center"/>
              <w:rPr>
                <w:rFonts w:ascii="Times New Roman" w:hAnsi="Times New Roman" w:cs="Times New Roman"/>
                <w:color w:val="000000"/>
                <w:kern w:val="0"/>
                <w:sz w:val="21"/>
                <w:szCs w:val="21"/>
                <w:lang w:bidi="ar"/>
              </w:rPr>
            </w:pPr>
            <w:r>
              <w:rPr>
                <w:rFonts w:hint="eastAsia" w:ascii="仿宋_GB2312" w:hAnsi="等线" w:cs="宋体"/>
                <w:kern w:val="0"/>
                <w:sz w:val="21"/>
                <w:szCs w:val="21"/>
              </w:rPr>
              <w:t>①</w:t>
            </w: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每年初级农产品抽检合格率达到98.5%以上；纳入农产品质量安全追溯系统生产主体433家，应用率和追溯率都达到100%，未发生重大的农产品质量安全事故。</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两年半</w:t>
            </w:r>
            <w:r>
              <w:rPr>
                <w:rFonts w:hint="eastAsia" w:ascii="Times New Roman" w:hAnsi="Times New Roman" w:cs="Times New Roman"/>
                <w:color w:val="000000"/>
                <w:kern w:val="0"/>
                <w:sz w:val="21"/>
                <w:szCs w:val="21"/>
                <w:lang w:bidi="ar"/>
              </w:rPr>
              <w:t>来</w:t>
            </w:r>
            <w:r>
              <w:rPr>
                <w:rFonts w:ascii="Times New Roman" w:hAnsi="Times New Roman" w:cs="Times New Roman"/>
                <w:color w:val="000000"/>
                <w:kern w:val="0"/>
                <w:sz w:val="21"/>
                <w:szCs w:val="21"/>
                <w:lang w:bidi="ar"/>
              </w:rPr>
              <w:t>，新增“品字标”品牌认证102个，引导企业主导或参与国家和行业标准制订49项、主导制订“浙江制造”团体标准21项，培育温州市市长质量奖2家、温州质量管理创新奖1家、瑞安市市长质量奖10家、瑞安市市长质量奖提名奖5家。</w:t>
            </w:r>
          </w:p>
        </w:tc>
      </w:tr>
      <w:tr w14:paraId="577A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5D0330E8">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9</w:t>
            </w:r>
          </w:p>
        </w:tc>
        <w:tc>
          <w:tcPr>
            <w:tcW w:w="1979" w:type="dxa"/>
            <w:shd w:val="clear" w:color="DDEBF7" w:fill="FFFFFF"/>
            <w:vAlign w:val="center"/>
          </w:tcPr>
          <w:p w14:paraId="1CDFB34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推动产业发展--农业农村农民扶持若干政策意见</w:t>
            </w:r>
          </w:p>
        </w:tc>
        <w:tc>
          <w:tcPr>
            <w:tcW w:w="4560" w:type="dxa"/>
            <w:shd w:val="clear" w:color="DDEBF7" w:fill="FFFFFF"/>
            <w:vAlign w:val="center"/>
          </w:tcPr>
          <w:p w14:paraId="45AA6EA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加快乡村振兴战略的实施，全面深化农业供给侧结构性改革，夯实乡村振兴战略经济基础，巩固提升农业产业化水平，进一步推进我市现代农业发展，在我市涉农有关政策整合优化的基础上，制定“三农”扶持政策意见。</w:t>
            </w:r>
          </w:p>
        </w:tc>
        <w:tc>
          <w:tcPr>
            <w:tcW w:w="1418" w:type="dxa"/>
            <w:shd w:val="clear" w:color="DDEBF7" w:fill="FFFFFF"/>
            <w:vAlign w:val="center"/>
          </w:tcPr>
          <w:p w14:paraId="18C86072">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市农业农村局、市供销联社、市水利局</w:t>
            </w:r>
          </w:p>
        </w:tc>
        <w:tc>
          <w:tcPr>
            <w:tcW w:w="6216" w:type="dxa"/>
            <w:shd w:val="clear" w:color="DDEBF7" w:fill="FFFFFF"/>
            <w:vAlign w:val="center"/>
          </w:tcPr>
          <w:p w14:paraId="1143851E">
            <w:pPr>
              <w:widowControl/>
              <w:spacing w:line="24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出台两项政策文件，制定了规模种粮大户补贴、耕地地力保护补贴、政策性农业保险补助等60个大类96个细则条款，发放补助资金约5.75亿元，惠及农户及渔民51.3万人次，扶持农民专业合作社、农业企业等农业经营主体0.19万个次。</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建成“1+10”为农服务体系，精准对接农户需求，开展特色化农事服务。推进“云江丰味”农产品区域公用品牌建设，建成旗舰店4家，授权企业达50家。</w:t>
            </w:r>
          </w:p>
        </w:tc>
      </w:tr>
      <w:tr w14:paraId="6605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226F36C2">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10</w:t>
            </w:r>
          </w:p>
        </w:tc>
        <w:tc>
          <w:tcPr>
            <w:tcW w:w="1979" w:type="dxa"/>
            <w:shd w:val="clear" w:color="auto" w:fill="FFFFFF"/>
            <w:vAlign w:val="center"/>
          </w:tcPr>
          <w:p w14:paraId="4CDD4C6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推动产业发展--加快现代服务业高质量发展的若干政策意见</w:t>
            </w:r>
          </w:p>
        </w:tc>
        <w:tc>
          <w:tcPr>
            <w:tcW w:w="4560" w:type="dxa"/>
            <w:shd w:val="clear" w:color="auto" w:fill="FFFFFF"/>
            <w:vAlign w:val="center"/>
          </w:tcPr>
          <w:p w14:paraId="51289A0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加快构建我市现代服务业体系，提高重点服务业发展能级，促进电子商务和商贸流通业等领域高质量发展。</w:t>
            </w:r>
          </w:p>
        </w:tc>
        <w:tc>
          <w:tcPr>
            <w:tcW w:w="1418" w:type="dxa"/>
            <w:shd w:val="clear" w:color="auto" w:fill="FFFFFF"/>
            <w:vAlign w:val="center"/>
          </w:tcPr>
          <w:p w14:paraId="52DEC2B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市商务局、市发改局（服务业专班）</w:t>
            </w:r>
          </w:p>
        </w:tc>
        <w:tc>
          <w:tcPr>
            <w:tcW w:w="6216" w:type="dxa"/>
            <w:shd w:val="clear" w:color="auto" w:fill="FFFFFF"/>
            <w:vAlign w:val="center"/>
          </w:tcPr>
          <w:p w14:paraId="2DFF2F23">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对涉及商贸流通业政策进行了修订。</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构建服务业</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6+2</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体系，打造瑞安市服务业“两带五区多点”空间格局，侨贸物流创新发展区和数贸金融港创新发展区成功入选省级服务业创新发展区。</w:t>
            </w:r>
          </w:p>
        </w:tc>
      </w:tr>
      <w:tr w14:paraId="50EB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4659CD55">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11</w:t>
            </w:r>
          </w:p>
        </w:tc>
        <w:tc>
          <w:tcPr>
            <w:tcW w:w="1979" w:type="dxa"/>
            <w:shd w:val="clear" w:color="DDEBF7" w:fill="FFFFFF"/>
            <w:vAlign w:val="center"/>
          </w:tcPr>
          <w:p w14:paraId="03A3595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推动产业发展--支持新时期就业创业工作的若干政策意见</w:t>
            </w:r>
          </w:p>
        </w:tc>
        <w:tc>
          <w:tcPr>
            <w:tcW w:w="4560" w:type="dxa"/>
            <w:shd w:val="clear" w:color="DDEBF7" w:fill="FFFFFF"/>
            <w:vAlign w:val="center"/>
          </w:tcPr>
          <w:p w14:paraId="1669A98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推动更高质量就业创业，整合、优化、增补我市支持新时期就业创业工作有关措施，打造瑞安优质的就业待遇和稳定的创业环境，促进经济稳步发展。</w:t>
            </w:r>
          </w:p>
        </w:tc>
        <w:tc>
          <w:tcPr>
            <w:tcW w:w="1418" w:type="dxa"/>
            <w:shd w:val="clear" w:color="DDEBF7" w:fill="FFFFFF"/>
            <w:vAlign w:val="center"/>
          </w:tcPr>
          <w:p w14:paraId="124234A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市委组织部（市委人才办）、市人社局</w:t>
            </w:r>
          </w:p>
        </w:tc>
        <w:tc>
          <w:tcPr>
            <w:tcW w:w="6216" w:type="dxa"/>
            <w:shd w:val="clear" w:color="DDEBF7" w:fill="FFFFFF"/>
            <w:vAlign w:val="center"/>
          </w:tcPr>
          <w:p w14:paraId="524A185B">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出台《瑞安市职业技能培训补贴管理办法》《瑞安市创业担保贷款实施办法》《瑞安市支持就业创业工作的若干政策意见》等政策文件；进一步规范职业技能培训补贴申领管理，细化完善了社保补贴、失业保险稳岗补贴、创业补贴、创业带动就业补贴、稳定就业补助、就业见习、减税降费等一系列就业创业政策举措，切实筑牢稳就业的坚实基础。</w:t>
            </w:r>
          </w:p>
        </w:tc>
      </w:tr>
      <w:tr w14:paraId="1170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4C74CAF3">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12</w:t>
            </w:r>
          </w:p>
        </w:tc>
        <w:tc>
          <w:tcPr>
            <w:tcW w:w="1979" w:type="dxa"/>
            <w:shd w:val="clear" w:color="auto" w:fill="FFFFFF"/>
            <w:vAlign w:val="center"/>
          </w:tcPr>
          <w:p w14:paraId="76FC12F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推动产业发展--推动先进制造业和现代服务业深度融合发展</w:t>
            </w:r>
          </w:p>
        </w:tc>
        <w:tc>
          <w:tcPr>
            <w:tcW w:w="4560" w:type="dxa"/>
            <w:shd w:val="clear" w:color="auto" w:fill="FFFFFF"/>
            <w:vAlign w:val="center"/>
          </w:tcPr>
          <w:p w14:paraId="1F04C3A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探索装备制造业、消费品工业和服务业、汽车制造和服务全链条、制造业和互联网、设计研发、现代物流、金融服务等重点行业重点领域深度融合试点，加强土地、金融、数据、人才等方面政策创新和扶持，培育两业融合多元主体和融合发展新业态新模式。</w:t>
            </w:r>
          </w:p>
        </w:tc>
        <w:tc>
          <w:tcPr>
            <w:tcW w:w="1418" w:type="dxa"/>
            <w:shd w:val="clear" w:color="auto" w:fill="FFFFFF"/>
            <w:vAlign w:val="center"/>
          </w:tcPr>
          <w:p w14:paraId="7CBD5C3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市经信局、市人社局、市发改局（国民经济综合科）</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市金融工作服务中心</w:t>
            </w:r>
          </w:p>
        </w:tc>
        <w:tc>
          <w:tcPr>
            <w:tcW w:w="6216" w:type="dxa"/>
            <w:shd w:val="clear" w:color="auto" w:fill="FFFFFF"/>
            <w:vAlign w:val="center"/>
          </w:tcPr>
          <w:p w14:paraId="5C5A9046">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聚焦四大主导产业，建设一批未来工厂、未来企业、未来园区，打造一批工业互联网平台、科技创新平台、产城融合平台</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推动汽车零部件制造与产品后市场服务融合发展模式，推进新材料供应链融合集聚发展模式，构建机械装备“工业互联网+大数据增值”融合模式，强化时尚轻工“+互联网”、“+设计”、“+电商”等多类型融合模式。</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创新推出“先租后让”工业用地项目融资，有效破解融资难题，已为“先租后让”工业用地项目提供企业授信超5亿元。</w:t>
            </w:r>
            <w:r>
              <w:rPr>
                <w:rFonts w:hint="eastAsia" w:ascii="仿宋_GB2312" w:hAnsi="等线" w:cs="宋体"/>
                <w:kern w:val="0"/>
                <w:sz w:val="21"/>
                <w:szCs w:val="21"/>
              </w:rPr>
              <w:t>③</w:t>
            </w:r>
            <w:r>
              <w:rPr>
                <w:rFonts w:ascii="Times New Roman" w:hAnsi="Times New Roman" w:cs="Times New Roman"/>
                <w:color w:val="000000"/>
                <w:kern w:val="0"/>
                <w:sz w:val="21"/>
                <w:szCs w:val="21"/>
                <w:lang w:bidi="ar"/>
              </w:rPr>
              <w:t>出台《关于开展瑞安市面向全球招引高校毕业生“510+行动计划”的方案》政策，迭代升级10条组合政策。</w:t>
            </w:r>
          </w:p>
        </w:tc>
      </w:tr>
      <w:tr w14:paraId="6851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38991E23">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13</w:t>
            </w:r>
          </w:p>
        </w:tc>
        <w:tc>
          <w:tcPr>
            <w:tcW w:w="1979" w:type="dxa"/>
            <w:shd w:val="clear" w:color="DDEBF7" w:fill="FFFFFF"/>
            <w:vAlign w:val="center"/>
          </w:tcPr>
          <w:p w14:paraId="5E8920FB">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融入新发展格局--全面促进消费</w:t>
            </w:r>
          </w:p>
        </w:tc>
        <w:tc>
          <w:tcPr>
            <w:tcW w:w="4560" w:type="dxa"/>
            <w:shd w:val="clear" w:color="DDEBF7" w:fill="FFFFFF"/>
            <w:vAlign w:val="center"/>
          </w:tcPr>
          <w:p w14:paraId="4EB96450">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滚动实施提振消费新政，充分激发消费潜力。加快升级信息、时尚、商贸等实物消费，提质扩容旅游、文化、健康、养老等服务消费。建立完善的消费权益维护体系，落实和完善带薪休假制度，完善消费金融体系。</w:t>
            </w:r>
          </w:p>
        </w:tc>
        <w:tc>
          <w:tcPr>
            <w:tcW w:w="1418" w:type="dxa"/>
            <w:shd w:val="clear" w:color="DDEBF7" w:fill="FFFFFF"/>
            <w:vAlign w:val="center"/>
          </w:tcPr>
          <w:p w14:paraId="739F911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市市场监管局、市文化和广电旅游体育局、市商务局、市发改局（服务业专班）</w:t>
            </w:r>
          </w:p>
        </w:tc>
        <w:tc>
          <w:tcPr>
            <w:tcW w:w="6216" w:type="dxa"/>
            <w:shd w:val="clear" w:color="DDEBF7" w:fill="FFFFFF"/>
            <w:vAlign w:val="center"/>
          </w:tcPr>
          <w:p w14:paraId="7FCDC6A8">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依托政府统一投诉举报平台(12345市长热线)和行政执法体系，大力构建多方快速处理机制，畅通消费者诉求表达、矛盾化解和权益维护渠道，推动消费维权便利化。</w:t>
            </w: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，市场监管部门共受理消费投诉举报32712件，其中投诉件22559件，举报10153件，处置率100%。</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21-22年秋季举办金秋购物节系列活动，发放汽车、商超、住餐、家电等各类消费券提振消费信心，活跃市场经济。</w:t>
            </w:r>
          </w:p>
        </w:tc>
      </w:tr>
      <w:tr w14:paraId="0291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73BC40F5">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14</w:t>
            </w:r>
          </w:p>
        </w:tc>
        <w:tc>
          <w:tcPr>
            <w:tcW w:w="1979" w:type="dxa"/>
            <w:shd w:val="clear" w:color="auto" w:fill="FFFFFF"/>
            <w:vAlign w:val="center"/>
          </w:tcPr>
          <w:p w14:paraId="1763587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融入新发展格局--推进现代供应链体系建设</w:t>
            </w:r>
          </w:p>
        </w:tc>
        <w:tc>
          <w:tcPr>
            <w:tcW w:w="4560" w:type="dxa"/>
            <w:shd w:val="clear" w:color="auto" w:fill="FFFFFF"/>
            <w:vAlign w:val="center"/>
          </w:tcPr>
          <w:p w14:paraId="6ED690C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围绕智能制造、智慧流通等重点领域，扶持培育一批全产业链协同的供应链企业。加大新模式推广应用，完善供应链技术支撑体系，强化供应链标准化建设和完善重要节点设施布局，积极稳妥发展供应链金融。</w:t>
            </w:r>
          </w:p>
        </w:tc>
        <w:tc>
          <w:tcPr>
            <w:tcW w:w="1418" w:type="dxa"/>
            <w:shd w:val="clear" w:color="auto" w:fill="FFFFFF"/>
            <w:vAlign w:val="center"/>
          </w:tcPr>
          <w:p w14:paraId="27FC3F1A">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市经信局、市商务局</w:t>
            </w:r>
            <w:r>
              <w:rPr>
                <w:rFonts w:hint="eastAsia" w:ascii="Times New Roman" w:hAnsi="Times New Roman" w:cs="Times New Roman"/>
                <w:color w:val="000000"/>
                <w:kern w:val="0"/>
                <w:sz w:val="21"/>
                <w:szCs w:val="21"/>
                <w:lang w:bidi="ar"/>
              </w:rPr>
              <w:t>、人行瑞安支行、</w:t>
            </w:r>
            <w:r>
              <w:rPr>
                <w:rFonts w:ascii="Times New Roman" w:hAnsi="Times New Roman" w:cs="Times New Roman"/>
                <w:color w:val="000000"/>
                <w:kern w:val="0"/>
                <w:sz w:val="21"/>
                <w:szCs w:val="21"/>
                <w:lang w:bidi="ar"/>
              </w:rPr>
              <w:t>市金融工作服务中心</w:t>
            </w:r>
          </w:p>
        </w:tc>
        <w:tc>
          <w:tcPr>
            <w:tcW w:w="6216" w:type="dxa"/>
            <w:shd w:val="clear" w:color="auto" w:fill="FFFFFF"/>
            <w:vAlign w:val="center"/>
          </w:tcPr>
          <w:p w14:paraId="42932F81">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积极发展中征线上应收账款融资等供应链金融模式，拓宽中小企业融资渠道</w:t>
            </w:r>
            <w:r>
              <w:rPr>
                <w:rFonts w:hint="eastAsia" w:ascii="Times New Roman" w:hAnsi="Times New Roman" w:cs="Times New Roman"/>
                <w:color w:val="000000"/>
                <w:kern w:val="0"/>
                <w:sz w:val="21"/>
                <w:szCs w:val="21"/>
                <w:lang w:bidi="ar"/>
              </w:rPr>
              <w:t>。</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获得省级供应链试点城市二档激励，制定专项激励资金使用分配方案。</w:t>
            </w:r>
          </w:p>
        </w:tc>
      </w:tr>
      <w:tr w14:paraId="5B10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3519AD58">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15</w:t>
            </w:r>
          </w:p>
        </w:tc>
        <w:tc>
          <w:tcPr>
            <w:tcW w:w="1979" w:type="dxa"/>
            <w:shd w:val="clear" w:color="DDEBF7" w:fill="FFFFFF"/>
            <w:vAlign w:val="center"/>
          </w:tcPr>
          <w:p w14:paraId="659A711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融入新发展格局--外贸高质量发展政策体系</w:t>
            </w:r>
          </w:p>
        </w:tc>
        <w:tc>
          <w:tcPr>
            <w:tcW w:w="4560" w:type="dxa"/>
            <w:shd w:val="clear" w:color="DDEBF7" w:fill="FFFFFF"/>
            <w:vAlign w:val="center"/>
          </w:tcPr>
          <w:p w14:paraId="6D63583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精准谋划稳外贸一系列政策举措，推动外贸进出口结构持续优化。引导企业通过线上线下展会、跨境电商平台等途径拓展国际市场。</w:t>
            </w:r>
          </w:p>
        </w:tc>
        <w:tc>
          <w:tcPr>
            <w:tcW w:w="1418" w:type="dxa"/>
            <w:shd w:val="clear" w:color="DDEBF7" w:fill="FFFFFF"/>
            <w:vAlign w:val="center"/>
          </w:tcPr>
          <w:p w14:paraId="2088170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市商务局</w:t>
            </w:r>
          </w:p>
        </w:tc>
        <w:tc>
          <w:tcPr>
            <w:tcW w:w="6216" w:type="dxa"/>
            <w:shd w:val="clear" w:color="DDEBF7" w:fill="FFFFFF"/>
            <w:vAlign w:val="center"/>
          </w:tcPr>
          <w:p w14:paraId="03F8A05B">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制定出台促进开型经济政策和外贸新业态政策，对参加线上线下涉外展会、企业自主品牌建设和出口信用保险等予以支持，完善建设数字外贸平台，助企精准抢订单。</w:t>
            </w:r>
            <w:r>
              <w:rPr>
                <w:rFonts w:hint="eastAsia" w:ascii="Times New Roman" w:hAnsi="Times New Roman" w:cs="Times New Roman"/>
                <w:color w:val="000000"/>
                <w:kern w:val="0"/>
                <w:sz w:val="21"/>
                <w:szCs w:val="21"/>
                <w:lang w:bidi="ar"/>
              </w:rPr>
              <w:t>②2021年至2023年6月，新增入驻企业162家，目前已达258家企业，累计推荐买家数32756个。</w:t>
            </w:r>
          </w:p>
        </w:tc>
      </w:tr>
      <w:tr w14:paraId="279E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7159357E">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16</w:t>
            </w:r>
          </w:p>
        </w:tc>
        <w:tc>
          <w:tcPr>
            <w:tcW w:w="1979" w:type="dxa"/>
            <w:shd w:val="clear" w:color="auto" w:fill="FFFFFF"/>
            <w:vAlign w:val="center"/>
          </w:tcPr>
          <w:p w14:paraId="178CF110">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城乡统筹发展--农村一二三产业融合发展政策</w:t>
            </w:r>
          </w:p>
        </w:tc>
        <w:tc>
          <w:tcPr>
            <w:tcW w:w="4560" w:type="dxa"/>
            <w:shd w:val="clear" w:color="auto" w:fill="FFFFFF"/>
            <w:vAlign w:val="center"/>
          </w:tcPr>
          <w:p w14:paraId="51632AF2">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创建和提升一批农村</w:t>
            </w:r>
            <w:r>
              <w:rPr>
                <w:rFonts w:hint="eastAsia" w:ascii="Times New Roman" w:hAnsi="Times New Roman" w:cs="Times New Roman"/>
                <w:color w:val="000000"/>
                <w:kern w:val="0"/>
                <w:sz w:val="21"/>
                <w:szCs w:val="21"/>
                <w:lang w:eastAsia="zh-CN" w:bidi="ar"/>
              </w:rPr>
              <w:t>一二三产业融合</w:t>
            </w:r>
            <w:r>
              <w:rPr>
                <w:rFonts w:ascii="Times New Roman" w:hAnsi="Times New Roman" w:cs="Times New Roman"/>
                <w:color w:val="000000"/>
                <w:kern w:val="0"/>
                <w:sz w:val="21"/>
                <w:szCs w:val="21"/>
                <w:lang w:bidi="ar"/>
              </w:rPr>
              <w:t>发展的产业平台，以农民分享产业链增值收益为核心，建设多业态打造、多主体参与、多机制联结、多要素发力、多模式推进的融合发展体系。</w:t>
            </w:r>
          </w:p>
        </w:tc>
        <w:tc>
          <w:tcPr>
            <w:tcW w:w="1418" w:type="dxa"/>
            <w:shd w:val="clear" w:color="auto" w:fill="FFFFFF"/>
            <w:vAlign w:val="center"/>
          </w:tcPr>
          <w:p w14:paraId="7C7A684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市农业农村局</w:t>
            </w:r>
          </w:p>
        </w:tc>
        <w:tc>
          <w:tcPr>
            <w:tcW w:w="6216" w:type="dxa"/>
            <w:shd w:val="clear" w:color="auto" w:fill="FFFFFF"/>
            <w:vAlign w:val="center"/>
          </w:tcPr>
          <w:p w14:paraId="05B4309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完成滨海十万亩都市田园新天地核心区一期、二期，农业文化遗产中心、中塘河三期工程竣工预验收，成功打造滨海现代都市农业公园。</w:t>
            </w:r>
          </w:p>
        </w:tc>
      </w:tr>
      <w:tr w14:paraId="58DF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094E7364">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17</w:t>
            </w:r>
          </w:p>
        </w:tc>
        <w:tc>
          <w:tcPr>
            <w:tcW w:w="1979" w:type="dxa"/>
            <w:shd w:val="clear" w:color="DDEBF7" w:fill="FFFFFF"/>
            <w:vAlign w:val="center"/>
          </w:tcPr>
          <w:p w14:paraId="74F056BB">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基础设施建设--完善重大交通基础设施投融资政策</w:t>
            </w:r>
          </w:p>
        </w:tc>
        <w:tc>
          <w:tcPr>
            <w:tcW w:w="4560" w:type="dxa"/>
            <w:shd w:val="clear" w:color="DDEBF7" w:fill="FFFFFF"/>
            <w:vAlign w:val="center"/>
          </w:tcPr>
          <w:p w14:paraId="036B625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探索推进“项目+资源”投融资改革创新试点。落实铁路土地综合开发、征迁工作及费用包干等政策。厘清政企权责边界，严守政府债务底线，建立以“财政资金引导、国有企业引领、社会资本联动”的多层次、多元化、多渠道投融资通道。</w:t>
            </w:r>
          </w:p>
        </w:tc>
        <w:tc>
          <w:tcPr>
            <w:tcW w:w="1418" w:type="dxa"/>
            <w:shd w:val="clear" w:color="DDEBF7" w:fill="FFFFFF"/>
            <w:vAlign w:val="center"/>
          </w:tcPr>
          <w:p w14:paraId="1A8B956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市交通运输局、市财政局、市发改局（投资专班）</w:t>
            </w:r>
          </w:p>
        </w:tc>
        <w:tc>
          <w:tcPr>
            <w:tcW w:w="6216" w:type="dxa"/>
            <w:shd w:val="clear" w:color="DDEBF7" w:fill="FFFFFF"/>
            <w:vAlign w:val="center"/>
          </w:tcPr>
          <w:p w14:paraId="018804FB">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甬台温高速公路复线瑞安联络线项目总投资1893400万元，项目资本金占总投资的30%，项目其余建设资金由项目单位通过融资筹措解决。</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进一步深化国有企业改革，完善国企投融资改革相关政策文件。目前已初步形成关于规范对市属国有企业资金拨付管理机制（试行）的通知、关于建立国企承接政府支出事项管理机制（试行）的通知等配套性文件；梳理国有资产和资源，注入到平台公司。</w:t>
            </w:r>
          </w:p>
        </w:tc>
      </w:tr>
      <w:tr w14:paraId="3FCC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329F127A">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18</w:t>
            </w:r>
          </w:p>
        </w:tc>
        <w:tc>
          <w:tcPr>
            <w:tcW w:w="1979" w:type="dxa"/>
            <w:shd w:val="clear" w:color="auto" w:fill="FFFFFF"/>
            <w:vAlign w:val="center"/>
          </w:tcPr>
          <w:p w14:paraId="61867F4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基础设施建设--支持新型基础设施建设</w:t>
            </w:r>
          </w:p>
        </w:tc>
        <w:tc>
          <w:tcPr>
            <w:tcW w:w="4560" w:type="dxa"/>
            <w:shd w:val="clear" w:color="auto" w:fill="FFFFFF"/>
            <w:vAlign w:val="center"/>
          </w:tcPr>
          <w:p w14:paraId="61F465C2">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围绕数字基础设施、智能化基础设施和创新型基础设施建设，研究能耗、用地、资金等支持政策。支持新型基础设施领域企业引进和培育技术骨干人才。</w:t>
            </w:r>
          </w:p>
        </w:tc>
        <w:tc>
          <w:tcPr>
            <w:tcW w:w="1418" w:type="dxa"/>
            <w:shd w:val="clear" w:color="auto" w:fill="FFFFFF"/>
            <w:vAlign w:val="center"/>
          </w:tcPr>
          <w:p w14:paraId="6713864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市自然资源和规划局、市财政局、市发改局</w:t>
            </w:r>
            <w:r>
              <w:rPr>
                <w:rFonts w:hint="eastAsia" w:ascii="Times New Roman" w:hAnsi="Times New Roman" w:cs="Times New Roman"/>
                <w:color w:val="000000"/>
                <w:kern w:val="0"/>
                <w:sz w:val="21"/>
                <w:szCs w:val="21"/>
                <w:lang w:bidi="ar"/>
              </w:rPr>
              <w:t>、市经信局</w:t>
            </w:r>
          </w:p>
        </w:tc>
        <w:tc>
          <w:tcPr>
            <w:tcW w:w="6216" w:type="dxa"/>
            <w:shd w:val="clear" w:color="auto" w:fill="FFFFFF"/>
            <w:vAlign w:val="center"/>
          </w:tcPr>
          <w:p w14:paraId="3DECECF4">
            <w:pPr>
              <w:widowControl/>
              <w:spacing w:line="28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出台《瑞安市进一步推动工业经济高质量发展若干政策》，在企业创新方面，对创建省级、温州市级“数字化车间/智能工厂”、列为省“未来工厂”的企业给予定额类补助。在数字经济培育方面，给予上云企业，信息化投入、营业收入或软件产品营业收入达到一定数额的企业相应奖补等。对于5G基站等数字基础设施建设瑞安目前遵照省、温州市相关政策执行。</w:t>
            </w:r>
          </w:p>
        </w:tc>
      </w:tr>
      <w:tr w14:paraId="02FC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07825241">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19</w:t>
            </w:r>
          </w:p>
        </w:tc>
        <w:tc>
          <w:tcPr>
            <w:tcW w:w="1979" w:type="dxa"/>
            <w:shd w:val="clear" w:color="DDEBF7" w:fill="FFFFFF"/>
            <w:vAlign w:val="center"/>
          </w:tcPr>
          <w:p w14:paraId="27C81FF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民生福祉--文化产业高质量发展政策</w:t>
            </w:r>
          </w:p>
        </w:tc>
        <w:tc>
          <w:tcPr>
            <w:tcW w:w="4560" w:type="dxa"/>
            <w:shd w:val="clear" w:color="DDEBF7" w:fill="FFFFFF"/>
            <w:vAlign w:val="center"/>
          </w:tcPr>
          <w:p w14:paraId="4C4E850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围绕文化产业项目建设、产业园区（基地）创建、文化企业培育、公共服务平台搭建、品牌打造、人才培养等方面，制定出台中小微企业扶持、数字文化产业扶持、科技融合扶持、金融支持等政策。</w:t>
            </w:r>
          </w:p>
        </w:tc>
        <w:tc>
          <w:tcPr>
            <w:tcW w:w="1418" w:type="dxa"/>
            <w:shd w:val="clear" w:color="DDEBF7" w:fill="FFFFFF"/>
            <w:vAlign w:val="center"/>
          </w:tcPr>
          <w:p w14:paraId="64A6B67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市委宣传部</w:t>
            </w:r>
          </w:p>
        </w:tc>
        <w:tc>
          <w:tcPr>
            <w:tcW w:w="6216" w:type="dxa"/>
            <w:shd w:val="clear" w:color="DDEBF7" w:fill="FFFFFF"/>
            <w:vAlign w:val="center"/>
          </w:tcPr>
          <w:p w14:paraId="56F03012">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推出“惠文E贷”数字应用，为文创企业提供便捷、优惠、一站式的信贷服务；</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出台《关于试行“文创贷”贷款产品的通知》政策，对文创企业信贷全流程进行了规范、完善和细化；</w:t>
            </w:r>
            <w:r>
              <w:rPr>
                <w:rFonts w:hint="eastAsia" w:ascii="仿宋_GB2312" w:hAnsi="等线" w:cs="宋体"/>
                <w:kern w:val="0"/>
                <w:sz w:val="21"/>
                <w:szCs w:val="21"/>
              </w:rPr>
              <w:t>③</w:t>
            </w:r>
            <w:r>
              <w:rPr>
                <w:rFonts w:ascii="Times New Roman" w:hAnsi="Times New Roman" w:cs="Times New Roman"/>
                <w:color w:val="000000"/>
                <w:kern w:val="0"/>
                <w:sz w:val="21"/>
                <w:szCs w:val="21"/>
                <w:lang w:bidi="ar"/>
              </w:rPr>
              <w:t>推进《文化产业发展专项资金使用管理实施细则》、《关于加快文化产业发展的若干扶持政策》</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《关于加强文化人才培养引进的实施办法》等文件修订</w:t>
            </w:r>
            <w:r>
              <w:rPr>
                <w:rFonts w:ascii="Times New Roman" w:hAnsi="Times New Roman" w:cs="Times New Roman"/>
                <w:color w:val="000000"/>
                <w:kern w:val="0"/>
                <w:szCs w:val="21"/>
                <w:lang w:bidi="ar"/>
              </w:rPr>
              <w:t>。</w:t>
            </w:r>
          </w:p>
        </w:tc>
      </w:tr>
      <w:tr w14:paraId="5BFF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61C9C77F">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20</w:t>
            </w:r>
          </w:p>
        </w:tc>
        <w:tc>
          <w:tcPr>
            <w:tcW w:w="1979" w:type="dxa"/>
            <w:shd w:val="clear" w:color="auto" w:fill="FFFFFF"/>
            <w:vAlign w:val="center"/>
          </w:tcPr>
          <w:p w14:paraId="345C183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民生福祉--循环经济发展政策</w:t>
            </w:r>
          </w:p>
        </w:tc>
        <w:tc>
          <w:tcPr>
            <w:tcW w:w="4560" w:type="dxa"/>
            <w:shd w:val="clear" w:color="auto" w:fill="FFFFFF"/>
            <w:vAlign w:val="center"/>
          </w:tcPr>
          <w:p w14:paraId="3AA1896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围绕建立资源循环利用基地，促进固废资源利用规模化和产业化，加强固废处置第三方服务企业培育赋能等方面，加大政策、资金、土地、人才等扶持力度。</w:t>
            </w:r>
          </w:p>
        </w:tc>
        <w:tc>
          <w:tcPr>
            <w:tcW w:w="1418" w:type="dxa"/>
            <w:shd w:val="clear" w:color="auto" w:fill="FFFFFF"/>
            <w:vAlign w:val="center"/>
          </w:tcPr>
          <w:p w14:paraId="14C35D9A">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市发改局（能源科）</w:t>
            </w:r>
          </w:p>
        </w:tc>
        <w:tc>
          <w:tcPr>
            <w:tcW w:w="6216" w:type="dxa"/>
            <w:shd w:val="clear" w:color="auto" w:fill="FFFFFF"/>
            <w:vAlign w:val="center"/>
          </w:tcPr>
          <w:p w14:paraId="09ED2B4E">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编制印发《瑞安市综合性资源利用发展规划（2020-2025年）》，于2022年通过省级资源循环利用示范城市试点终期验收；</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固废分类收运全面推行，集中建有生活垃圾焚烧厂、餐厨垃圾资源化利用项目、垃圾填埋场、飞灰填埋场、江北污水处理厂等各类废弃物处置终端设施，垃圾分类收集基本实现全覆盖，固废无害化处理率达到100%。</w:t>
            </w:r>
          </w:p>
        </w:tc>
      </w:tr>
      <w:tr w14:paraId="4F75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0862B10F">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21</w:t>
            </w:r>
          </w:p>
        </w:tc>
        <w:tc>
          <w:tcPr>
            <w:tcW w:w="1979" w:type="dxa"/>
            <w:shd w:val="clear" w:color="DDEBF7" w:fill="FFFFFF"/>
            <w:vAlign w:val="center"/>
          </w:tcPr>
          <w:p w14:paraId="11BAB8A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民生福祉--推进医养康养结合政策</w:t>
            </w:r>
          </w:p>
        </w:tc>
        <w:tc>
          <w:tcPr>
            <w:tcW w:w="4560" w:type="dxa"/>
            <w:shd w:val="clear" w:color="DDEBF7" w:fill="FFFFFF"/>
            <w:vAlign w:val="center"/>
          </w:tcPr>
          <w:p w14:paraId="5769F34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围绕医疗卫生与养老服务、康复护理融合发展，加大社会力量等方面政策支持力度，加强康复护理、健康管理等专业人才培养，促进医养康养商业保险发展。</w:t>
            </w:r>
          </w:p>
        </w:tc>
        <w:tc>
          <w:tcPr>
            <w:tcW w:w="1418" w:type="dxa"/>
            <w:shd w:val="clear" w:color="DDEBF7" w:fill="FFFFFF"/>
            <w:vAlign w:val="center"/>
          </w:tcPr>
          <w:p w14:paraId="48412B3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市卫健局</w:t>
            </w:r>
          </w:p>
        </w:tc>
        <w:tc>
          <w:tcPr>
            <w:tcW w:w="6216" w:type="dxa"/>
            <w:shd w:val="clear" w:color="DDEBF7" w:fill="FFFFFF"/>
            <w:vAlign w:val="center"/>
          </w:tcPr>
          <w:p w14:paraId="337597D1">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加强康复护理床位建设，</w:t>
            </w:r>
            <w:r>
              <w:rPr>
                <w:rFonts w:hint="eastAsia" w:ascii="Times New Roman" w:hAnsi="Times New Roman" w:cs="Times New Roman"/>
                <w:color w:val="000000"/>
                <w:kern w:val="0"/>
                <w:sz w:val="21"/>
                <w:szCs w:val="21"/>
                <w:lang w:eastAsia="zh-Hans" w:bidi="ar"/>
              </w:rPr>
              <w:t>截至</w:t>
            </w:r>
            <w:r>
              <w:rPr>
                <w:rFonts w:ascii="Times New Roman" w:hAnsi="Times New Roman" w:cs="Times New Roman"/>
                <w:color w:val="000000"/>
                <w:kern w:val="0"/>
                <w:sz w:val="21"/>
                <w:szCs w:val="21"/>
                <w:lang w:eastAsia="zh-Hans" w:bidi="ar"/>
              </w:rPr>
              <w:t>2023</w:t>
            </w:r>
            <w:r>
              <w:rPr>
                <w:rFonts w:hint="eastAsia" w:ascii="Times New Roman" w:hAnsi="Times New Roman" w:cs="Times New Roman"/>
                <w:color w:val="000000"/>
                <w:kern w:val="0"/>
                <w:sz w:val="21"/>
                <w:szCs w:val="21"/>
                <w:lang w:eastAsia="zh-Hans" w:bidi="ar"/>
              </w:rPr>
              <w:t>年</w:t>
            </w:r>
            <w:r>
              <w:rPr>
                <w:rFonts w:ascii="Times New Roman" w:hAnsi="Times New Roman" w:cs="Times New Roman"/>
                <w:color w:val="000000"/>
                <w:kern w:val="0"/>
                <w:sz w:val="21"/>
                <w:szCs w:val="21"/>
                <w:lang w:eastAsia="zh-Hans" w:bidi="ar"/>
              </w:rPr>
              <w:t>6</w:t>
            </w:r>
            <w:r>
              <w:rPr>
                <w:rFonts w:hint="eastAsia" w:ascii="Times New Roman" w:hAnsi="Times New Roman" w:cs="Times New Roman"/>
                <w:color w:val="000000"/>
                <w:kern w:val="0"/>
                <w:sz w:val="21"/>
                <w:szCs w:val="21"/>
                <w:lang w:eastAsia="zh-Hans" w:bidi="ar"/>
              </w:rPr>
              <w:t>月</w:t>
            </w:r>
            <w:r>
              <w:rPr>
                <w:rFonts w:ascii="Times New Roman" w:hAnsi="Times New Roman" w:cs="Times New Roman"/>
                <w:color w:val="000000"/>
                <w:kern w:val="0"/>
                <w:sz w:val="21"/>
                <w:szCs w:val="21"/>
                <w:lang w:eastAsia="zh-Hans" w:bidi="ar"/>
              </w:rPr>
              <w:t>，</w:t>
            </w:r>
            <w:r>
              <w:rPr>
                <w:rFonts w:ascii="Times New Roman" w:hAnsi="Times New Roman" w:cs="Times New Roman"/>
                <w:color w:val="000000"/>
                <w:kern w:val="0"/>
                <w:sz w:val="21"/>
                <w:szCs w:val="21"/>
                <w:lang w:bidi="ar"/>
              </w:rPr>
              <w:t>千名老人康复护理床位4.75张；</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推进安宁疗护建设，</w:t>
            </w:r>
            <w:r>
              <w:rPr>
                <w:rFonts w:hint="eastAsia" w:ascii="Times New Roman" w:hAnsi="Times New Roman" w:cs="Times New Roman"/>
                <w:color w:val="000000"/>
                <w:kern w:val="0"/>
                <w:sz w:val="21"/>
                <w:szCs w:val="21"/>
                <w:lang w:eastAsia="zh-Hans" w:bidi="ar"/>
              </w:rPr>
              <w:t>截至</w:t>
            </w:r>
            <w:r>
              <w:rPr>
                <w:rFonts w:ascii="Times New Roman" w:hAnsi="Times New Roman" w:cs="Times New Roman"/>
                <w:color w:val="000000"/>
                <w:kern w:val="0"/>
                <w:sz w:val="21"/>
                <w:szCs w:val="21"/>
                <w:lang w:eastAsia="zh-Hans" w:bidi="ar"/>
              </w:rPr>
              <w:t>2023</w:t>
            </w:r>
            <w:r>
              <w:rPr>
                <w:rFonts w:hint="eastAsia" w:ascii="Times New Roman" w:hAnsi="Times New Roman" w:cs="Times New Roman"/>
                <w:color w:val="000000"/>
                <w:kern w:val="0"/>
                <w:sz w:val="21"/>
                <w:szCs w:val="21"/>
                <w:lang w:eastAsia="zh-Hans" w:bidi="ar"/>
              </w:rPr>
              <w:t>年</w:t>
            </w:r>
            <w:r>
              <w:rPr>
                <w:rFonts w:ascii="Times New Roman" w:hAnsi="Times New Roman" w:cs="Times New Roman"/>
                <w:color w:val="000000"/>
                <w:kern w:val="0"/>
                <w:sz w:val="21"/>
                <w:szCs w:val="21"/>
                <w:lang w:eastAsia="zh-Hans" w:bidi="ar"/>
              </w:rPr>
              <w:t>6</w:t>
            </w:r>
            <w:r>
              <w:rPr>
                <w:rFonts w:hint="eastAsia" w:ascii="Times New Roman" w:hAnsi="Times New Roman" w:cs="Times New Roman"/>
                <w:color w:val="000000"/>
                <w:kern w:val="0"/>
                <w:sz w:val="21"/>
                <w:szCs w:val="21"/>
                <w:lang w:eastAsia="zh-Hans" w:bidi="ar"/>
              </w:rPr>
              <w:t>月</w:t>
            </w:r>
            <w:r>
              <w:rPr>
                <w:rFonts w:ascii="Times New Roman" w:hAnsi="Times New Roman" w:cs="Times New Roman"/>
                <w:color w:val="000000"/>
                <w:kern w:val="0"/>
                <w:sz w:val="21"/>
                <w:szCs w:val="21"/>
                <w:lang w:eastAsia="zh-Hans" w:bidi="ar"/>
              </w:rPr>
              <w:t>，</w:t>
            </w:r>
            <w:r>
              <w:rPr>
                <w:rFonts w:hint="eastAsia" w:ascii="Times New Roman" w:hAnsi="Times New Roman" w:cs="Times New Roman"/>
                <w:color w:val="000000"/>
                <w:kern w:val="0"/>
                <w:sz w:val="21"/>
                <w:szCs w:val="21"/>
                <w:lang w:eastAsia="zh-Hans" w:bidi="ar"/>
              </w:rPr>
              <w:t>已有</w:t>
            </w:r>
            <w:r>
              <w:rPr>
                <w:rFonts w:ascii="Times New Roman" w:hAnsi="Times New Roman" w:cs="Times New Roman"/>
                <w:color w:val="000000"/>
                <w:kern w:val="0"/>
                <w:sz w:val="21"/>
                <w:szCs w:val="21"/>
                <w:lang w:bidi="ar"/>
              </w:rPr>
              <w:t>6家机构开展住院安宁疗护，</w:t>
            </w:r>
            <w:r>
              <w:rPr>
                <w:rFonts w:hint="eastAsia" w:ascii="Times New Roman" w:hAnsi="Times New Roman" w:cs="Times New Roman"/>
                <w:color w:val="000000"/>
                <w:kern w:val="0"/>
                <w:sz w:val="21"/>
                <w:szCs w:val="21"/>
                <w:lang w:eastAsia="zh-Hans" w:bidi="ar"/>
              </w:rPr>
              <w:t>累计</w:t>
            </w:r>
            <w:r>
              <w:rPr>
                <w:rFonts w:ascii="Times New Roman" w:hAnsi="Times New Roman" w:cs="Times New Roman"/>
                <w:color w:val="000000"/>
                <w:kern w:val="0"/>
                <w:sz w:val="21"/>
                <w:szCs w:val="21"/>
                <w:lang w:bidi="ar"/>
              </w:rPr>
              <w:t>提供床位50张；</w:t>
            </w:r>
            <w:r>
              <w:rPr>
                <w:rFonts w:hint="eastAsia" w:ascii="仿宋_GB2312" w:hAnsi="等线" w:cs="宋体"/>
                <w:kern w:val="0"/>
                <w:sz w:val="21"/>
                <w:szCs w:val="21"/>
              </w:rPr>
              <w:t>③</w:t>
            </w:r>
            <w:r>
              <w:rPr>
                <w:rFonts w:hint="eastAsia" w:ascii="Times New Roman" w:hAnsi="Times New Roman" w:cs="Times New Roman"/>
                <w:color w:val="000000"/>
                <w:kern w:val="0"/>
                <w:sz w:val="21"/>
                <w:szCs w:val="21"/>
                <w:lang w:eastAsia="zh-Hans" w:bidi="ar"/>
              </w:rPr>
              <w:t>截至</w:t>
            </w:r>
            <w:r>
              <w:rPr>
                <w:rFonts w:ascii="Times New Roman" w:hAnsi="Times New Roman" w:cs="Times New Roman"/>
                <w:color w:val="000000"/>
                <w:kern w:val="0"/>
                <w:sz w:val="21"/>
                <w:szCs w:val="21"/>
                <w:lang w:eastAsia="zh-Hans" w:bidi="ar"/>
              </w:rPr>
              <w:t>2023</w:t>
            </w:r>
            <w:r>
              <w:rPr>
                <w:rFonts w:hint="eastAsia" w:ascii="Times New Roman" w:hAnsi="Times New Roman" w:cs="Times New Roman"/>
                <w:color w:val="000000"/>
                <w:kern w:val="0"/>
                <w:sz w:val="21"/>
                <w:szCs w:val="21"/>
                <w:lang w:eastAsia="zh-Hans" w:bidi="ar"/>
              </w:rPr>
              <w:t>年</w:t>
            </w:r>
            <w:r>
              <w:rPr>
                <w:rFonts w:ascii="Times New Roman" w:hAnsi="Times New Roman" w:cs="Times New Roman"/>
                <w:color w:val="000000"/>
                <w:kern w:val="0"/>
                <w:sz w:val="21"/>
                <w:szCs w:val="21"/>
                <w:lang w:eastAsia="zh-Hans" w:bidi="ar"/>
              </w:rPr>
              <w:t>6</w:t>
            </w:r>
            <w:r>
              <w:rPr>
                <w:rFonts w:hint="eastAsia" w:ascii="Times New Roman" w:hAnsi="Times New Roman" w:cs="Times New Roman"/>
                <w:color w:val="000000"/>
                <w:kern w:val="0"/>
                <w:sz w:val="21"/>
                <w:szCs w:val="21"/>
                <w:lang w:eastAsia="zh-Hans" w:bidi="ar"/>
              </w:rPr>
              <w:t>月</w:t>
            </w:r>
            <w:r>
              <w:rPr>
                <w:rFonts w:ascii="Times New Roman" w:hAnsi="Times New Roman" w:cs="Times New Roman"/>
                <w:color w:val="000000"/>
                <w:kern w:val="0"/>
                <w:sz w:val="21"/>
                <w:szCs w:val="21"/>
                <w:lang w:eastAsia="zh-Hans" w:bidi="ar"/>
              </w:rPr>
              <w:t>，</w:t>
            </w:r>
            <w:r>
              <w:rPr>
                <w:rFonts w:ascii="Times New Roman" w:hAnsi="Times New Roman" w:cs="Times New Roman"/>
                <w:color w:val="000000"/>
                <w:kern w:val="0"/>
                <w:sz w:val="21"/>
                <w:szCs w:val="21"/>
                <w:lang w:bidi="ar"/>
              </w:rPr>
              <w:t>通过医疗卫生人才专场招聘会签约</w:t>
            </w:r>
            <w:r>
              <w:rPr>
                <w:rFonts w:hint="eastAsia" w:ascii="Times New Roman" w:hAnsi="Times New Roman" w:cs="Times New Roman"/>
                <w:color w:val="000000"/>
                <w:kern w:val="0"/>
                <w:sz w:val="21"/>
                <w:szCs w:val="21"/>
                <w:lang w:bidi="ar"/>
              </w:rPr>
              <w:t>542</w:t>
            </w:r>
            <w:r>
              <w:rPr>
                <w:rFonts w:ascii="Times New Roman" w:hAnsi="Times New Roman" w:cs="Times New Roman"/>
                <w:color w:val="000000"/>
                <w:kern w:val="0"/>
                <w:sz w:val="21"/>
                <w:szCs w:val="21"/>
                <w:lang w:bidi="ar"/>
              </w:rPr>
              <w:t>名毕业生，定向培养生基层卫生人才</w:t>
            </w:r>
            <w:r>
              <w:rPr>
                <w:rFonts w:hint="eastAsia" w:ascii="Times New Roman" w:hAnsi="Times New Roman" w:cs="Times New Roman"/>
                <w:color w:val="000000"/>
                <w:kern w:val="0"/>
                <w:sz w:val="21"/>
                <w:szCs w:val="21"/>
                <w:lang w:bidi="ar"/>
              </w:rPr>
              <w:t>114</w:t>
            </w:r>
            <w:r>
              <w:rPr>
                <w:rFonts w:ascii="Times New Roman" w:hAnsi="Times New Roman" w:cs="Times New Roman"/>
                <w:color w:val="000000"/>
                <w:kern w:val="0"/>
                <w:sz w:val="21"/>
                <w:szCs w:val="21"/>
                <w:lang w:bidi="ar"/>
              </w:rPr>
              <w:t>名。</w:t>
            </w:r>
          </w:p>
        </w:tc>
      </w:tr>
      <w:tr w14:paraId="3CAC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22EB4974">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22</w:t>
            </w:r>
          </w:p>
        </w:tc>
        <w:tc>
          <w:tcPr>
            <w:tcW w:w="1979" w:type="dxa"/>
            <w:shd w:val="clear" w:color="auto" w:fill="FFFFFF"/>
            <w:vAlign w:val="center"/>
          </w:tcPr>
          <w:p w14:paraId="14C33298">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民生福祉--完善政府购买体育服务政策</w:t>
            </w:r>
          </w:p>
        </w:tc>
        <w:tc>
          <w:tcPr>
            <w:tcW w:w="4560" w:type="dxa"/>
            <w:shd w:val="clear" w:color="auto" w:fill="FFFFFF"/>
            <w:vAlign w:val="center"/>
          </w:tcPr>
          <w:p w14:paraId="73A4FEBB">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大力发展多层次、多形式的体育社会组织，鼓励社会力量承办体育赛事，建立健全体育赛事多元化投入机制和运营模式，培育和扶持专业化赛事运营企业和社会组织。创新市场运行机制，促进体育赛事产权市场发展。</w:t>
            </w:r>
          </w:p>
        </w:tc>
        <w:tc>
          <w:tcPr>
            <w:tcW w:w="1418" w:type="dxa"/>
            <w:shd w:val="clear" w:color="auto" w:fill="FFFFFF"/>
            <w:vAlign w:val="center"/>
          </w:tcPr>
          <w:p w14:paraId="6B42B1C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市体育事业发展中心</w:t>
            </w:r>
          </w:p>
        </w:tc>
        <w:tc>
          <w:tcPr>
            <w:tcW w:w="6216" w:type="dxa"/>
            <w:shd w:val="clear" w:color="auto" w:fill="FFFFFF"/>
            <w:vAlign w:val="center"/>
          </w:tcPr>
          <w:p w14:paraId="27FEFBAF">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大力发展体育社会组织网络，</w:t>
            </w: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新增</w:t>
            </w:r>
            <w:r>
              <w:rPr>
                <w:rFonts w:hint="eastAsia" w:ascii="Times New Roman" w:hAnsi="Times New Roman" w:cs="Times New Roman"/>
                <w:color w:val="000000"/>
                <w:kern w:val="0"/>
                <w:sz w:val="21"/>
                <w:szCs w:val="21"/>
                <w:lang w:bidi="ar"/>
              </w:rPr>
              <w:t>22</w:t>
            </w:r>
            <w:r>
              <w:rPr>
                <w:rFonts w:ascii="Times New Roman" w:hAnsi="Times New Roman" w:cs="Times New Roman"/>
                <w:color w:val="000000"/>
                <w:kern w:val="0"/>
                <w:sz w:val="21"/>
                <w:szCs w:val="21"/>
                <w:lang w:bidi="ar"/>
              </w:rPr>
              <w:t>家体育社会组织；</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大力支持社会力量参与全民健身活动，</w:t>
            </w: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全市举办各级各类群体赛事</w:t>
            </w:r>
            <w:r>
              <w:rPr>
                <w:rFonts w:hint="eastAsia" w:ascii="Times New Roman" w:hAnsi="Times New Roman" w:cs="Times New Roman"/>
                <w:color w:val="000000"/>
                <w:kern w:val="0"/>
                <w:sz w:val="21"/>
                <w:szCs w:val="21"/>
                <w:lang w:bidi="ar"/>
              </w:rPr>
              <w:t>500</w:t>
            </w:r>
            <w:r>
              <w:rPr>
                <w:rFonts w:ascii="Times New Roman" w:hAnsi="Times New Roman" w:cs="Times New Roman"/>
                <w:color w:val="000000"/>
                <w:kern w:val="0"/>
                <w:sz w:val="21"/>
                <w:szCs w:val="21"/>
                <w:lang w:bidi="ar"/>
              </w:rPr>
              <w:t>多场（包含各类社团赛事活动）；</w:t>
            </w:r>
            <w:r>
              <w:rPr>
                <w:rFonts w:hint="eastAsia" w:ascii="仿宋_GB2312" w:hAnsi="等线" w:cs="宋体"/>
                <w:kern w:val="0"/>
                <w:sz w:val="21"/>
                <w:szCs w:val="21"/>
              </w:rPr>
              <w:t>③</w:t>
            </w:r>
            <w:r>
              <w:rPr>
                <w:rFonts w:ascii="Times New Roman" w:hAnsi="Times New Roman" w:cs="Times New Roman"/>
                <w:color w:val="000000"/>
                <w:kern w:val="0"/>
                <w:sz w:val="21"/>
                <w:szCs w:val="21"/>
                <w:lang w:bidi="ar"/>
              </w:rPr>
              <w:t>大力推进社会力量兴办竞技体育，支持社会力量购买体育训练服务，现有23家社会体育训练机构，其中12家被评为温州市级社会力量兴办竞技体育训练机构。</w:t>
            </w:r>
            <w:r>
              <w:rPr>
                <w:rFonts w:hint="eastAsia" w:ascii="仿宋_GB2312" w:hAnsi="等线" w:cs="宋体"/>
                <w:kern w:val="0"/>
                <w:sz w:val="21"/>
                <w:szCs w:val="21"/>
              </w:rPr>
              <w:t>④</w:t>
            </w:r>
            <w:r>
              <w:rPr>
                <w:rFonts w:ascii="Times New Roman" w:hAnsi="Times New Roman" w:cs="Times New Roman"/>
                <w:color w:val="000000"/>
                <w:kern w:val="0"/>
                <w:sz w:val="21"/>
                <w:szCs w:val="21"/>
                <w:lang w:bidi="ar"/>
              </w:rPr>
              <w:t>大力促进品牌赛事激发市场活力。举办全国风筝精英赛（瑞安站）、瑞安半程马拉松、浙江省小篮球联赛等。</w:t>
            </w:r>
            <w:r>
              <w:rPr>
                <w:rFonts w:hint="eastAsia" w:ascii="仿宋_GB2312" w:hAnsi="等线" w:cs="宋体"/>
                <w:kern w:val="0"/>
                <w:sz w:val="21"/>
                <w:szCs w:val="21"/>
              </w:rPr>
              <w:t>⑤</w:t>
            </w:r>
            <w:r>
              <w:rPr>
                <w:rFonts w:ascii="Times New Roman" w:hAnsi="Times New Roman" w:cs="Times New Roman"/>
                <w:color w:val="000000"/>
                <w:kern w:val="0"/>
                <w:sz w:val="21"/>
                <w:szCs w:val="21"/>
                <w:lang w:bidi="ar"/>
              </w:rPr>
              <w:t>发放体育消费券提振市场，</w:t>
            </w: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共发放150万元，直接拉动效益为3.8倍，间接带动效益超10倍。</w:t>
            </w:r>
          </w:p>
        </w:tc>
      </w:tr>
    </w:tbl>
    <w:p w14:paraId="600D0E8B">
      <w:pPr>
        <w:rPr>
          <w:rFonts w:ascii="Times New Roman" w:hAnsi="Times New Roman" w:cs="Times New Roman"/>
        </w:rPr>
      </w:pPr>
      <w:r>
        <w:rPr>
          <w:rFonts w:ascii="Times New Roman" w:hAnsi="Times New Roman" w:cs="Times New Roman"/>
        </w:rPr>
        <w:br w:type="page"/>
      </w:r>
    </w:p>
    <w:p w14:paraId="45574592">
      <w:pPr>
        <w:ind w:firstLine="640"/>
        <w:outlineLvl w:val="0"/>
        <w:rPr>
          <w:rFonts w:ascii="Times New Roman" w:hAnsi="Times New Roman" w:eastAsia="黑体" w:cs="Times New Roman"/>
          <w:szCs w:val="32"/>
        </w:rPr>
      </w:pPr>
      <w:bookmarkStart w:id="88" w:name="_Toc32244"/>
      <w:r>
        <w:rPr>
          <w:rFonts w:ascii="Times New Roman" w:hAnsi="Times New Roman" w:eastAsia="黑体" w:cs="Times New Roman"/>
          <w:szCs w:val="32"/>
        </w:rPr>
        <w:t>附件6：重大要素清单完成情况</w:t>
      </w:r>
      <w:bookmarkEnd w:id="88"/>
    </w:p>
    <w:tbl>
      <w:tblPr>
        <w:tblStyle w:val="18"/>
        <w:tblW w:w="14882"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79"/>
        <w:gridCol w:w="4985"/>
        <w:gridCol w:w="1560"/>
        <w:gridCol w:w="5649"/>
      </w:tblGrid>
      <w:tr w14:paraId="1678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09" w:type="dxa"/>
            <w:shd w:val="clear" w:color="DDEBF7" w:fill="FFFFFF"/>
            <w:vAlign w:val="center"/>
          </w:tcPr>
          <w:p w14:paraId="31223F47">
            <w:pPr>
              <w:widowControl/>
              <w:spacing w:line="28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序号</w:t>
            </w:r>
          </w:p>
        </w:tc>
        <w:tc>
          <w:tcPr>
            <w:tcW w:w="1979" w:type="dxa"/>
            <w:shd w:val="clear" w:color="DDEBF7" w:fill="FFFFFF"/>
            <w:vAlign w:val="center"/>
          </w:tcPr>
          <w:p w14:paraId="739FCF24">
            <w:pPr>
              <w:widowControl/>
              <w:spacing w:line="28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平台-类别名称</w:t>
            </w:r>
          </w:p>
        </w:tc>
        <w:tc>
          <w:tcPr>
            <w:tcW w:w="4985" w:type="dxa"/>
            <w:shd w:val="clear" w:color="DDEBF7" w:fill="FFFFFF"/>
            <w:vAlign w:val="center"/>
          </w:tcPr>
          <w:p w14:paraId="478E84E1">
            <w:pPr>
              <w:widowControl/>
              <w:spacing w:line="28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工作目标任务</w:t>
            </w:r>
          </w:p>
        </w:tc>
        <w:tc>
          <w:tcPr>
            <w:tcW w:w="1560" w:type="dxa"/>
            <w:shd w:val="clear" w:color="DDEBF7" w:fill="FFFFFF"/>
            <w:vAlign w:val="center"/>
          </w:tcPr>
          <w:p w14:paraId="71949E3C">
            <w:pPr>
              <w:widowControl/>
              <w:spacing w:line="28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责任单位</w:t>
            </w:r>
          </w:p>
        </w:tc>
        <w:tc>
          <w:tcPr>
            <w:tcW w:w="5649" w:type="dxa"/>
            <w:shd w:val="clear" w:color="DDEBF7" w:fill="FFFFFF"/>
            <w:vAlign w:val="center"/>
          </w:tcPr>
          <w:p w14:paraId="35E4F6A2">
            <w:pPr>
              <w:widowControl/>
              <w:spacing w:line="280" w:lineRule="exact"/>
              <w:jc w:val="center"/>
              <w:textAlignment w:val="center"/>
              <w:rPr>
                <w:rFonts w:ascii="Times New Roman" w:hAnsi="Times New Roman" w:cs="Times New Roman"/>
                <w:b/>
                <w:bCs/>
                <w:color w:val="000000"/>
                <w:szCs w:val="21"/>
              </w:rPr>
            </w:pPr>
            <w:r>
              <w:rPr>
                <w:rFonts w:ascii="Times New Roman" w:hAnsi="Times New Roman" w:cs="Times New Roman"/>
                <w:b/>
                <w:bCs/>
                <w:color w:val="000000"/>
                <w:kern w:val="0"/>
                <w:sz w:val="21"/>
                <w:szCs w:val="21"/>
                <w:lang w:bidi="ar"/>
              </w:rPr>
              <w:t>2021.1.1-2023.6.30实施情况评估</w:t>
            </w:r>
          </w:p>
        </w:tc>
      </w:tr>
      <w:tr w14:paraId="6296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6E2A1037">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w:t>
            </w:r>
          </w:p>
        </w:tc>
        <w:tc>
          <w:tcPr>
            <w:tcW w:w="1979" w:type="dxa"/>
            <w:shd w:val="clear" w:color="DDEBF7" w:fill="FFFFFF"/>
            <w:vAlign w:val="center"/>
          </w:tcPr>
          <w:p w14:paraId="75FC728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盘活存量建设用地</w:t>
            </w:r>
          </w:p>
        </w:tc>
        <w:tc>
          <w:tcPr>
            <w:tcW w:w="4985" w:type="dxa"/>
            <w:shd w:val="clear" w:color="DDEBF7" w:fill="FFFFFF"/>
            <w:vAlign w:val="center"/>
          </w:tcPr>
          <w:p w14:paraId="62F0CE1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妥善处置围填海历史遗留问题，特别是瓯飞工程丁山三期历史围填海项目的处置。推动存量建设用地盘活利用，争取建设用地挂钩指标。妥善处置围填海历史遗留问题，特别是瓯飞工程丁山三期历史围填海项目的处置。推动存量建设用地盘活利用，争取建设用地挂钩指标。</w:t>
            </w:r>
          </w:p>
        </w:tc>
        <w:tc>
          <w:tcPr>
            <w:tcW w:w="1560" w:type="dxa"/>
            <w:shd w:val="clear" w:color="DDEBF7" w:fill="FFFFFF"/>
            <w:vAlign w:val="center"/>
          </w:tcPr>
          <w:p w14:paraId="4A6C45A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w:t>
            </w:r>
          </w:p>
        </w:tc>
        <w:tc>
          <w:tcPr>
            <w:tcW w:w="5649" w:type="dxa"/>
            <w:shd w:val="clear" w:color="DDEBF7" w:fill="FFFFFF"/>
            <w:vAlign w:val="center"/>
          </w:tcPr>
          <w:p w14:paraId="01E3E21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2021年</w:t>
            </w:r>
            <w:r>
              <w:rPr>
                <w:rFonts w:hint="eastAsia" w:ascii="Times New Roman" w:hAnsi="Times New Roman" w:cs="Times New Roman"/>
                <w:color w:val="000000"/>
                <w:kern w:val="0"/>
                <w:sz w:val="21"/>
                <w:szCs w:val="21"/>
                <w:lang w:eastAsia="zh-Hans" w:bidi="ar"/>
              </w:rPr>
              <w:t>盘活存量建设用地</w:t>
            </w:r>
            <w:r>
              <w:rPr>
                <w:rFonts w:ascii="Times New Roman" w:hAnsi="Times New Roman" w:cs="Times New Roman"/>
                <w:color w:val="000000"/>
                <w:kern w:val="0"/>
                <w:sz w:val="21"/>
                <w:szCs w:val="21"/>
                <w:lang w:bidi="ar"/>
              </w:rPr>
              <w:t>1592亩，2022年2103亩，2023年742.2025亩(其中23年瑞安市丁山三期工业污水处理厂及配套管网一期工程已经组件报省厅审批，面积171.2025亩合计4437.2025亩。</w:t>
            </w:r>
          </w:p>
        </w:tc>
      </w:tr>
      <w:tr w14:paraId="1086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0A11F440">
            <w:pPr>
              <w:widowControl/>
              <w:spacing w:line="28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w:t>
            </w:r>
          </w:p>
        </w:tc>
        <w:tc>
          <w:tcPr>
            <w:tcW w:w="1979" w:type="dxa"/>
            <w:shd w:val="clear" w:color="auto" w:fill="FFFFFF"/>
            <w:vAlign w:val="center"/>
          </w:tcPr>
          <w:p w14:paraId="268448AB">
            <w:pPr>
              <w:widowControl/>
              <w:spacing w:line="28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耕地占补平衡指标保障</w:t>
            </w:r>
          </w:p>
        </w:tc>
        <w:tc>
          <w:tcPr>
            <w:tcW w:w="4985" w:type="dxa"/>
            <w:shd w:val="clear" w:color="auto" w:fill="FFFFFF"/>
            <w:vAlign w:val="center"/>
          </w:tcPr>
          <w:p w14:paraId="5D527E5D">
            <w:pPr>
              <w:widowControl/>
              <w:spacing w:line="28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完成补充耕地（含新垦造耕地、建设用地复垦等）、“旱改水”等工作</w:t>
            </w:r>
          </w:p>
        </w:tc>
        <w:tc>
          <w:tcPr>
            <w:tcW w:w="1560" w:type="dxa"/>
            <w:shd w:val="clear" w:color="auto" w:fill="FFFFFF"/>
            <w:vAlign w:val="center"/>
          </w:tcPr>
          <w:p w14:paraId="277FF388">
            <w:pPr>
              <w:widowControl/>
              <w:spacing w:line="280" w:lineRule="exact"/>
              <w:jc w:val="lef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w:t>
            </w:r>
          </w:p>
        </w:tc>
        <w:tc>
          <w:tcPr>
            <w:tcW w:w="5649" w:type="dxa"/>
            <w:shd w:val="clear" w:color="auto" w:fill="FFFFFF"/>
            <w:vAlign w:val="center"/>
          </w:tcPr>
          <w:p w14:paraId="2F4DF5D5">
            <w:pPr>
              <w:widowControl/>
              <w:spacing w:line="280" w:lineRule="exact"/>
              <w:jc w:val="lef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w:t>
            </w:r>
            <w:r>
              <w:rPr>
                <w:rFonts w:hint="eastAsia" w:ascii="Times New Roman" w:hAnsi="Times New Roman" w:cs="Times New Roman"/>
                <w:color w:val="000000"/>
                <w:kern w:val="0"/>
                <w:sz w:val="21"/>
                <w:szCs w:val="21"/>
                <w:lang w:bidi="ar"/>
              </w:rPr>
              <w:t>累计</w:t>
            </w:r>
            <w:r>
              <w:rPr>
                <w:rFonts w:ascii="Times New Roman" w:hAnsi="Times New Roman" w:cs="Times New Roman"/>
                <w:color w:val="000000"/>
                <w:kern w:val="0"/>
                <w:sz w:val="21"/>
                <w:szCs w:val="21"/>
                <w:lang w:bidi="ar"/>
              </w:rPr>
              <w:t>完成补充耕地1318亩(其中垦造耕地1207亩、复垦111亩)、旱改水1667亩。</w:t>
            </w:r>
          </w:p>
        </w:tc>
      </w:tr>
      <w:tr w14:paraId="53C0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0CDBBDE0">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3</w:t>
            </w:r>
          </w:p>
        </w:tc>
        <w:tc>
          <w:tcPr>
            <w:tcW w:w="1979" w:type="dxa"/>
            <w:shd w:val="clear" w:color="DDEBF7" w:fill="FFFFFF"/>
            <w:vAlign w:val="center"/>
          </w:tcPr>
          <w:p w14:paraId="6EDAFEBB">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工业用地指标保障</w:t>
            </w:r>
          </w:p>
        </w:tc>
        <w:tc>
          <w:tcPr>
            <w:tcW w:w="4985" w:type="dxa"/>
            <w:shd w:val="clear" w:color="DDEBF7" w:fill="FFFFFF"/>
            <w:vAlign w:val="center"/>
          </w:tcPr>
          <w:p w14:paraId="1882DEC2">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力争工业用地（用海）供应6000亩</w:t>
            </w:r>
          </w:p>
        </w:tc>
        <w:tc>
          <w:tcPr>
            <w:tcW w:w="1560" w:type="dxa"/>
            <w:shd w:val="clear" w:color="DDEBF7" w:fill="FFFFFF"/>
            <w:vAlign w:val="center"/>
          </w:tcPr>
          <w:p w14:paraId="3C82B51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市经信局、市自然资源和规划局</w:t>
            </w:r>
          </w:p>
        </w:tc>
        <w:tc>
          <w:tcPr>
            <w:tcW w:w="5649" w:type="dxa"/>
            <w:shd w:val="clear" w:color="DDEBF7" w:fill="FFFFFF"/>
            <w:vAlign w:val="center"/>
          </w:tcPr>
          <w:p w14:paraId="1647E4A1">
            <w:pPr>
              <w:widowControl/>
              <w:spacing w:line="28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，工业用地（用海）</w:t>
            </w:r>
            <w:r>
              <w:rPr>
                <w:rFonts w:hint="eastAsia" w:ascii="Times New Roman" w:hAnsi="Times New Roman" w:cs="Times New Roman"/>
                <w:color w:val="000000"/>
                <w:kern w:val="0"/>
                <w:sz w:val="21"/>
                <w:szCs w:val="21"/>
                <w:lang w:bidi="ar"/>
              </w:rPr>
              <w:t>累计</w:t>
            </w:r>
            <w:r>
              <w:rPr>
                <w:rFonts w:ascii="Times New Roman" w:hAnsi="Times New Roman" w:cs="Times New Roman"/>
                <w:color w:val="000000"/>
                <w:kern w:val="0"/>
                <w:sz w:val="21"/>
                <w:szCs w:val="21"/>
                <w:lang w:bidi="ar"/>
              </w:rPr>
              <w:t>供应4060.701亩，供应完成率67%。</w:t>
            </w:r>
          </w:p>
        </w:tc>
      </w:tr>
      <w:tr w14:paraId="5829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17953162">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4</w:t>
            </w:r>
          </w:p>
        </w:tc>
        <w:tc>
          <w:tcPr>
            <w:tcW w:w="1979" w:type="dxa"/>
            <w:shd w:val="clear" w:color="auto" w:fill="FFFFFF"/>
            <w:vAlign w:val="center"/>
          </w:tcPr>
          <w:p w14:paraId="420012D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向上争取指标</w:t>
            </w:r>
          </w:p>
        </w:tc>
        <w:tc>
          <w:tcPr>
            <w:tcW w:w="4985" w:type="dxa"/>
            <w:shd w:val="clear" w:color="auto" w:fill="FFFFFF"/>
            <w:vAlign w:val="center"/>
          </w:tcPr>
          <w:p w14:paraId="49128B42">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为保障我市重大产业、基础设施、民生工程的用地指标供给，多途径多类型向上争取用地指标，包括省重大基础设施项目专项用地指标、省重大产业项目奖励用地指标、增存挂钩奖励用地指标、跨省城乡建设用地增减挂钩节余指标、农民建房专项用地指标。</w:t>
            </w:r>
          </w:p>
        </w:tc>
        <w:tc>
          <w:tcPr>
            <w:tcW w:w="1560" w:type="dxa"/>
            <w:shd w:val="clear" w:color="auto" w:fill="FFFFFF"/>
            <w:vAlign w:val="center"/>
          </w:tcPr>
          <w:p w14:paraId="3785D66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市自然资源和规划局、市发改局（重大项目前期科）</w:t>
            </w:r>
          </w:p>
        </w:tc>
        <w:tc>
          <w:tcPr>
            <w:tcW w:w="5649" w:type="dxa"/>
            <w:shd w:val="clear" w:color="auto" w:fill="FFFFFF"/>
            <w:vAlign w:val="center"/>
          </w:tcPr>
          <w:p w14:paraId="464A2DCF">
            <w:pPr>
              <w:widowControl/>
              <w:spacing w:line="28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两年半来，累计</w:t>
            </w:r>
            <w:r>
              <w:rPr>
                <w:rFonts w:ascii="Times New Roman" w:hAnsi="Times New Roman" w:cs="Times New Roman"/>
                <w:color w:val="000000"/>
                <w:kern w:val="0"/>
                <w:sz w:val="21"/>
                <w:szCs w:val="21"/>
                <w:lang w:bidi="ar"/>
              </w:rPr>
              <w:t>争取各类用地指标7672亩</w:t>
            </w:r>
            <w:r>
              <w:rPr>
                <w:rFonts w:ascii="Times New Roman" w:hAnsi="Times New Roman" w:cs="Times New Roman"/>
                <w:color w:val="000000"/>
                <w:kern w:val="0"/>
                <w:szCs w:val="21"/>
                <w:lang w:bidi="ar"/>
              </w:rPr>
              <w:t>。</w:t>
            </w:r>
          </w:p>
        </w:tc>
      </w:tr>
      <w:tr w14:paraId="5CE2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79C8A44C">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5</w:t>
            </w:r>
          </w:p>
        </w:tc>
        <w:tc>
          <w:tcPr>
            <w:tcW w:w="1979" w:type="dxa"/>
            <w:shd w:val="clear" w:color="DDEBF7" w:fill="FFFFFF"/>
            <w:vAlign w:val="center"/>
          </w:tcPr>
          <w:p w14:paraId="27150E6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城中村改造</w:t>
            </w:r>
          </w:p>
        </w:tc>
        <w:tc>
          <w:tcPr>
            <w:tcW w:w="4985" w:type="dxa"/>
            <w:shd w:val="clear" w:color="DDEBF7" w:fill="FFFFFF"/>
            <w:vAlign w:val="center"/>
          </w:tcPr>
          <w:p w14:paraId="47BBD803">
            <w:pPr>
              <w:widowControl/>
              <w:spacing w:line="280" w:lineRule="exac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 w:val="21"/>
                <w:szCs w:val="21"/>
                <w:lang w:bidi="ar"/>
              </w:rPr>
              <w:t>全市“十四五”期间涉及城中村改造项目总数为65个、改造面积约11550亩，分别为塘口村、岑头村、上金村、肇平垟中村、下村、瑞安大道涉及上马、后朱村、国泰路涉及韩田村、国泰路涉及鲍四村、塘下老镇区改造提升一期、塘西村、新坊村、凤川村、邵宅村、西岙村、鲍二村、三圣门、红星村、小横山、三星村、联星村等、集云山主入口天河村、西岙村、高速出入口同心村、联星村、长山村、白莲村、白象村、上埠村、中埠村、车头村、东安村、蔡宅村、九一村、九二村、东沿村、黎明村、永光村、街路头村、新桥头村、雅儒村、林西村、林东村、董田七、八、九、前埠村、四坦村、董五村、仙甲季村、汀七、汀八、汀田段凤岙村、瑞安大道汀田段、南港团块改造、浦口团块改造、前金团块改造、下厂、宋家埭、石碣门、横河等南滨江新城孙鳌路沿线团块改造、吴桥村、霞砀村等侨贸小镇区块、东风村、孙桥村、上埠村等南滨江新城、黄垟社区（徐库桥村）、根桥村、高园村、中洲村、站西社区卓岙村、站西社区高旺村、站西社区马头村、祥峰村（西山村）、瑞南村（杏垟村）、新安村、塘头村梅岙底团块改造、沙园村、阁一村、阁三村、塘头村等城中村改造。</w:t>
            </w:r>
          </w:p>
        </w:tc>
        <w:tc>
          <w:tcPr>
            <w:tcW w:w="1560" w:type="dxa"/>
            <w:shd w:val="clear" w:color="DDEBF7" w:fill="FFFFFF"/>
            <w:vAlign w:val="center"/>
          </w:tcPr>
          <w:p w14:paraId="56D2C5A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市自然资源和规划局、市住建局</w:t>
            </w:r>
          </w:p>
        </w:tc>
        <w:tc>
          <w:tcPr>
            <w:tcW w:w="5649" w:type="dxa"/>
            <w:shd w:val="clear" w:color="DDEBF7" w:fill="FFFFFF"/>
            <w:vAlign w:val="center"/>
          </w:tcPr>
          <w:p w14:paraId="4EEDCF9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13个已完成</w:t>
            </w:r>
            <w:r>
              <w:rPr>
                <w:rFonts w:hint="eastAsia" w:ascii="Times New Roman" w:hAnsi="Times New Roman" w:cs="Times New Roman"/>
                <w:color w:val="000000"/>
                <w:kern w:val="0"/>
                <w:sz w:val="21"/>
                <w:szCs w:val="21"/>
                <w:lang w:eastAsia="zh-Hans" w:bidi="ar"/>
              </w:rPr>
              <w:t>改造</w:t>
            </w:r>
            <w:r>
              <w:rPr>
                <w:rFonts w:ascii="Times New Roman" w:hAnsi="Times New Roman" w:cs="Times New Roman"/>
                <w:color w:val="000000"/>
                <w:kern w:val="0"/>
                <w:sz w:val="21"/>
                <w:szCs w:val="21"/>
                <w:lang w:bidi="ar"/>
              </w:rPr>
              <w:t>（岑头村、肇平垟中村-下村、瑞安大道涉及上马-后朱村、新坊村、三圣门村、锦湖西岙村、新桥头村（一期）、南港团块改造、浦口团块改造、吴桥村、红星村、九二村（一期））、东山上埠村（巾子山二期），15个村所属项目正在实施（上金村、塘西村、凤川村、邵宅村、小横山、东安村、董田七八九、汀七汀八、前金团块改造、下厂、宋家埭、石碣门、横河、孙鳌路（桥东段）中洲村、新安村）。</w:t>
            </w:r>
          </w:p>
        </w:tc>
      </w:tr>
      <w:tr w14:paraId="36DB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2C266A05">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6</w:t>
            </w:r>
          </w:p>
        </w:tc>
        <w:tc>
          <w:tcPr>
            <w:tcW w:w="1979" w:type="dxa"/>
            <w:shd w:val="clear" w:color="auto" w:fill="FFFFFF"/>
            <w:vAlign w:val="center"/>
          </w:tcPr>
          <w:p w14:paraId="7F89DA7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旧厂区改造</w:t>
            </w:r>
          </w:p>
        </w:tc>
        <w:tc>
          <w:tcPr>
            <w:tcW w:w="4985" w:type="dxa"/>
            <w:shd w:val="clear" w:color="auto" w:fill="FFFFFF"/>
            <w:vAlign w:val="center"/>
          </w:tcPr>
          <w:p w14:paraId="62F575F2">
            <w:pPr>
              <w:widowControl/>
              <w:spacing w:line="280" w:lineRule="exact"/>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 w:val="21"/>
                <w:szCs w:val="21"/>
                <w:lang w:bidi="ar"/>
              </w:rPr>
              <w:t>全市“十四五”期间涉及旧厂区改造项目总数为14个、改造面积约3670亩，分别为塘下中心区工业点改造、塘西工业区改造、陈宅工业区改造、岑头上金工业区改造、陈宅旺工业区改造、小南山工业区及城中村改造、前池工业区团块改造、肇平垟工业区改造、十八家工业点改造、红旗工业区改造、第一桥工业区改造、北风渎工业点及周边团块改造、南山隧道周边三旧改造、温瑞塘河汀田段旧工业点改造等项目。</w:t>
            </w:r>
          </w:p>
        </w:tc>
        <w:tc>
          <w:tcPr>
            <w:tcW w:w="1560" w:type="dxa"/>
            <w:shd w:val="clear" w:color="auto" w:fill="FFFFFF"/>
            <w:vAlign w:val="center"/>
          </w:tcPr>
          <w:p w14:paraId="28521CE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市自然资源和规划局、市住建局</w:t>
            </w:r>
          </w:p>
        </w:tc>
        <w:tc>
          <w:tcPr>
            <w:tcW w:w="5649" w:type="dxa"/>
            <w:shd w:val="clear" w:color="auto" w:fill="FFFFFF"/>
            <w:vAlign w:val="center"/>
          </w:tcPr>
          <w:p w14:paraId="07DE8F6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南山隧道周边三旧改造涉及塘下段岑头村旧村已完成改造；前池工业区团块、塘下中心区工业点改造-官渎工业点已完成签约；小南山工业区及城中村改造完成前期权属调查等工作，即将签约。</w:t>
            </w:r>
          </w:p>
        </w:tc>
      </w:tr>
      <w:tr w14:paraId="57D5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3D165066">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7</w:t>
            </w:r>
          </w:p>
        </w:tc>
        <w:tc>
          <w:tcPr>
            <w:tcW w:w="1979" w:type="dxa"/>
            <w:shd w:val="clear" w:color="DDEBF7" w:fill="FFFFFF"/>
            <w:vAlign w:val="center"/>
          </w:tcPr>
          <w:p w14:paraId="2985D13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其他类团块改造</w:t>
            </w:r>
          </w:p>
        </w:tc>
        <w:tc>
          <w:tcPr>
            <w:tcW w:w="4985" w:type="dxa"/>
            <w:shd w:val="clear" w:color="DDEBF7" w:fill="FFFFFF"/>
            <w:vAlign w:val="center"/>
          </w:tcPr>
          <w:p w14:paraId="65B0BF8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全市“十四五”期间涉及其他类团块改造项目总数为29个、改造面积约6116亩，分别为中心路团块改造、人民医院门诊大楼扩建工程、丰湖街团块改造工程、东镇团块危旧房改造工程、宾阳门团块危旧房改造工程、虹桥路小学扩建工程、水心团块危旧房改造工程、滨江四期（民房）、滨江五期团块改造、永胜门未来社区花园路以西地块、花滨路地块、虹桥路文化体育商务区改造、巾子山区块改造提升工程一期项目（扫尾工程）、巾子山区块改造提升工程二期项目、下埠S2站区团块改造、避风港团块改造、东山小学周边团块改造、经开区起步区土地收储项目、经开起步区渔港码头团块改造、下埠雅儒河东团块改造、经开区发展区华特团块土地收储项目、里岸居民区改造、九里汇传统街区改造提升、104国道汀田段改造提升工程（金凤社区）、金凤社区金后区块文华路西线拆迁、飞霞团块改造、桥东团块改造、林垟历史文化名镇保护区改造提升、柏树村高则诚纪念馆周边团块拆改、沙河新村团块改造等项目。</w:t>
            </w:r>
          </w:p>
        </w:tc>
        <w:tc>
          <w:tcPr>
            <w:tcW w:w="1560" w:type="dxa"/>
            <w:shd w:val="clear" w:color="DDEBF7" w:fill="FFFFFF"/>
            <w:vAlign w:val="center"/>
          </w:tcPr>
          <w:p w14:paraId="3C38A5AF">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市自然资源和规划局、市住建局</w:t>
            </w:r>
          </w:p>
        </w:tc>
        <w:tc>
          <w:tcPr>
            <w:tcW w:w="5649" w:type="dxa"/>
            <w:shd w:val="clear" w:color="DDEBF7" w:fill="FFFFFF"/>
            <w:vAlign w:val="center"/>
          </w:tcPr>
          <w:p w14:paraId="3F553625">
            <w:pPr>
              <w:widowControl/>
              <w:spacing w:line="280" w:lineRule="exact"/>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完成</w:t>
            </w:r>
            <w:r>
              <w:rPr>
                <w:rFonts w:hint="eastAsia" w:ascii="Times New Roman" w:hAnsi="Times New Roman" w:cs="Times New Roman"/>
                <w:color w:val="000000"/>
                <w:kern w:val="0"/>
                <w:sz w:val="21"/>
                <w:szCs w:val="21"/>
                <w:lang w:bidi="ar"/>
              </w:rPr>
              <w:t>7</w:t>
            </w:r>
            <w:r>
              <w:rPr>
                <w:rFonts w:ascii="Times New Roman" w:hAnsi="Times New Roman" w:cs="Times New Roman"/>
                <w:color w:val="000000"/>
                <w:kern w:val="0"/>
                <w:sz w:val="21"/>
                <w:szCs w:val="21"/>
                <w:lang w:bidi="ar"/>
              </w:rPr>
              <w:t>个团块项目改造（人民医院门诊大楼扩建工程、滨江四期（民房）、滨江五期团块改造、永胜门未来社区花园路以西地块、花滨路地块、经开区发展区华特团块土地收储项目、九里汇传统街区改造提升等）。16个项目已经列入本年度团块拆改计划清单。</w:t>
            </w:r>
          </w:p>
          <w:p w14:paraId="74D1B2D9">
            <w:pPr>
              <w:widowControl/>
              <w:spacing w:line="280" w:lineRule="exact"/>
              <w:textAlignment w:val="center"/>
              <w:rPr>
                <w:rFonts w:ascii="Times New Roman" w:hAnsi="Times New Roman" w:cs="Times New Roman"/>
                <w:color w:val="000000"/>
                <w:szCs w:val="21"/>
              </w:rPr>
            </w:pPr>
          </w:p>
        </w:tc>
      </w:tr>
      <w:tr w14:paraId="7B36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56083F3D">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8</w:t>
            </w:r>
          </w:p>
        </w:tc>
        <w:tc>
          <w:tcPr>
            <w:tcW w:w="1979" w:type="dxa"/>
            <w:shd w:val="clear" w:color="auto" w:fill="FFFFFF"/>
            <w:vAlign w:val="center"/>
          </w:tcPr>
          <w:p w14:paraId="40E6880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政府债券资金</w:t>
            </w:r>
          </w:p>
        </w:tc>
        <w:tc>
          <w:tcPr>
            <w:tcW w:w="4985" w:type="dxa"/>
            <w:shd w:val="clear" w:color="auto" w:fill="FFFFFF"/>
            <w:vAlign w:val="center"/>
          </w:tcPr>
          <w:p w14:paraId="5FE2A91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积极对接上级，争取政府债券额度，包括专项债券、一般债券及再融资债券。</w:t>
            </w:r>
          </w:p>
        </w:tc>
        <w:tc>
          <w:tcPr>
            <w:tcW w:w="1560" w:type="dxa"/>
            <w:shd w:val="clear" w:color="auto" w:fill="FFFFFF"/>
            <w:vAlign w:val="center"/>
          </w:tcPr>
          <w:p w14:paraId="5AB8375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市自然资源和规划局、市财政局</w:t>
            </w:r>
          </w:p>
        </w:tc>
        <w:tc>
          <w:tcPr>
            <w:tcW w:w="5649" w:type="dxa"/>
            <w:shd w:val="clear" w:color="auto" w:fill="FFFFFF"/>
            <w:vAlign w:val="center"/>
          </w:tcPr>
          <w:p w14:paraId="06A072D5">
            <w:pPr>
              <w:widowControl/>
              <w:spacing w:line="28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共向上争取专项债券资金206.26亿元，一般债券资金2亿元，再融资债券资金78.3亿元；累计总额度居温州市第一。打包土地整治项目，申请农村环境专项债总额112亿元，其中用于土地整治项目建设额度8亿元，目前已使用2亿元。</w:t>
            </w:r>
          </w:p>
        </w:tc>
      </w:tr>
      <w:tr w14:paraId="0BDE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2746AD91">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9</w:t>
            </w:r>
          </w:p>
        </w:tc>
        <w:tc>
          <w:tcPr>
            <w:tcW w:w="1979" w:type="dxa"/>
            <w:shd w:val="clear" w:color="DDEBF7" w:fill="FFFFFF"/>
            <w:vAlign w:val="center"/>
          </w:tcPr>
          <w:p w14:paraId="5DD42485">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向上争取资金</w:t>
            </w:r>
          </w:p>
        </w:tc>
        <w:tc>
          <w:tcPr>
            <w:tcW w:w="4985" w:type="dxa"/>
            <w:shd w:val="clear" w:color="DDEBF7" w:fill="FFFFFF"/>
            <w:vAlign w:val="center"/>
          </w:tcPr>
          <w:p w14:paraId="06ABE38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全力争取省国家重大项目、政策资金奖补，争取再贷款再贴现额度、政策性银行专项信贷额度、国开行稳投资补短板专项融资</w:t>
            </w:r>
          </w:p>
        </w:tc>
        <w:tc>
          <w:tcPr>
            <w:tcW w:w="1560" w:type="dxa"/>
            <w:shd w:val="clear" w:color="DDEBF7" w:fill="FFFFFF"/>
            <w:vAlign w:val="center"/>
          </w:tcPr>
          <w:p w14:paraId="1755201E">
            <w:pPr>
              <w:widowControl/>
              <w:spacing w:line="280" w:lineRule="exact"/>
              <w:textAlignment w:val="center"/>
              <w:rPr>
                <w:rFonts w:ascii="Times New Roman" w:hAnsi="Times New Roman" w:cs="Times New Roman"/>
                <w:color w:val="000000"/>
                <w:kern w:val="0"/>
                <w:sz w:val="21"/>
                <w:szCs w:val="21"/>
                <w:lang w:bidi="ar"/>
              </w:rPr>
            </w:pPr>
            <w:r>
              <w:rPr>
                <w:rFonts w:ascii="Times New Roman" w:hAnsi="Times New Roman" w:cs="Times New Roman"/>
                <w:color w:val="000000"/>
                <w:kern w:val="0"/>
                <w:sz w:val="21"/>
                <w:szCs w:val="21"/>
                <w:lang w:bidi="ar"/>
              </w:rPr>
              <w:t xml:space="preserve">人行瑞安支行、市发改局 </w:t>
            </w:r>
          </w:p>
          <w:p w14:paraId="1A990C8D">
            <w:pPr>
              <w:spacing w:line="280" w:lineRule="exact"/>
              <w:rPr>
                <w:rFonts w:ascii="Times New Roman" w:hAnsi="Times New Roman" w:cs="Times New Roman"/>
                <w:color w:val="000000"/>
                <w:szCs w:val="21"/>
              </w:rPr>
            </w:pPr>
          </w:p>
        </w:tc>
        <w:tc>
          <w:tcPr>
            <w:tcW w:w="5649" w:type="dxa"/>
            <w:shd w:val="clear" w:color="DDEBF7" w:fill="FFFFFF"/>
            <w:vAlign w:val="center"/>
          </w:tcPr>
          <w:p w14:paraId="2F352F2D">
            <w:pPr>
              <w:widowControl/>
              <w:spacing w:line="28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人行瑞安市支行向上争取100.317亿元支农支小再贷款低息资金；辖内两家法人金融机构享受普惠小微企业贷款延期政策激励资金3733万元；享受普惠小微企业信用贷款支持计划低息资金49232万元；政策性银行（中国农业发展银行瑞安市支行）累计发放瑞安项目贷款12.99亿元。</w:t>
            </w:r>
          </w:p>
        </w:tc>
      </w:tr>
      <w:tr w14:paraId="1DE7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29233D4C">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10</w:t>
            </w:r>
          </w:p>
        </w:tc>
        <w:tc>
          <w:tcPr>
            <w:tcW w:w="1979" w:type="dxa"/>
            <w:shd w:val="clear" w:color="auto" w:fill="FFFFFF"/>
            <w:vAlign w:val="center"/>
          </w:tcPr>
          <w:p w14:paraId="785B181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经营性用地做地出让</w:t>
            </w:r>
          </w:p>
        </w:tc>
        <w:tc>
          <w:tcPr>
            <w:tcW w:w="4985" w:type="dxa"/>
            <w:shd w:val="clear" w:color="auto" w:fill="FFFFFF"/>
            <w:vAlign w:val="center"/>
          </w:tcPr>
          <w:p w14:paraId="39EDF0C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财政局与资规局对接后，对资金要素中的经营性用地做地出让情况进行反馈，预计明年经营性用地做地出让可达80亿元。</w:t>
            </w:r>
          </w:p>
        </w:tc>
        <w:tc>
          <w:tcPr>
            <w:tcW w:w="1560" w:type="dxa"/>
            <w:shd w:val="clear" w:color="auto" w:fill="FFFFFF"/>
            <w:vAlign w:val="center"/>
          </w:tcPr>
          <w:p w14:paraId="4A10F49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市自然资源和规划局、市财政局</w:t>
            </w:r>
          </w:p>
        </w:tc>
        <w:tc>
          <w:tcPr>
            <w:tcW w:w="5649" w:type="dxa"/>
            <w:shd w:val="clear" w:color="auto" w:fill="FFFFFF"/>
            <w:vAlign w:val="center"/>
          </w:tcPr>
          <w:p w14:paraId="3A2FA0E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2021年经营性用地共出让10宗，出让金额合计为77.29亿元；2022年经营性用地共计出让13宗，出让金额合计为60.78亿元；2023年1月-6月，23年经营性用地已出让11宗，出让金额合计为25.65亿元。</w:t>
            </w:r>
          </w:p>
        </w:tc>
      </w:tr>
      <w:tr w14:paraId="6618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6C060B80">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11</w:t>
            </w:r>
          </w:p>
        </w:tc>
        <w:tc>
          <w:tcPr>
            <w:tcW w:w="1979" w:type="dxa"/>
            <w:shd w:val="clear" w:color="DDEBF7" w:fill="FFFFFF"/>
            <w:vAlign w:val="center"/>
          </w:tcPr>
          <w:p w14:paraId="7411214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社会资本引进</w:t>
            </w:r>
          </w:p>
        </w:tc>
        <w:tc>
          <w:tcPr>
            <w:tcW w:w="4985" w:type="dxa"/>
            <w:shd w:val="clear" w:color="DDEBF7" w:fill="FFFFFF"/>
            <w:vAlign w:val="center"/>
          </w:tcPr>
          <w:p w14:paraId="5BC3FA7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进一步加大PPP推进力度，引进社会资本，拓宽政府投资项目资金保障渠道。</w:t>
            </w:r>
          </w:p>
        </w:tc>
        <w:tc>
          <w:tcPr>
            <w:tcW w:w="1560" w:type="dxa"/>
            <w:shd w:val="clear" w:color="DDEBF7" w:fill="FFFFFF"/>
            <w:vAlign w:val="center"/>
          </w:tcPr>
          <w:p w14:paraId="5E0E265F">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市财政局、市发改局（投资专班）</w:t>
            </w:r>
          </w:p>
        </w:tc>
        <w:tc>
          <w:tcPr>
            <w:tcW w:w="5649" w:type="dxa"/>
            <w:shd w:val="clear" w:color="DDEBF7" w:fill="FFFFFF"/>
            <w:vAlign w:val="center"/>
          </w:tcPr>
          <w:p w14:paraId="3D57CCBE">
            <w:pPr>
              <w:widowControl/>
              <w:spacing w:line="280" w:lineRule="exact"/>
              <w:textAlignment w:val="center"/>
              <w:rPr>
                <w:rFonts w:ascii="Times New Roman" w:hAnsi="Times New Roman" w:cs="Times New Roman"/>
                <w:color w:val="000000"/>
                <w:szCs w:val="21"/>
              </w:rPr>
            </w:pPr>
            <w:r>
              <w:rPr>
                <w:rFonts w:hint="eastAsia" w:ascii="Times New Roman" w:hAnsi="Times New Roman" w:cs="Times New Roman"/>
                <w:color w:val="000000"/>
                <w:kern w:val="0"/>
                <w:sz w:val="21"/>
                <w:szCs w:val="21"/>
                <w:lang w:bidi="ar"/>
              </w:rPr>
              <w:t>两年半来</w:t>
            </w:r>
            <w:r>
              <w:rPr>
                <w:rFonts w:ascii="Times New Roman" w:hAnsi="Times New Roman" w:cs="Times New Roman"/>
                <w:color w:val="000000"/>
                <w:kern w:val="0"/>
                <w:sz w:val="21"/>
                <w:szCs w:val="21"/>
                <w:lang w:bidi="ar"/>
              </w:rPr>
              <w:t>，共实施8个PPP项目，涉及社会资本投资39.35亿元。其中：完工3个，投资金额21.20亿元；续建2个，投资金额16.98亿元；新增3个，投资金额1.17亿元。</w:t>
            </w:r>
          </w:p>
        </w:tc>
      </w:tr>
      <w:tr w14:paraId="4DF0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1CC1C4EE">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12</w:t>
            </w:r>
          </w:p>
        </w:tc>
        <w:tc>
          <w:tcPr>
            <w:tcW w:w="1979" w:type="dxa"/>
            <w:shd w:val="clear" w:color="auto" w:fill="FFFFFF"/>
            <w:vAlign w:val="center"/>
          </w:tcPr>
          <w:p w14:paraId="6D8A704A">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产业基金运行</w:t>
            </w:r>
          </w:p>
        </w:tc>
        <w:tc>
          <w:tcPr>
            <w:tcW w:w="4985" w:type="dxa"/>
            <w:shd w:val="clear" w:color="auto" w:fill="FFFFFF"/>
            <w:vAlign w:val="center"/>
          </w:tcPr>
          <w:p w14:paraId="7DDAB84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进一步发挥政府产业基金作用，引导、撬动社会资本共同投向我市实体产业，提高企业直接融资比例，促进我市产业转型升级。</w:t>
            </w:r>
          </w:p>
        </w:tc>
        <w:tc>
          <w:tcPr>
            <w:tcW w:w="1560" w:type="dxa"/>
            <w:shd w:val="clear" w:color="auto" w:fill="FFFFFF"/>
            <w:vAlign w:val="center"/>
          </w:tcPr>
          <w:p w14:paraId="5AA4682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市财政局（市国投）</w:t>
            </w:r>
          </w:p>
        </w:tc>
        <w:tc>
          <w:tcPr>
            <w:tcW w:w="5649" w:type="dxa"/>
            <w:shd w:val="clear" w:color="auto" w:fill="FFFFFF"/>
            <w:vAlign w:val="center"/>
          </w:tcPr>
          <w:p w14:paraId="388CEE1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截至2023年6月，我市政府参股基金8支，总规模85.5亿元（不包含国家制造业转型升级子基金），直投项目2个；总认缴44.5亿元，完成投资额10.7亿，落地本地项目6个。</w:t>
            </w:r>
          </w:p>
        </w:tc>
      </w:tr>
      <w:tr w14:paraId="110C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207ADCDC">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13</w:t>
            </w:r>
          </w:p>
        </w:tc>
        <w:tc>
          <w:tcPr>
            <w:tcW w:w="1979" w:type="dxa"/>
            <w:shd w:val="clear" w:color="DDEBF7" w:fill="FFFFFF"/>
            <w:vAlign w:val="center"/>
          </w:tcPr>
          <w:p w14:paraId="36DC7AB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人才引育</w:t>
            </w:r>
          </w:p>
        </w:tc>
        <w:tc>
          <w:tcPr>
            <w:tcW w:w="4985" w:type="dxa"/>
            <w:shd w:val="clear" w:color="DDEBF7" w:fill="FFFFFF"/>
            <w:vAlign w:val="center"/>
          </w:tcPr>
          <w:p w14:paraId="24615861">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人才规模质量大幅提升。到2025年，全市人才资源总量将达到25.14万人；新引进培育杰出人才、领军人才和青年拔尖人才300名以上，省级以上优秀青年人才100名以上，招引高水平创新团队和创业项目50个以上、创业创新青年人才500人以上，培育技能型人才5000人以上，新增高校毕业生5万人以上，人才净流入率达5%。</w:t>
            </w:r>
          </w:p>
        </w:tc>
        <w:tc>
          <w:tcPr>
            <w:tcW w:w="1560" w:type="dxa"/>
            <w:shd w:val="clear" w:color="DDEBF7" w:fill="FFFFFF"/>
            <w:vAlign w:val="center"/>
          </w:tcPr>
          <w:p w14:paraId="5C7E73D8">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市委组织部（市委人才办）</w:t>
            </w:r>
            <w:r>
              <w:rPr>
                <w:rFonts w:hint="eastAsia" w:ascii="Times New Roman" w:hAnsi="Times New Roman" w:cs="Times New Roman"/>
                <w:color w:val="000000"/>
                <w:kern w:val="0"/>
                <w:sz w:val="21"/>
                <w:szCs w:val="21"/>
                <w:lang w:bidi="ar"/>
              </w:rPr>
              <w:t>、市人社局</w:t>
            </w:r>
          </w:p>
        </w:tc>
        <w:tc>
          <w:tcPr>
            <w:tcW w:w="5649" w:type="dxa"/>
            <w:shd w:val="clear" w:color="DDEBF7" w:fill="FFFFFF"/>
            <w:vAlign w:val="center"/>
          </w:tcPr>
          <w:p w14:paraId="4B4E1697">
            <w:pPr>
              <w:widowControl/>
              <w:spacing w:line="280" w:lineRule="exact"/>
              <w:textAlignment w:val="center"/>
              <w:rPr>
                <w:rFonts w:ascii="Times New Roman" w:hAnsi="Times New Roman" w:cs="Times New Roman"/>
                <w:color w:val="000000"/>
                <w:kern w:val="0"/>
                <w:sz w:val="21"/>
                <w:szCs w:val="21"/>
                <w:lang w:eastAsia="zh-Hans" w:bidi="ar"/>
              </w:rPr>
            </w:pPr>
            <w:r>
              <w:rPr>
                <w:rFonts w:hint="eastAsia" w:ascii="Times New Roman" w:hAnsi="Times New Roman" w:cs="Times New Roman"/>
                <w:color w:val="000000"/>
                <w:kern w:val="0"/>
                <w:sz w:val="21"/>
                <w:szCs w:val="21"/>
                <w:lang w:eastAsia="zh-Hans" w:bidi="ar"/>
              </w:rPr>
              <w:t>①两年半来</w:t>
            </w:r>
            <w:r>
              <w:rPr>
                <w:rFonts w:ascii="Times New Roman" w:hAnsi="Times New Roman" w:cs="Times New Roman"/>
                <w:color w:val="000000"/>
                <w:kern w:val="0"/>
                <w:sz w:val="21"/>
                <w:szCs w:val="21"/>
                <w:lang w:eastAsia="zh-Hans" w:bidi="ar"/>
              </w:rPr>
              <w:t>，</w:t>
            </w:r>
            <w:r>
              <w:rPr>
                <w:rFonts w:hint="eastAsia" w:ascii="Times New Roman" w:hAnsi="Times New Roman" w:cs="Times New Roman"/>
                <w:color w:val="000000"/>
                <w:kern w:val="0"/>
                <w:sz w:val="21"/>
                <w:szCs w:val="21"/>
                <w:lang w:eastAsia="zh-Hans" w:bidi="ar"/>
              </w:rPr>
              <w:t>累计新引进培育杰出人才、领军人才和青年拔尖人才18人，省级以上优秀青年人才50名，招引高水平创新团队和创业项目8个，培育技能型人才3.0万人，新增高校毕业生4.2万人。②全市人才资源总量超31万人(那一年数据)，连续多年居温州第一。</w:t>
            </w:r>
          </w:p>
        </w:tc>
      </w:tr>
      <w:tr w14:paraId="76BA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6C1CBCB9">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14</w:t>
            </w:r>
          </w:p>
        </w:tc>
        <w:tc>
          <w:tcPr>
            <w:tcW w:w="1979" w:type="dxa"/>
            <w:shd w:val="clear" w:color="auto" w:fill="FFFFFF"/>
            <w:vAlign w:val="center"/>
          </w:tcPr>
          <w:p w14:paraId="7D10C0B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人才平台建设</w:t>
            </w:r>
          </w:p>
        </w:tc>
        <w:tc>
          <w:tcPr>
            <w:tcW w:w="4985" w:type="dxa"/>
            <w:shd w:val="clear" w:color="auto" w:fill="FFFFFF"/>
            <w:vAlign w:val="center"/>
          </w:tcPr>
          <w:p w14:paraId="3213871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人才创新平台重大突破。重点抓好温州（瑞安）智能汽车零部件产业工程师协同创新中心等一批高能级创新平台、产业创新服务综合体、飞地创新平台、工业互联网创新平台，到2025年，基本形成“前端研发+中端加速+后端产业化”“城人产”融合的创新体系。</w:t>
            </w:r>
          </w:p>
        </w:tc>
        <w:tc>
          <w:tcPr>
            <w:tcW w:w="1560" w:type="dxa"/>
            <w:shd w:val="clear" w:color="auto" w:fill="FFFFFF"/>
            <w:vAlign w:val="center"/>
          </w:tcPr>
          <w:p w14:paraId="53E4149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市委组织部（市委人才办）、</w:t>
            </w:r>
            <w:r>
              <w:rPr>
                <w:rFonts w:hint="eastAsia" w:ascii="Times New Roman" w:hAnsi="Times New Roman" w:cs="Times New Roman"/>
                <w:color w:val="000000"/>
                <w:kern w:val="0"/>
                <w:sz w:val="21"/>
                <w:szCs w:val="21"/>
                <w:lang w:bidi="ar"/>
              </w:rPr>
              <w:t>市科技局</w:t>
            </w:r>
          </w:p>
        </w:tc>
        <w:tc>
          <w:tcPr>
            <w:tcW w:w="5649" w:type="dxa"/>
            <w:shd w:val="clear" w:color="auto" w:fill="FFFFFF"/>
            <w:vAlign w:val="center"/>
          </w:tcPr>
          <w:p w14:paraId="28EDA13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成功导入“国字号”中国汽车工程学会，打造温州（瑞安）智能汽车零部件产业工程师协同创新中心，现已落地运营。并被列入首批“科创中国”产学研协作类创新基地，成为唯一一家入选的县级单位</w:t>
            </w:r>
          </w:p>
        </w:tc>
      </w:tr>
      <w:tr w14:paraId="267D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shd w:val="clear" w:color="DDEBF7" w:fill="FFFFFF"/>
            <w:vAlign w:val="center"/>
          </w:tcPr>
          <w:p w14:paraId="3039A75B">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15</w:t>
            </w:r>
          </w:p>
        </w:tc>
        <w:tc>
          <w:tcPr>
            <w:tcW w:w="1979" w:type="dxa"/>
            <w:shd w:val="clear" w:color="DDEBF7" w:fill="FFFFFF"/>
            <w:vAlign w:val="center"/>
          </w:tcPr>
          <w:p w14:paraId="007BC709">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人才住房保障</w:t>
            </w:r>
          </w:p>
        </w:tc>
        <w:tc>
          <w:tcPr>
            <w:tcW w:w="4985" w:type="dxa"/>
            <w:shd w:val="clear" w:color="DDEBF7" w:fill="FFFFFF"/>
            <w:vAlign w:val="center"/>
          </w:tcPr>
          <w:p w14:paraId="74BF5CFF">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人才住房保障显著优化。深入实施人才住房“369”工程，稳步推行人才公寓租购同权，到2025年，通过新建改建、统筹盘活、租赁租购等方式，推出专家公寓300套、人才公寓600套、青年公寓（胶囊公寓）9000套。</w:t>
            </w:r>
          </w:p>
        </w:tc>
        <w:tc>
          <w:tcPr>
            <w:tcW w:w="1560" w:type="dxa"/>
            <w:shd w:val="clear" w:color="DDEBF7" w:fill="FFFFFF"/>
            <w:vAlign w:val="center"/>
          </w:tcPr>
          <w:p w14:paraId="155D9A8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市住建局</w:t>
            </w:r>
            <w:r>
              <w:rPr>
                <w:rFonts w:hint="eastAsia" w:ascii="Times New Roman" w:hAnsi="Times New Roman" w:cs="Times New Roman"/>
                <w:color w:val="000000"/>
                <w:kern w:val="0"/>
                <w:sz w:val="21"/>
                <w:szCs w:val="21"/>
                <w:lang w:bidi="ar"/>
              </w:rPr>
              <w:t>、</w:t>
            </w:r>
            <w:r>
              <w:rPr>
                <w:rFonts w:ascii="Times New Roman" w:hAnsi="Times New Roman" w:cs="Times New Roman"/>
                <w:color w:val="000000"/>
                <w:kern w:val="0"/>
                <w:sz w:val="21"/>
                <w:szCs w:val="21"/>
                <w:lang w:bidi="ar"/>
              </w:rPr>
              <w:t>市委组织部（市委人才办）</w:t>
            </w:r>
          </w:p>
        </w:tc>
        <w:tc>
          <w:tcPr>
            <w:tcW w:w="5649" w:type="dxa"/>
            <w:shd w:val="clear" w:color="DDEBF7" w:fill="FFFFFF"/>
            <w:vAlign w:val="center"/>
          </w:tcPr>
          <w:p w14:paraId="58D82227">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截至</w:t>
            </w:r>
            <w:r>
              <w:rPr>
                <w:rFonts w:hint="eastAsia" w:ascii="Times New Roman" w:hAnsi="Times New Roman" w:cs="Times New Roman"/>
                <w:color w:val="000000"/>
                <w:kern w:val="0"/>
                <w:sz w:val="21"/>
                <w:szCs w:val="21"/>
                <w:lang w:bidi="ar"/>
              </w:rPr>
              <w:t>2023年6月</w:t>
            </w:r>
            <w:r>
              <w:rPr>
                <w:rFonts w:ascii="Times New Roman" w:hAnsi="Times New Roman" w:cs="Times New Roman"/>
                <w:color w:val="000000"/>
                <w:kern w:val="0"/>
                <w:sz w:val="21"/>
                <w:szCs w:val="21"/>
                <w:lang w:bidi="ar"/>
              </w:rPr>
              <w:t>，通过新建改建、统筹盘活、租赁租购等方式，已推出专家公寓178套、人才公寓687套、青年公寓（胶囊公寓）5775套。</w:t>
            </w:r>
          </w:p>
        </w:tc>
      </w:tr>
      <w:tr w14:paraId="787C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34E10070">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16</w:t>
            </w:r>
          </w:p>
        </w:tc>
        <w:tc>
          <w:tcPr>
            <w:tcW w:w="1979" w:type="dxa"/>
            <w:shd w:val="clear" w:color="auto" w:fill="FFFFFF"/>
            <w:vAlign w:val="center"/>
          </w:tcPr>
          <w:p w14:paraId="452F53FD">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新能源（清洁能源）</w:t>
            </w:r>
          </w:p>
        </w:tc>
        <w:tc>
          <w:tcPr>
            <w:tcW w:w="4985" w:type="dxa"/>
            <w:shd w:val="clear" w:color="auto" w:fill="FFFFFF"/>
            <w:vAlign w:val="center"/>
          </w:tcPr>
          <w:p w14:paraId="4BECEFC6">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大力发展风能、太阳能等清洁能源，加快实施光伏发电、风力发电项目。推广应用天然气，加快城镇天然气管道网络建设，推进全市天然气门站、气化站、汽车加气站等场站建设。</w:t>
            </w:r>
          </w:p>
        </w:tc>
        <w:tc>
          <w:tcPr>
            <w:tcW w:w="1560" w:type="dxa"/>
            <w:shd w:val="clear" w:color="auto" w:fill="FFFFFF"/>
            <w:vAlign w:val="center"/>
          </w:tcPr>
          <w:p w14:paraId="7C0E6950">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市综合行政执法局、市发改局</w:t>
            </w:r>
          </w:p>
        </w:tc>
        <w:tc>
          <w:tcPr>
            <w:tcW w:w="5649" w:type="dxa"/>
            <w:shd w:val="clear" w:color="auto" w:fill="FFFFFF"/>
            <w:vAlign w:val="center"/>
          </w:tcPr>
          <w:p w14:paraId="4D02D182">
            <w:pPr>
              <w:widowControl/>
              <w:spacing w:line="280" w:lineRule="exact"/>
              <w:textAlignment w:val="center"/>
              <w:rPr>
                <w:rFonts w:ascii="Times New Roman" w:hAnsi="Times New Roman" w:cs="Times New Roman"/>
                <w:color w:val="000000"/>
                <w:szCs w:val="21"/>
              </w:rPr>
            </w:pPr>
            <w:r>
              <w:rPr>
                <w:rFonts w:hint="eastAsia" w:ascii="仿宋_GB2312" w:hAnsi="等线" w:cs="宋体"/>
                <w:kern w:val="0"/>
                <w:sz w:val="21"/>
                <w:szCs w:val="21"/>
              </w:rPr>
              <w:t>①</w:t>
            </w:r>
            <w:r>
              <w:rPr>
                <w:rFonts w:ascii="Times New Roman" w:hAnsi="Times New Roman" w:cs="Times New Roman"/>
                <w:color w:val="000000"/>
                <w:kern w:val="0"/>
                <w:sz w:val="21"/>
                <w:szCs w:val="21"/>
                <w:lang w:bidi="ar"/>
              </w:rPr>
              <w:t>成立清洁能源发展工作领导小组，发布《瑞安市关于全面推进清洁能源发展的意见》《瑞安市统筹推进能源绿色低碳发展和保供稳价工作三年行动方案》，出台《瑞安市分布式光伏发电项目管理办法》《瑞安市分布式光伏发电项目资金奖补办法》，深入实施“风光倍增”工程；</w:t>
            </w:r>
            <w:r>
              <w:rPr>
                <w:rFonts w:hint="eastAsia" w:ascii="仿宋_GB2312" w:hAnsi="等线" w:cs="宋体"/>
                <w:kern w:val="0"/>
                <w:sz w:val="21"/>
                <w:szCs w:val="21"/>
              </w:rPr>
              <w:t>②</w:t>
            </w:r>
            <w:r>
              <w:rPr>
                <w:rFonts w:ascii="Times New Roman" w:hAnsi="Times New Roman" w:cs="Times New Roman"/>
                <w:color w:val="000000"/>
                <w:kern w:val="0"/>
                <w:sz w:val="21"/>
                <w:szCs w:val="21"/>
                <w:lang w:bidi="ar"/>
              </w:rPr>
              <w:t>瑞安1号海上风电项目已完成赋码并核准，大唐瑞安马屿镇5万千瓦林光互补光伏发电项目已完成部分并网发电，天然气江南门站拟开展建设；</w:t>
            </w:r>
            <w:r>
              <w:rPr>
                <w:rFonts w:hint="eastAsia" w:ascii="仿宋_GB2312" w:hAnsi="等线" w:cs="宋体"/>
                <w:kern w:val="0"/>
                <w:sz w:val="21"/>
                <w:szCs w:val="21"/>
              </w:rPr>
              <w:t>③</w:t>
            </w:r>
            <w:r>
              <w:rPr>
                <w:rFonts w:hint="eastAsia" w:ascii="Times New Roman" w:hAnsi="Times New Roman" w:cs="Times New Roman"/>
                <w:color w:val="000000"/>
                <w:kern w:val="0"/>
                <w:sz w:val="21"/>
                <w:szCs w:val="21"/>
                <w:lang w:eastAsia="zh-CN" w:bidi="ar"/>
              </w:rPr>
              <w:t>截至2023年6月，</w:t>
            </w:r>
            <w:r>
              <w:rPr>
                <w:rFonts w:ascii="Times New Roman" w:hAnsi="Times New Roman" w:cs="Times New Roman"/>
                <w:color w:val="000000"/>
                <w:kern w:val="0"/>
                <w:sz w:val="21"/>
                <w:szCs w:val="21"/>
                <w:lang w:bidi="ar"/>
              </w:rPr>
              <w:t>已建设燃气管道316km、置换天然气用户4000余户，完成分布式光伏并网7.8万千瓦。</w:t>
            </w:r>
          </w:p>
        </w:tc>
      </w:tr>
      <w:tr w14:paraId="486B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DDEBF7" w:fill="FFFFFF"/>
            <w:vAlign w:val="center"/>
          </w:tcPr>
          <w:p w14:paraId="1CA2AC6F">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17</w:t>
            </w:r>
          </w:p>
        </w:tc>
        <w:tc>
          <w:tcPr>
            <w:tcW w:w="1979" w:type="dxa"/>
            <w:shd w:val="clear" w:color="DDEBF7" w:fill="FFFFFF"/>
            <w:vAlign w:val="center"/>
          </w:tcPr>
          <w:p w14:paraId="1BF653C2">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电力</w:t>
            </w:r>
          </w:p>
        </w:tc>
        <w:tc>
          <w:tcPr>
            <w:tcW w:w="4985" w:type="dxa"/>
            <w:shd w:val="clear" w:color="DDEBF7" w:fill="FFFFFF"/>
            <w:vAlign w:val="center"/>
          </w:tcPr>
          <w:p w14:paraId="7CFA211C">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精准研判电力负荷需求，科学谋划“十四五”电力发展，加快推进能源互联网形态下多元融合高弹性电网的建设。</w:t>
            </w:r>
          </w:p>
        </w:tc>
        <w:tc>
          <w:tcPr>
            <w:tcW w:w="1560" w:type="dxa"/>
            <w:shd w:val="clear" w:color="DDEBF7" w:fill="FFFFFF"/>
            <w:vAlign w:val="center"/>
          </w:tcPr>
          <w:p w14:paraId="7AAEC8C3">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市供电局、市发改局</w:t>
            </w:r>
          </w:p>
        </w:tc>
        <w:tc>
          <w:tcPr>
            <w:tcW w:w="5649" w:type="dxa"/>
            <w:shd w:val="clear" w:color="DDEBF7" w:fill="FFFFFF"/>
            <w:vAlign w:val="center"/>
          </w:tcPr>
          <w:p w14:paraId="17903614">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修编《瑞安市电力设施空间布局专项规划》并获批复，</w:t>
            </w:r>
            <w:r>
              <w:rPr>
                <w:rFonts w:hint="eastAsia" w:ascii="Times New Roman" w:hAnsi="Times New Roman" w:cs="Times New Roman"/>
                <w:color w:val="000000"/>
                <w:kern w:val="0"/>
                <w:sz w:val="21"/>
                <w:szCs w:val="21"/>
                <w:lang w:bidi="ar"/>
              </w:rPr>
              <w:t>两年半来，顺利投产2项，在建4项</w:t>
            </w:r>
            <w:r>
              <w:rPr>
                <w:rFonts w:ascii="Times New Roman" w:hAnsi="Times New Roman" w:cs="Times New Roman"/>
                <w:color w:val="000000"/>
                <w:kern w:val="0"/>
                <w:sz w:val="21"/>
                <w:szCs w:val="21"/>
                <w:lang w:bidi="ar"/>
              </w:rPr>
              <w:t>。</w:t>
            </w:r>
          </w:p>
        </w:tc>
      </w:tr>
      <w:tr w14:paraId="411F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9" w:type="dxa"/>
            <w:shd w:val="clear" w:color="auto" w:fill="FFFFFF"/>
            <w:vAlign w:val="center"/>
          </w:tcPr>
          <w:p w14:paraId="71CC1730">
            <w:pPr>
              <w:widowControl/>
              <w:spacing w:line="280" w:lineRule="exact"/>
              <w:jc w:val="center"/>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18</w:t>
            </w:r>
          </w:p>
        </w:tc>
        <w:tc>
          <w:tcPr>
            <w:tcW w:w="1979" w:type="dxa"/>
            <w:shd w:val="clear" w:color="auto" w:fill="FFFFFF"/>
            <w:vAlign w:val="center"/>
          </w:tcPr>
          <w:p w14:paraId="0BDCC91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油品</w:t>
            </w:r>
          </w:p>
        </w:tc>
        <w:tc>
          <w:tcPr>
            <w:tcW w:w="4985" w:type="dxa"/>
            <w:shd w:val="clear" w:color="auto" w:fill="FFFFFF"/>
            <w:vAlign w:val="center"/>
          </w:tcPr>
          <w:p w14:paraId="6C61292E">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对成品油市场加强监督管理，规范经营行为，保障成品油市场安全稳定，确保油品充分供应。</w:t>
            </w:r>
          </w:p>
        </w:tc>
        <w:tc>
          <w:tcPr>
            <w:tcW w:w="1560" w:type="dxa"/>
            <w:shd w:val="clear" w:color="auto" w:fill="FFFFFF"/>
            <w:vAlign w:val="center"/>
          </w:tcPr>
          <w:p w14:paraId="38628802">
            <w:pPr>
              <w:widowControl/>
              <w:spacing w:line="280" w:lineRule="exact"/>
              <w:textAlignment w:val="center"/>
              <w:rPr>
                <w:rFonts w:ascii="Times New Roman" w:hAnsi="Times New Roman" w:cs="Times New Roman"/>
                <w:color w:val="000000"/>
                <w:szCs w:val="21"/>
              </w:rPr>
            </w:pPr>
            <w:r>
              <w:rPr>
                <w:rFonts w:ascii="Times New Roman" w:hAnsi="Times New Roman" w:cs="Times New Roman"/>
                <w:color w:val="000000"/>
                <w:kern w:val="0"/>
                <w:sz w:val="21"/>
                <w:szCs w:val="21"/>
                <w:lang w:bidi="ar"/>
              </w:rPr>
              <w:t>市商务局</w:t>
            </w:r>
          </w:p>
        </w:tc>
        <w:tc>
          <w:tcPr>
            <w:tcW w:w="5649" w:type="dxa"/>
            <w:shd w:val="clear" w:color="auto" w:fill="FFFFFF"/>
            <w:vAlign w:val="center"/>
          </w:tcPr>
          <w:p w14:paraId="66492374">
            <w:pPr>
              <w:widowControl/>
              <w:spacing w:line="280" w:lineRule="exact"/>
              <w:textAlignment w:val="center"/>
              <w:rPr>
                <w:rFonts w:ascii="Times New Roman" w:hAnsi="Times New Roman" w:cs="Times New Roman"/>
                <w:color w:val="000000"/>
                <w:szCs w:val="21"/>
              </w:rPr>
            </w:pPr>
            <w:r>
              <w:rPr>
                <w:rFonts w:hint="eastAsia" w:ascii="Calibri" w:hAnsi="Calibri" w:cs="Calibri"/>
                <w:color w:val="000000"/>
                <w:kern w:val="0"/>
                <w:sz w:val="21"/>
                <w:szCs w:val="21"/>
                <w:lang w:eastAsia="zh-Hans" w:bidi="ar"/>
              </w:rPr>
              <w:t>①2021年至2023年6月，新增加油站1家。截至2023年6月，全市持有省商务厅换发的《成品油零售企业经营批准证书》零售企业49个（加油站44个，加油点2个，加油船0艘，零售管理公司3个）。”②2021年至2022年，成品油销售量为645732吨。</w:t>
            </w:r>
          </w:p>
        </w:tc>
      </w:tr>
    </w:tbl>
    <w:p w14:paraId="4710B15E">
      <w:pPr>
        <w:rPr>
          <w:rFonts w:ascii="Times New Roman" w:hAnsi="Times New Roman" w:eastAsia="黑体" w:cs="Times New Roman"/>
          <w:szCs w:val="32"/>
        </w:rPr>
      </w:pPr>
      <w:r>
        <w:rPr>
          <w:rFonts w:ascii="Times New Roman" w:hAnsi="Times New Roman" w:eastAsia="黑体" w:cs="Times New Roman"/>
          <w:szCs w:val="32"/>
        </w:rPr>
        <w:br w:type="page"/>
      </w:r>
    </w:p>
    <w:p w14:paraId="7090CC98">
      <w:pPr>
        <w:ind w:firstLine="640"/>
        <w:outlineLvl w:val="0"/>
        <w:rPr>
          <w:rFonts w:ascii="Times New Roman" w:hAnsi="Times New Roman" w:eastAsia="黑体" w:cs="Times New Roman"/>
          <w:szCs w:val="32"/>
        </w:rPr>
      </w:pPr>
      <w:bookmarkStart w:id="89" w:name="_Toc7213"/>
      <w:r>
        <w:rPr>
          <w:rFonts w:ascii="Times New Roman" w:hAnsi="Times New Roman" w:eastAsia="黑体" w:cs="Times New Roman"/>
          <w:szCs w:val="32"/>
        </w:rPr>
        <w:t>附件</w:t>
      </w:r>
      <w:r>
        <w:rPr>
          <w:rFonts w:hint="eastAsia" w:ascii="Times New Roman" w:hAnsi="Times New Roman" w:eastAsia="黑体" w:cs="Times New Roman"/>
          <w:szCs w:val="32"/>
        </w:rPr>
        <w:t>7</w:t>
      </w:r>
      <w:r>
        <w:rPr>
          <w:rFonts w:ascii="Times New Roman" w:hAnsi="Times New Roman" w:eastAsia="黑体" w:cs="Times New Roman"/>
          <w:szCs w:val="32"/>
        </w:rPr>
        <w:t>：重大</w:t>
      </w:r>
      <w:r>
        <w:rPr>
          <w:rFonts w:hint="eastAsia" w:ascii="Times New Roman" w:hAnsi="Times New Roman" w:eastAsia="黑体" w:cs="Times New Roman"/>
          <w:szCs w:val="32"/>
        </w:rPr>
        <w:t>项目清单完成情况</w:t>
      </w:r>
      <w:bookmarkEnd w:id="89"/>
    </w:p>
    <w:p w14:paraId="7D212F9A">
      <w:pPr>
        <w:pStyle w:val="2"/>
        <w:spacing w:line="400" w:lineRule="exact"/>
        <w:jc w:val="right"/>
        <w:rPr>
          <w:rFonts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单位：万元</w:t>
      </w:r>
    </w:p>
    <w:tbl>
      <w:tblPr>
        <w:tblStyle w:val="18"/>
        <w:tblW w:w="5342" w:type="pct"/>
        <w:tblInd w:w="-459" w:type="dxa"/>
        <w:tblLayout w:type="fixed"/>
        <w:tblCellMar>
          <w:top w:w="0" w:type="dxa"/>
          <w:left w:w="108" w:type="dxa"/>
          <w:bottom w:w="0" w:type="dxa"/>
          <w:right w:w="108" w:type="dxa"/>
        </w:tblCellMar>
      </w:tblPr>
      <w:tblGrid>
        <w:gridCol w:w="425"/>
        <w:gridCol w:w="1988"/>
        <w:gridCol w:w="682"/>
        <w:gridCol w:w="1017"/>
        <w:gridCol w:w="3816"/>
        <w:gridCol w:w="954"/>
        <w:gridCol w:w="1090"/>
        <w:gridCol w:w="1635"/>
        <w:gridCol w:w="890"/>
        <w:gridCol w:w="893"/>
        <w:gridCol w:w="902"/>
        <w:gridCol w:w="851"/>
      </w:tblGrid>
      <w:tr w14:paraId="62A2C269">
        <w:tblPrEx>
          <w:tblCellMar>
            <w:top w:w="0" w:type="dxa"/>
            <w:left w:w="108" w:type="dxa"/>
            <w:bottom w:w="0" w:type="dxa"/>
            <w:right w:w="108" w:type="dxa"/>
          </w:tblCellMar>
        </w:tblPrEx>
        <w:trPr>
          <w:trHeight w:val="20" w:hRule="atLeast"/>
          <w:tblHeader/>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B19A1">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序号</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89D9">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项目名称</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A9575">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项目性质</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9CB38">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建设工期</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E2C39">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实施内容和规模</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47E0">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总投资</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5BA3A">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“十四五”计划投资</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3CEB9">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责任单位</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6CBCF">
            <w:pPr>
              <w:widowControl/>
              <w:spacing w:line="24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2021年</w:t>
            </w:r>
          </w:p>
          <w:p w14:paraId="0B8CB08F">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投资额</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69E8">
            <w:pPr>
              <w:widowControl/>
              <w:spacing w:line="24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2022年</w:t>
            </w:r>
          </w:p>
          <w:p w14:paraId="0D3DDDA9">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投资额</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3731">
            <w:pPr>
              <w:widowControl/>
              <w:spacing w:line="240" w:lineRule="exact"/>
              <w:jc w:val="center"/>
              <w:textAlignment w:val="center"/>
              <w:rPr>
                <w:rStyle w:val="63"/>
                <w:rFonts w:hint="default" w:ascii="Times New Roman" w:hAnsi="Times New Roman" w:cs="Times New Roman"/>
                <w:color w:val="auto"/>
              </w:rPr>
            </w:pPr>
            <w:r>
              <w:rPr>
                <w:rStyle w:val="62"/>
                <w:rFonts w:hint="default" w:ascii="Times New Roman" w:hAnsi="Times New Roman" w:cs="Times New Roman"/>
                <w:b/>
                <w:bCs/>
                <w:color w:val="auto"/>
              </w:rPr>
              <w:t>2023</w:t>
            </w:r>
            <w:r>
              <w:rPr>
                <w:rStyle w:val="63"/>
                <w:rFonts w:hint="default" w:ascii="Times New Roman" w:hAnsi="Times New Roman" w:cs="Times New Roman"/>
                <w:color w:val="auto"/>
              </w:rPr>
              <w:t>年</w:t>
            </w:r>
          </w:p>
          <w:p w14:paraId="511C875C">
            <w:pPr>
              <w:widowControl/>
              <w:spacing w:line="240" w:lineRule="exact"/>
              <w:jc w:val="center"/>
              <w:textAlignment w:val="center"/>
              <w:rPr>
                <w:rStyle w:val="63"/>
                <w:rFonts w:hint="default" w:ascii="Times New Roman" w:hAnsi="Times New Roman" w:cs="Times New Roman"/>
                <w:color w:val="auto"/>
              </w:rPr>
            </w:pPr>
            <w:r>
              <w:rPr>
                <w:rStyle w:val="63"/>
                <w:rFonts w:hint="default" w:ascii="Times New Roman" w:hAnsi="Times New Roman" w:cs="Times New Roman"/>
                <w:color w:val="auto"/>
              </w:rPr>
              <w:t>上半年</w:t>
            </w:r>
          </w:p>
          <w:p w14:paraId="3A1724B0">
            <w:pPr>
              <w:widowControl/>
              <w:spacing w:line="240" w:lineRule="exact"/>
              <w:jc w:val="center"/>
              <w:textAlignment w:val="center"/>
              <w:rPr>
                <w:rFonts w:ascii="Times New Roman" w:hAnsi="Times New Roman" w:eastAsia="宋体" w:cs="Times New Roman"/>
                <w:sz w:val="18"/>
                <w:szCs w:val="18"/>
              </w:rPr>
            </w:pPr>
            <w:r>
              <w:rPr>
                <w:rStyle w:val="63"/>
                <w:rFonts w:hint="default" w:ascii="Times New Roman" w:hAnsi="Times New Roman" w:cs="Times New Roman"/>
                <w:color w:val="auto"/>
              </w:rPr>
              <w:t>投资额</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F4068">
            <w:pPr>
              <w:widowControl/>
              <w:spacing w:line="24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两年半投资额</w:t>
            </w:r>
          </w:p>
        </w:tc>
      </w:tr>
      <w:tr w14:paraId="6A735F67">
        <w:tblPrEx>
          <w:tblCellMar>
            <w:top w:w="0" w:type="dxa"/>
            <w:left w:w="108" w:type="dxa"/>
            <w:bottom w:w="0" w:type="dxa"/>
            <w:right w:w="108" w:type="dxa"/>
          </w:tblCellMar>
        </w:tblPrEx>
        <w:trPr>
          <w:trHeight w:val="20" w:hRule="atLeast"/>
        </w:trPr>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2AC5A">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合计（289）</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4F640">
            <w:pPr>
              <w:widowControl/>
              <w:spacing w:line="260" w:lineRule="exact"/>
              <w:jc w:val="center"/>
              <w:rPr>
                <w:rFonts w:ascii="Times New Roman" w:hAnsi="Times New Roman" w:eastAsia="宋体" w:cs="Times New Roman"/>
                <w:b/>
                <w:bCs/>
                <w:sz w:val="18"/>
                <w:szCs w:val="18"/>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CC362">
            <w:pPr>
              <w:widowControl/>
              <w:spacing w:line="260" w:lineRule="exact"/>
              <w:jc w:val="center"/>
              <w:rPr>
                <w:rFonts w:ascii="Times New Roman" w:hAnsi="Times New Roman" w:eastAsia="宋体" w:cs="Times New Roman"/>
                <w:b/>
                <w:bCs/>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1DB14">
            <w:pPr>
              <w:widowControl/>
              <w:spacing w:line="260" w:lineRule="exact"/>
              <w:jc w:val="left"/>
              <w:rPr>
                <w:rFonts w:ascii="Times New Roman" w:hAnsi="Times New Roman" w:eastAsia="宋体" w:cs="Times New Roman"/>
                <w:b/>
                <w:bCs/>
                <w:sz w:val="18"/>
                <w:szCs w:val="18"/>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2D1AB">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55842307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DC087">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23458451</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EC9F8">
            <w:pPr>
              <w:widowControl/>
              <w:spacing w:line="260" w:lineRule="exact"/>
              <w:jc w:val="center"/>
              <w:rPr>
                <w:rFonts w:ascii="Times New Roman" w:hAnsi="Times New Roman" w:eastAsia="宋体" w:cs="Times New Roman"/>
                <w:b/>
                <w:bCs/>
                <w:sz w:val="18"/>
                <w:szCs w:val="18"/>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D70EB">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1942547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85725">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2047747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5818">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1278302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7BC10">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5268596</w:t>
            </w:r>
          </w:p>
        </w:tc>
      </w:tr>
      <w:tr w14:paraId="00427E44">
        <w:tblPrEx>
          <w:tblCellMar>
            <w:top w:w="0" w:type="dxa"/>
            <w:left w:w="108" w:type="dxa"/>
            <w:bottom w:w="0" w:type="dxa"/>
            <w:right w:w="108" w:type="dxa"/>
          </w:tblCellMar>
        </w:tblPrEx>
        <w:trPr>
          <w:trHeight w:val="20" w:hRule="atLeast"/>
        </w:trPr>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474BF">
            <w:pPr>
              <w:widowControl/>
              <w:spacing w:line="260" w:lineRule="exact"/>
              <w:jc w:val="left"/>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1、交通能源项目（50）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22AC9">
            <w:pPr>
              <w:widowControl/>
              <w:spacing w:line="260" w:lineRule="exact"/>
              <w:jc w:val="center"/>
              <w:rPr>
                <w:rFonts w:ascii="Times New Roman" w:hAnsi="Times New Roman" w:eastAsia="宋体" w:cs="Times New Roman"/>
                <w:sz w:val="18"/>
                <w:szCs w:val="18"/>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A476A">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F582C">
            <w:pPr>
              <w:widowControl/>
              <w:spacing w:line="260" w:lineRule="exact"/>
              <w:jc w:val="left"/>
              <w:rPr>
                <w:rFonts w:ascii="Times New Roman" w:hAnsi="Times New Roman" w:eastAsia="宋体" w:cs="Times New Roman"/>
                <w:sz w:val="18"/>
                <w:szCs w:val="18"/>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394B3">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12720829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6D06">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2761008</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2AE2">
            <w:pPr>
              <w:widowControl/>
              <w:spacing w:line="260" w:lineRule="exact"/>
              <w:jc w:val="center"/>
              <w:rPr>
                <w:rFonts w:ascii="Times New Roman" w:hAnsi="Times New Roman" w:eastAsia="宋体" w:cs="Times New Roman"/>
                <w:b/>
                <w:bCs/>
                <w:sz w:val="18"/>
                <w:szCs w:val="18"/>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5E8D2">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388085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AA1B2">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341279</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29315">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305007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3E9F0">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1034371</w:t>
            </w:r>
          </w:p>
        </w:tc>
      </w:tr>
      <w:tr w14:paraId="64C0497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0943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610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市域铁路S2线瑞安段建设工程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5D7A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F2AF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2017-2022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9A6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起于塘下与瓯海交界处，终于莘阳大道人民路站，线长约15.09km，沿线设置7个站点和汀田动车运用所，主线占地1063亩。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3E79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626093</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D6F9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272279</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260C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市交通工程建设中心（铁路建设中心）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DCDB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133000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2AF2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108271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FB21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63117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548B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304388</w:t>
            </w:r>
          </w:p>
        </w:tc>
      </w:tr>
      <w:tr w14:paraId="6D3A07E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6BAB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6C2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330国道场桥至罗凤段工程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579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4FAE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2AAC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起于陈岙与龙湾交界处，终于塘下大道，长约5.3km，一级公路兼顾城市道路，路基宽44m，设计时速80km。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90AC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121316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E5E6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63316</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DC7F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F064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15000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8296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17216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A436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30500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6268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62716</w:t>
            </w:r>
          </w:p>
        </w:tc>
      </w:tr>
      <w:tr w14:paraId="1B5833A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CE41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9760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104国道罗凤至塘下段改建工程（含拼宽部分）</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9391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95C0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6DDD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主线工程：起于塘下镇凤士村沈海高速公路（G15）塘下互通南侧，终于塘下镇上金村接104国道瑞安塘下至汀田段（瑞祥大道三期）起点，路线长约4.2km，一级公路，主线路宽48m，设计时速80km；拼宽工程：国道主路两侧人行道工程，各宽6.25m，长4.3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5ABE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96200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6068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96200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2F81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塘下镇政府、市交通工程建设中心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050D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70000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9232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41999</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02D4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13171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8AC9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125170</w:t>
            </w:r>
          </w:p>
        </w:tc>
      </w:tr>
      <w:tr w14:paraId="23BF101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B4AB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B95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228国道南滨段建设工程（三桥南延线）</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EAB9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090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2017-2022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A8DC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起于飞云江南桥头，终于吴桥头与平阳相接，路线长约4.3km，一级公路六车道宽33.5m，其中大桥2座，总计200m，中小桥6座，总计348m，设计速度100km。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F9F6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32501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4C12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5501</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F79F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市交通工程建设中心、南滨街道办事处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A838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4954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407B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226D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85AB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4954</w:t>
            </w:r>
          </w:p>
        </w:tc>
      </w:tr>
      <w:tr w14:paraId="7A184E5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E78F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5D0D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104国道西过境仙降至平阳萧江段</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0D2E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8CE0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2018-2021</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BD30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起于仙降街道南侧，顺接104国道西过境瓯海桐岭至仙降段改建工程向南终于湖岭背山所设隧道，路线长2.3km，一级公路6车道，宽32m，设计时速80km。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57D7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5873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ECB8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市交通工程建设中心、仙降街道办事处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E4C9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CDC4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920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2777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AB2A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3920</w:t>
            </w:r>
          </w:p>
        </w:tc>
      </w:tr>
      <w:tr w14:paraId="7586519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2DB1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C114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230省道宁益至龙湖段改建工程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A1E6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CB9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2016-2021</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0300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起于瑞安宁益，终于龙湖，路线长8.97km，其中大桥2座，总计1024m，中小桥5座，总计250m，路基宽12-15m，设计速度80km/h。</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85A7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31592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967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F628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11B5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1500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284C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EDDD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7E52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1500</w:t>
            </w:r>
          </w:p>
        </w:tc>
      </w:tr>
      <w:tr w14:paraId="662DAFE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D879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D0D3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龙湾至瑞安公路瑞安段工程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FE84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AD13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2017-2022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57B4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起于塘下，终于东山，路线长12.3km，一级公路六车道，路幅宽42-44m，设公路养护管理用房1处，设计速度80km/h。</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36A6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669B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70200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11F0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C0A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30452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4898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25296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4514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10954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F1EB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66702</w:t>
            </w:r>
          </w:p>
        </w:tc>
      </w:tr>
      <w:tr w14:paraId="0515485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0706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A1B2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温瑞大道南山隧道工程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19F6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B13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EF95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北起塘下岑头村，南至上山根村，城市快速道，长2.73km，其中隧道长约1.435km，路基27m，主线设计速度80km/h。</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A4EE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97561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CD9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67561</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A74A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市交通工程建设中心、瑞安塘下新区管委会、汀田街道办事处、莘塍街道办事处、安阳街道办事处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F9EF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30000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50E8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705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029A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3130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2B8B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33835</w:t>
            </w:r>
          </w:p>
        </w:tc>
      </w:tr>
      <w:tr w14:paraId="0A45805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349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0DBE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规划215省道与104国道连接线（塘岙底隧道及北接线）建设工程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536A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3C7A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F5B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南起文定路与瑞枫大道（规划215省道）平交口，北至塘下镇荣昌路，全长约3.812km，其中隧道段长1.87km，路基宽度32m、36m，双向4车道一级公路兼顾城市道路功能，设计速度60km/h。</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C948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82225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EF9F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61225</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BEAE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市交通工程建设中心、瑞安塘下新区管委会、瑞安安阳中心城区开发建设中心、安阳街道办事处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486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30000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879B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14955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3A07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4061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108A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49016</w:t>
            </w:r>
          </w:p>
        </w:tc>
      </w:tr>
      <w:tr w14:paraId="0759151E">
        <w:tblPrEx>
          <w:tblCellMar>
            <w:top w:w="0" w:type="dxa"/>
            <w:left w:w="108" w:type="dxa"/>
            <w:bottom w:w="0" w:type="dxa"/>
            <w:right w:w="108" w:type="dxa"/>
          </w:tblCellMar>
        </w:tblPrEx>
        <w:trPr>
          <w:trHeight w:val="1438"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8F9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FC59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东门交通枢纽及停车场工程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ADFC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D962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AD68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位于万松东路与瑞祥大道交叉口东北侧，该工程包括商务交通枢纽和社会停车场工程，总用地面积约21.26亩，总建筑面积约55046㎡，地上建筑面积约36000㎡，地下建筑面积约19046㎡，总停车位约400个。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792E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42234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6E22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33234</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F623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瑞安安阳中心城区开发建设中心、市国投集团</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D3FB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12729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EDC1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8157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FFFE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4507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7E1F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25393</w:t>
            </w:r>
          </w:p>
        </w:tc>
      </w:tr>
      <w:tr w14:paraId="3575F620">
        <w:tblPrEx>
          <w:tblCellMar>
            <w:top w:w="0" w:type="dxa"/>
            <w:left w:w="108" w:type="dxa"/>
            <w:bottom w:w="0" w:type="dxa"/>
            <w:right w:w="108" w:type="dxa"/>
          </w:tblCellMar>
        </w:tblPrEx>
        <w:trPr>
          <w:trHeight w:val="113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8926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7979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市域铁路S3线一期工程瑞安段</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322D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9730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2021-2028</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320A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一期工程起自温州火车站，止于瑞安新城广场站，线路总长约32.9km，采用双线市域动车组，车速140km/h，总投资约为156.7亿元，其中瑞安段长约16.9km，沿线设6个站点。</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AA1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856000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D9C0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FB58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市温瑞大道及S3线前期办、市交通工程建设中心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F941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6BEA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8820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E66D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4FF14C9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5C16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436B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瑞苍高速工程瑞安段</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231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A40B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2021-2028</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723D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四车道高速公路，设计时速100km,路基宽度26m，瑞安段长约4.41km。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7E7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A457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3573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市高速公路工程建设中心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65A2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22086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2938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20666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C002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16181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4E98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58933</w:t>
            </w:r>
          </w:p>
        </w:tc>
      </w:tr>
      <w:tr w14:paraId="2FD0566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3BA8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CA98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瑞湖高速公路（甬台温高速复线至绕城高速西南线瑞安联络线）工程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8597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6B31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2021-2028</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90FD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主线全长约25km，六车道高速公路，全线设枢纽5处（预留2处），设互通2处。</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6080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0F3B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474B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市交通运输局、市高速公路工程建设中心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D05B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D75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3122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68F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76900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4C2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80022</w:t>
            </w:r>
          </w:p>
        </w:tc>
      </w:tr>
      <w:tr w14:paraId="096D5D8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A93D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BDFA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322国道仙降至高楼改建工程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A3B7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EC5F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2021-2028</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C176C">
            <w:pPr>
              <w:widowControl/>
              <w:spacing w:line="24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包含322国道瑞安乙甲至岭脚段改建工程：东起马屿乙甲村，西至位于塔石岭隧道西侧出口岭脚村，一级公路四车道，长约3.8km；322国道瑞安仙降至马屿段改建工程：东起仙降街道，接104国道西过境与322国道交叉口，西至马屿镇乙甲村，一级公路刘车道，长约15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1605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9609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8C70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市交通运输局、市交通工程建设中心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68D7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62D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8FA5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76A8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EB7102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4FD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A9BA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211省道瑞安段建设工程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125D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A050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F6E0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包含：211省道瑞安塘下至经开区段工程、211省道瑞安华表至汀三段工程、211省道瑞安林川至湖岭段工程、211省道瑞安湖岭至陶山段改建工程。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8FD2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3C08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601D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市交通运输局、市交通工程建设中心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3C0F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7B67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1EE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98C1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32E18E4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FAF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AB14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228国道与瓯飞工程连接线工程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B2E0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AA54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2DDF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西起228国道，东至丁山三期西片围垦工程北片区边缘线。工程全长2.2km，红线宽度32m。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9677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110C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20EB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0044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3629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532C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B1CC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2952662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4FCA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411F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温瑞大道瑞安段（含永宁大桥）</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A368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B879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60F5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北起瑞安330国道与瓯海分界处，南至322国道，长约16.4km。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7352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1157600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B6FA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1F716">
            <w:pPr>
              <w:widowControl/>
              <w:spacing w:line="24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市温瑞大道及S3线前期办、市交通工程建设中心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ED72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6029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779A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54555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E00C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43740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6C50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104324</w:t>
            </w:r>
          </w:p>
        </w:tc>
      </w:tr>
      <w:tr w14:paraId="25196DD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66F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0768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322国道江南新区段提升工程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4B00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E1A9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1562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路线全长14km，在现状双向4车道基础上拓宽1个车道，路基宽25m；其他配套设施同步建设。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559D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8CB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8544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市高速公路工程建设中心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9272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3325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7029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12600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68C9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6256</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011E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22181</w:t>
            </w:r>
          </w:p>
        </w:tc>
      </w:tr>
      <w:tr w14:paraId="6CCCD15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4AC3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9864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永瑞公路四期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8FB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AE9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5099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位于芳庄乡山坑村、周湾村、周垟下村、周垟上村，全场4.633km，拟按四级公路标准建设。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1062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36315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0B67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0AF7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芳庄乡政府、市交通运输局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744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55CB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DA23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AAE9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1586209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A85C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0A20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飞鳌公路瑞安段工程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378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D9A6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DC68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起点接飞鳌公路平阳段，终于孙鳌公路，长约2.4km,双向六车道一级公路，路基宽32m。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E94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FA6D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3F0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FA75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1C1D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3891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4F84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0F5CFA2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5C60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8EFC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塘下客运站及智慧交运中心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4AF7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FEAE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6B5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公路二级客运站：用地面积约50亩，选址待定，包含长途客运和市内公交总站；交运中心：总建筑面积约40000㎡。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FF9F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6D3B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9F9F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E275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B9E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CEAD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4A03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6CCC730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1B43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C2A7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码头建设工程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C008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FF2D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FF2A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包括陆岛交通码头、散杂货运码头、通用码头等共10个3000吨级泊位。</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7434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74000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4716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1018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6B40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C21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C494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38B8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68B6E16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08B5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9543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分布式光伏屋顶项目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195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72F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5503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主要投资瑞安经济开发区阁巷高新小微园、置信工业园区、眼镜工业园区以及周边工业城市、乡镇和园区，通过标准化方式，在上述区域内符合要求的中小工业企业屋顶投资建设自发自用类分布式光伏电站，以“集中统筹、分散治理、个性设计、社企共赢”为目标，争取无死角覆盖该城市高耗能制造业企业，全方位助力瑞安市低碳乃至零碳目标实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C0D0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D2F9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D7DE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D90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7537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DBC4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4507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9FA4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4507</w:t>
            </w:r>
          </w:p>
        </w:tc>
      </w:tr>
      <w:tr w14:paraId="244BC4A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C33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A33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1#海上风电场工程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136F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4BF6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2022-2028</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403B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分两期建设，一期容量150000kW，二期容量450000kW，主要建设海上风机组、变电站及配套设施，总装机容量600000kW。</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0DAA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52FD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E341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市发展和改革局、瑞安经济开发区管委会、东山街道办事处、北麂乡政府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648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78F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DB23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4804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1AC7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4804</w:t>
            </w:r>
          </w:p>
        </w:tc>
      </w:tr>
      <w:tr w14:paraId="4195ABA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52EA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1E68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江南片区天然气供应项目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655F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D806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0BC4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拟规划选址位于南滨街道阁二村，占地面积约18亩，新建天然气门站一座，接收气量为2亿方/年，LNG气化站一座，近期储气规模为150立方，远期为450立方，消防水池、辅助用房等配套设施同步建设。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71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C929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B7AC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市综合执法局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359B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519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3A2E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020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641EA4D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A1C6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3285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电力改造提升项目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2F61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E0FA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2425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包括1、温州瑞安毓蒙（东山）110kV输变电工程，容量2×50MVA，线路长度10km；2、温州瑞安下湾110kV输变电工程，容量2×50MVA，线路长度6km；3、温州瑞安莘塍110kV输变电工程，容量2×50MVA，线路长度1km；4、温州振华220kV输变电工程，容量2×240MVA，线路长度4km；5、温州瑞安塘河110kV输变电工程，容量2×50MVA，线路长度6km；6、110kV输变电工程（110kV锦湖输变电工程、110kV滨城输变电工程、110kV云江输变电工程）；7、500kV瑞安输变电及瑞安变220kV送出工程，8、10kV及以下配网工程，新建10kV及以下线路长度800km，新增变电容量500000kVA；9、滨海大道以东高压线迁改工程；10、塘下汽摩配产业基地东区高压线迁改工程；11、江南大道高压线迁改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07C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463492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B2F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208492</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E20E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市供电局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15DC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20815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39F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23098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81BB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16902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79BD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60815</w:t>
            </w:r>
          </w:p>
        </w:tc>
      </w:tr>
      <w:tr w14:paraId="3D1447B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95FF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BFB8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江南导航台迁建工程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C28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FAF4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BAE8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位于南滨街道沙园村，322国道以南，占地面积约23亩。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3FF5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DE4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4F5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瑞安江南新区管委会、市发展和改革局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3E7F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5195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2AE7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9719</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F443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6277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4DA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21191</w:t>
            </w:r>
          </w:p>
        </w:tc>
      </w:tr>
      <w:tr w14:paraId="328A964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0D8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E112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温武吉铁路瑞安段</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74AD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79C7D">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9B1B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项目已列入国家中长期铁路网规划，拟建设技术规格为单线Ⅰ级，设计时速为160km（预留200km），客货兼容。从瓯海站起经瑞安向西至文成，瑞安境内路线长约55km。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0D25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A8CC6">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DA95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市交通运输局、市发展和改革局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5527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BAC6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3525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22C8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35D5934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950A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202A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沿海高铁瑞安段及瑞安东站</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93F8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E0B0D">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5B94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项目从龙湾进入瑞安往南至平阳、苍南，在甬台温高速公路复线内侧经过，拟建技术规格为双线Ⅰ级，设计时速350km，瑞安境内长度约17km，在瑞安东部设置一处枢纽站。</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7732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53A24">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D142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市交通运输局、市发展和改革局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7A56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4E3C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5999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12B0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4024E34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F310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AE23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温义高速南延至瑞平苍高速工程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F4ED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E1ECE">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C1ED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北起温义高速桥下互通接金丽温高速，南至龙丽温高速接瑞平苍高速，路线长约55km，瑞安段约34km。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902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48A1">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CC4C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77B3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E2C5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6C9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1C06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AD2007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E48E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4D8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甬台温高速瑞安段改扩建工程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1E6A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24EE7">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5768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八车道高速公路，设计时速100km，路基宽度41m，瑞安段长约15km。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857C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44F9D">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AA63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DC85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C5B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DDD4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B765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78A748E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08D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50B4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甬台温高速复线塘下东互通</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D5A0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30E1C">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F010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甬台温复线建设塘下东互通一处，并设置连接线接228国道，长约2km，双向六车道一级公路。</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CB2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78000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834C">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D3F1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0D7E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6881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287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AC2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3CA28EF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6467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43E0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瑞湖高速西延（绕西南至文青高速联络线）</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B573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E8ED1">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CF32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四车道</w:t>
            </w:r>
            <w:r>
              <w:rPr>
                <w:rFonts w:hint="eastAsia" w:ascii="Times New Roman" w:hAnsi="Times New Roman" w:eastAsia="宋体" w:cs="Times New Roman"/>
                <w:kern w:val="0"/>
                <w:sz w:val="18"/>
                <w:szCs w:val="18"/>
                <w:lang w:eastAsia="zh-CN"/>
              </w:rPr>
              <w:t>高速公路</w:t>
            </w:r>
            <w:r>
              <w:rPr>
                <w:rFonts w:ascii="Times New Roman" w:hAnsi="Times New Roman" w:eastAsia="宋体" w:cs="Times New Roman"/>
                <w:kern w:val="0"/>
                <w:sz w:val="18"/>
                <w:szCs w:val="18"/>
              </w:rPr>
              <w:t>，东起陶山枢纽接绕城西南线高速，西至文成玉壶接文青高速，路线长约40km，瑞安段约30km。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5176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E9E4F">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2F5A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6C2D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5D23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B9F5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3E58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5BE40B7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9886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A53B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228国道场桥至飞云江三桥段改建工程（滨海大道快速路）</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9579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EE6D0">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377C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起点为场桥与龙湾交界处，终点为开发区大道，高架双向六车道，长约12km。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0103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31069">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B6BE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0AF0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4C53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B1FA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97CF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37D7EB9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71F1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087B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218省道瑞安段改建工程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0B3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6BD31">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52E6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瑞安段全长约29km，一级公路12km，二级公路17km。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762F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B4AF">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455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77AB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57F6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0C58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AAB7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B73356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008C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9E0E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瑞枫公路桐浦至罗凤段改建工程（罗山大道西延）</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8586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15327">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5210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一级公里，长约12.8km。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CD63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198000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0FF3F">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35AD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259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35C9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252E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FAF2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5A638F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901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8B58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211省道瑞安东互通至瓯飞围垦区段工程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ACBC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7F3E">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315B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起点位于瑞安东互通，终点位于瓯飞围垦区内与经开区交界处，全长约9km，一级公路。</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0E81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A0CAB">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5F74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9105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A01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515E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02EA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70DD19D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132B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3A5C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高楼至湖岭公路</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DF82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D1261">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5B4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起点为57省道高楼宁益处，终点接瑞枫公路西延伸线永安段在建的凤山头大桥桥头，全长约13.5km，二级公路，路基宽10m。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131B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D3C88">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7434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市交通运输局、湖岭镇政府、高楼镇政府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B2E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688C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EEDA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5EE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7F2B50F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B789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EB01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平阳昆阳至瑞安马屿公路</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23D1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F2463">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DB47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甬台温高速平阳互通至龙丽温马屿互通，拟按二级公路标准建设，全长约10km，其中瑞安段5.5km。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EA1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48000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911F5">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C80F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89A5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20A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4E4F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3800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7030095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2745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304A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瑞枫公路瑞安东互通至齿头山公路</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1C6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D02FC">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2272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建设瑞安东互通至齿头山连岛公路，双车道二级公路，长约17km。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802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4B487">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63DD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3AE1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5340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8697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68C5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AC3DA3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78A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3C12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县域二级公路改建工程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AF46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4B658">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212D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包括岩松公路鹿木段改建、钱马公路曹村段改建工程、京屿公路改建工程、瞿马公路林溪至鹿木段改建工程，合计新建公路32.2km。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96B5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E2F54">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E2EE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87BE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11D2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E09A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C616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427F921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A9CD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B8D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塘梅公路东延伸线</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387C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B8F8C">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E407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一级公路六车道，长约6km。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925F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F310D">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23E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10EF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5A5A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7AE3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92BC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47ED252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8D50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8E90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塘下综合物流区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514B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3F006">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3A4B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服务于塘下及周边区域通用机械、电气机械等需求的现代化物流园区，占地约120000㎡。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8B30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CEBC4">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EA14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0BC7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C6D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98D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D436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74AE69D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C73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FA08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滨海客运站</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8350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16D15">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CD71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公铁枢纽站，与沿海高铁站点一起建设，占地面积35000㎡。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58FE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A655">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6CD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94C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4AC6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9318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40D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1EF4D12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283E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2E6B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配送集散中心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541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21ED9">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8DE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包括陶山配送集散中心、仙降配送集散中心、马屿配送集散中心。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FA45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DDE7B">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D3A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9CC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91BE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8F61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AB4F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3A77504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0547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932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轨道交通M1线二期工程瑞安段</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7BDC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EA471">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0F0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地铁M线，长约28.8km。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4245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8F836">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88BB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1ED7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EF10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8FAC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E137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0B6243E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3483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ED95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轨道交通M4线一期工程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D7EE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5F47F">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A33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地铁M线，长约24km。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23E3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303C1">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C0D3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C006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4783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F8D0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51A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02E7E56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5A3C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A100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凤凰山港区综合开发</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3F64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85237">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C260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港区近期建设2-3个万吨级泊位，远期整体开发建设8个10000吨级码头。</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4455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1314C">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69C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市发展和改革局、市交通运输局、市瓯飞开发建设管理中心、东山街道办事处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E849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7FFB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37D5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DCFD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424EBAF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BA9A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0770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104国道（瑞祥大道）莘塍路口至周湖段高架改造工程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163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7CE9">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2361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起点为温瑞大道莘塍路口，终点周湖转盘，长1.7km，按四车道高架快速路改造。</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0DE9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77700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52AE">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4207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市温瑞大道及S3线前期办</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18A6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7CF8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A074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E461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5A3C228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4AF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B1A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飞马公路仙降至江溪段改建工程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24EA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D0C6C">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4B48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起点位于104国道西过境公路，终点接322国道，长约2.8km,双向四车道一级公路。</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73F1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22C91">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30BC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E3CF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58FE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977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88AF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032A0D84">
        <w:tblPrEx>
          <w:tblCellMar>
            <w:top w:w="0" w:type="dxa"/>
            <w:left w:w="108" w:type="dxa"/>
            <w:bottom w:w="0" w:type="dxa"/>
            <w:right w:w="108" w:type="dxa"/>
          </w:tblCellMar>
        </w:tblPrEx>
        <w:trPr>
          <w:trHeight w:val="20" w:hRule="atLeast"/>
        </w:trPr>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532E9">
            <w:pPr>
              <w:widowControl/>
              <w:spacing w:line="260" w:lineRule="exact"/>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2、农林水利项目（29）</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160C5">
            <w:pPr>
              <w:widowControl/>
              <w:spacing w:line="260" w:lineRule="exact"/>
              <w:jc w:val="center"/>
              <w:rPr>
                <w:rFonts w:ascii="Times New Roman" w:hAnsi="Times New Roman" w:eastAsia="宋体" w:cs="Times New Roman"/>
                <w:sz w:val="18"/>
                <w:szCs w:val="18"/>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A0CF8">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58691">
            <w:pPr>
              <w:widowControl/>
              <w:spacing w:line="260" w:lineRule="exact"/>
              <w:rPr>
                <w:rFonts w:ascii="Times New Roman" w:hAnsi="Times New Roman" w:eastAsia="宋体" w:cs="Times New Roman"/>
                <w:sz w:val="18"/>
                <w:szCs w:val="18"/>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E8744">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4143047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47082">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597779</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1607D">
            <w:pPr>
              <w:widowControl/>
              <w:spacing w:line="260" w:lineRule="exact"/>
              <w:jc w:val="center"/>
              <w:rPr>
                <w:rFonts w:ascii="Times New Roman" w:hAnsi="Times New Roman" w:eastAsia="宋体" w:cs="Times New Roman"/>
                <w:b/>
                <w:bCs/>
                <w:sz w:val="18"/>
                <w:szCs w:val="18"/>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1E8E2">
            <w:pPr>
              <w:widowControl/>
              <w:spacing w:line="260" w:lineRule="exact"/>
              <w:jc w:val="center"/>
              <w:textAlignment w:val="center"/>
              <w:rPr>
                <w:rFonts w:ascii="Times New Roman" w:hAnsi="Times New Roman" w:eastAsia="宋体" w:cs="Times New Roman"/>
                <w:b/>
                <w:bCs/>
                <w:sz w:val="18"/>
                <w:szCs w:val="18"/>
              </w:rPr>
            </w:pPr>
            <w:r>
              <w:rPr>
                <w:rFonts w:hint="eastAsia" w:ascii="Times New Roman" w:hAnsi="Times New Roman" w:eastAsia="宋体" w:cs="Times New Roman"/>
                <w:b/>
                <w:bCs/>
                <w:kern w:val="0"/>
                <w:sz w:val="18"/>
                <w:szCs w:val="18"/>
              </w:rPr>
              <w:t>34909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D1F5">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20840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1D971">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25576</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C19B7">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81325</w:t>
            </w:r>
          </w:p>
        </w:tc>
      </w:tr>
      <w:tr w14:paraId="57E6A29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E9CC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2FE1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滨海十万亩都市田园新天地</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DF7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F48C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4156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建设内容包括：田间基础设施、生态绿化整治提升、智能水肥一体化系统、MAP示范农场、花椰菜全产业链基地、农业文化遗产研究中心、蔬菜花田。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F726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5F15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05A0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市农业农村局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F925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5858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4616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7948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7AC4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7140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13806</w:t>
            </w:r>
          </w:p>
        </w:tc>
      </w:tr>
      <w:tr w14:paraId="31629D6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D1AE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F8D7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丁山三期西片围涂工程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DB2D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E2B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2016-2025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63A9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本项目位于瑞安东海岸，西靠温瑞平原，南接丁山二期北隔堤，北与丁山一期、龙湾二期相邻。建设海堤总长7766m，施工便道总长6134m，纳排干河总长13991m，纳排闸2座。</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E5B4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117688</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D982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DFF8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F3A9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597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8E20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E7EA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4BAB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597</w:t>
            </w:r>
          </w:p>
        </w:tc>
      </w:tr>
      <w:tr w14:paraId="7C52B2E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361E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3F38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温瑞平原南部排涝一期工程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CB5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5F0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B7F6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整治河道2.85km，新增强排泵站两座，泵站排涝流量合计80m³/s。</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151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31414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F63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20414</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283B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市水利工程建设中心、上望街道办事处、东山街道办事处、安阳街道办事处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D54B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7343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3C29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3518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8559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1369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B047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12230</w:t>
            </w:r>
          </w:p>
        </w:tc>
      </w:tr>
      <w:tr w14:paraId="23A0B28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D3DE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1B3F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海塘安澜工程(一期）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48FC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81BE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2019-2030</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5F3B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阁巷围涂、丁山二期围涂海堤、滨江城防东延伸一期工程AB段、飞云江北岸标准堤提升工程（下埠水闸至上望水闸）、飞云江南岸标准海塘（宋家埭水闸至阁巷围堤）等，加固提升海塘27.93km。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36BA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219000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5E93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7D0B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889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10115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7D72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5A32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16840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9A37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26955</w:t>
            </w:r>
          </w:p>
        </w:tc>
      </w:tr>
      <w:tr w14:paraId="6723CB4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00B3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86C9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中塘河慢行绿道</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6E64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AC5B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1B29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中塘河沿线修建漫行绿道，起于莘塍终于塘下，长约20km。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8880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B4DF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6EBF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市农业农村局、瑞安市塘下新区管委会、瑞安市滨海新区管委会、上望街道办事处、汀田街道办事处、东山街道办事处、莘塍街道办事处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B72C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4902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95FF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2152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EE72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266</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2A7A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7320</w:t>
            </w:r>
          </w:p>
        </w:tc>
      </w:tr>
      <w:tr w14:paraId="19D96FC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F42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6B71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飞云江高楼段治理二期工程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9B1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30D9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02C2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新建工程堤防长度共计3.67km，防洪标准20年一遇。</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CE0B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23300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A3C0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A1B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A38A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78E8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23E3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FF2F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3279A9D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896E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0F4F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林溪水库除险加固二期工程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E811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CAE1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D650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增设直径4m泄放洞，增加防洪库容7000000m³。</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CC0F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39000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53B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39000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66D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130F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F57B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CC0A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2983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BA59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2983</w:t>
            </w:r>
          </w:p>
        </w:tc>
      </w:tr>
      <w:tr w14:paraId="7153F25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E339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D863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温瑞平原南部排涝（二期）工程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31AF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EEDE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12B4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下塘河整治11.7km，开挖蓄洪湖1个，护岸加固3.6km。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4753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6C6D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19F3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F5E7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FE7C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82B2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BB94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37E2190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2D9E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0816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金潮港流域防洪排涝综合治理工程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0A7F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65EF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2021-2030</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3237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河道整治11.48km，新建堤防23.06km，平原河道治理49.6km，新建水闸15座，泵站5座。</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6010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48D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9212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D36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5683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DF75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464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5AD11BF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457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C854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飞云江治理二期工程（含桐田段）</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9028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190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E5E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新建工程堤防长度共计28.73km，防洪标准20年一遇，闸门31座，农灌泵站8座，排涝泵站1座，其中桐田段1.89km。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D5F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D3F7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0ECA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980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1956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0385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3292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FA82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1693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2FB6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6941</w:t>
            </w:r>
          </w:p>
        </w:tc>
      </w:tr>
      <w:tr w14:paraId="06762DD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865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0466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农村饮用水提标达标工程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4CCF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19DC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8E3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新建扩建50座单村供水、15座联村供水站、设计98个村、管网改造及新建400km；新建改建水源35座；新建城镇供水管网延伸30套，建设农村清洁供水数字化管理系统。</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967B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31865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D802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31865</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3E06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8DA7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2053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0FD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1DCF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17C9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2053</w:t>
            </w:r>
          </w:p>
        </w:tc>
      </w:tr>
      <w:tr w14:paraId="0F98D13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792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0EC6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六科水库建设工程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C70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ABF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05B2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总库容20000000m³，坝高约115m，总库容约为20630000m³，已列入水利建设“十四五”规划。</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01B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7224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DBE5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A2C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6251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0B22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E7C0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713CE0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2693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B1A6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渔港和渔船避风锚地建设</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002D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E5F0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5D3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建设内容包括：东山埠渔港升级改造工程（一期）、北麂渔港升级改造工程、澄头避风锚地工程（一期）、上望渔业码头升级改造工程。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20C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6AB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4A8B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市农业农村局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F3B98">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1825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754F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3E40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D2C7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2625</w:t>
            </w:r>
          </w:p>
        </w:tc>
      </w:tr>
      <w:tr w14:paraId="56899EF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1975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A5D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瓯飞一期围垦工程南堤海岸线综合利用项目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63DF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D04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C90E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结合飞云江口和3.3km的海堤，打造休闲、旅游观光的生态黄金海岸线。</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E441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F6C3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78AB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5E96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DEDF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EA8D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9846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1380FDB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6F0C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BF04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宋家埭水闸外移工程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69C9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B476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EA56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位于南滨江新区范围内，属于飞云新区和南滨西单元交界处，直洪殿河与飞云江交汇处。宋家埭水闸净宽3×6m+8m，设计流量200m³/s，3孔排涝闸，1孔船闸。内部排涝标准为20年一遇，挡潮标准为100年一遇。船闸按准七级航道设计。</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2FEB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88EE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793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瑞安江南新区管委会、市水利局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E365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71D4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27B7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6EFB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088D5C1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822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8F01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北滨江城防拆改工程（除险加固及生态修复等）</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9AD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F232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228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项目西起罗阳大道，东至下埠水闸。1、海堤加固，提标100年一遇；2、生态修复及公共配套建设等。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5A8A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62F8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10D9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3ECD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6070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B075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7AAA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4B33A37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8FBD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E5B9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环沙洲水系河道综合治理工程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386F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BC3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67EA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项目主要包括整治8条河道，累计河长10.17km，拆除改建水闸1座，以及相关景观配套工程。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6EF3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B8AF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8FD1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陶山镇政府、市水利局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0D7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28D4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8FBB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405F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6A22B2B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1684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AC66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塘河沿线景观提升工程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6A1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F50F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2021-2030</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3434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内容包括：夜景亮化、卡点贯通、历史名人挖掘、局部水域水生态景观建设，滨水休闲小公园建设等。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BDF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CD1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086A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市温瑞塘河工程建设中心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9DD5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260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A663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3130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2448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2425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EC40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5815</w:t>
            </w:r>
          </w:p>
        </w:tc>
      </w:tr>
      <w:tr w14:paraId="62854ED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383E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830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飞云江口岛屿综合开发项目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355D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8CD28">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15D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北龙、北麂、飞云江口无人岛开发。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705B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9F31F">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0D7F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市发展和改革局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5020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AAED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F9A0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DC2D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6ABF8CF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CA2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A49A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江南新区河道治理工程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C141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BBD8F">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7078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站前区、物流园区及飞云中心区等区块河道工程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6A97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59780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DBED3">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4B04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BE24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84FC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A01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585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0A797B8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033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B41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飞云江河口大闸工程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CFD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E3839">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4BC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工程建设内容在飞云江口门外建枢纽工程，由泄洪闸、船闸、通航孔及海堤等连接建筑物组成。泄洪闸总净宽960m，共设30孔，每孔净宽32米，闸底板顶高程-5.0m。单线船闸为3000吨级。</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274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523000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BFB0">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5508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4F1BB">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385A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E2AD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501A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081DB86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8D7A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63B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城市排涝工程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260B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9177F">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02C0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开发区、瑞祥新区排涝。</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405E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DB1EE">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1A79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5B43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755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2C4F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9448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7F44261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5AEB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3C6C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飞云江治理三期工程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C159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FE154">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554C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新建工程堤防长度共计21.8km，防洪标准20年一遇。</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8C7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F68D4">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C91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0253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C5D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3215E">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092E9">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4319648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CD48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975F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温瑞平原南部排涝（三期）工程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AEA6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93C8">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2142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河道清淤65.1km，水闸外移1座，新建水闸2座，改建水闸1座。</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4F91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C1283">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1388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F15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DCC4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0B001">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730F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1BF7978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A666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F1B7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仙云蓄滞洪湖综合开发利用工程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D098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A6BFF">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4D6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新开飞云江河道宽度460m，长度约2.494km，新开河进出口门各建水闸1座，形成8.56k㎡的大湖，具备防洪排涝、船只避风、蓄淡改善水生态水景观等综合功能。</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FE36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03FD">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835A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AA6E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D656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EB8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1B0E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61BB431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6F11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69B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大南分洪洞工程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46C0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62B25">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911A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新建一座堰坝，控制集雨面积16.35平方千米，建设一条长度隧洞基本南北向布置，隧洞长4.24千米，排洪洞宽7米，直墙高5.0米，隧洞过流能力188m³/s</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AF7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B6B6">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9F03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市水利局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64DBC">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5F8DD">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C4F7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57D6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28FD0D6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BD07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728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滨海城市核心区（塘河新天地）</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B73E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AEBAC">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70D4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项目包括：市民中心（位于瑞安滨海新区核心区。由文化艺术中心、全民健身中心、工人文化活动中心、妇女儿童活动中心、青少年活动中心、科技馆、综合会展中心组成。项目总用地面积400亩，总建筑面积350000㎡。）、城中路、春风路、江海路、中塘湖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71FE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7AEE4">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1CEE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54CDA">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0B0D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8262F">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0A7D5">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73932F2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22C3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6DAD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塘下塘河新城</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8816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1425">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FD34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塘河新城位于塘下镇西南部，西至沈海高速公路，东至温瑞塘河，南与云顶山接壤，北至凤渎河，规划总用地面积8.51k㎡。</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DC10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5B781">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350C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04D57">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8166">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8BAA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35B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7C44436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045B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F093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林垟湿地综合利用开发项目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656E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60CC4">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ADD7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南滨街道林垟湿地开发。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C51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9438">
            <w:pPr>
              <w:widowControl/>
              <w:spacing w:line="260" w:lineRule="exact"/>
              <w:jc w:val="center"/>
              <w:rPr>
                <w:rFonts w:ascii="Times New Roman" w:hAnsi="Times New Roman" w:eastAsia="宋体" w:cs="Times New Roman"/>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83AF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49B93">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5D012">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D464">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E0E70">
            <w:pPr>
              <w:widowControl/>
              <w:spacing w:line="260" w:lineRule="exact"/>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31421143">
        <w:tblPrEx>
          <w:tblCellMar>
            <w:top w:w="0" w:type="dxa"/>
            <w:left w:w="108" w:type="dxa"/>
            <w:bottom w:w="0" w:type="dxa"/>
            <w:right w:w="108" w:type="dxa"/>
          </w:tblCellMar>
        </w:tblPrEx>
        <w:trPr>
          <w:trHeight w:val="20" w:hRule="atLeast"/>
        </w:trPr>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1CBF5">
            <w:pPr>
              <w:widowControl/>
              <w:spacing w:line="260" w:lineRule="exact"/>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3、社会发展项目（34）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FA44D">
            <w:pPr>
              <w:widowControl/>
              <w:spacing w:line="260" w:lineRule="exact"/>
              <w:jc w:val="center"/>
              <w:rPr>
                <w:rFonts w:ascii="Times New Roman" w:hAnsi="Times New Roman" w:eastAsia="宋体" w:cs="Times New Roman"/>
                <w:sz w:val="18"/>
                <w:szCs w:val="18"/>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9706D">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07FD">
            <w:pPr>
              <w:widowControl/>
              <w:spacing w:line="260" w:lineRule="exact"/>
              <w:rPr>
                <w:rFonts w:ascii="Times New Roman" w:hAnsi="Times New Roman" w:eastAsia="宋体" w:cs="Times New Roman"/>
                <w:sz w:val="18"/>
                <w:szCs w:val="18"/>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651A7">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1909492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68BB2">
            <w:pPr>
              <w:widowControl/>
              <w:spacing w:line="260" w:lineRule="exact"/>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1166342</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C529B">
            <w:pPr>
              <w:widowControl/>
              <w:spacing w:line="260" w:lineRule="exact"/>
              <w:jc w:val="center"/>
              <w:rPr>
                <w:rFonts w:ascii="Times New Roman" w:hAnsi="Times New Roman" w:eastAsia="宋体" w:cs="Times New Roman"/>
                <w:b/>
                <w:bCs/>
                <w:sz w:val="18"/>
                <w:szCs w:val="18"/>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026CB">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119480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3CA4B">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172791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71005">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116437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25C0E">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408708</w:t>
            </w:r>
          </w:p>
        </w:tc>
      </w:tr>
      <w:tr w14:paraId="48DEFC7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11E3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B035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幼儿园建设工程一期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73DB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7B79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1B8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含第一期债券项目：瑞安市南滨高明幼儿园改建工程、瑞安市玉海中心幼儿园分园（东山二小改建）改建工程、瑞安市高楼镇中心幼儿园附属大京幼儿园拆建工程、瑞安市平阳坑镇学校附属幼儿园建设工程、曹村镇实验幼儿园、桐浦镇中心幼儿园建设工程、莘塍中心幼儿园汀田分园新建工程、瑞安市机关幼儿园（锦湖分园）建设工程、瑞安市上望实验幼儿园建设工程，及第二批债券项目：瑞安市瑞祥新区规划幼儿园、飞云第三小学改建幼儿园装修改造工程、曹村镇第二小学附属幼儿园新建工程、马屿第二小学改建幼儿园装修改造工程、瑞安市塘下镇中北幼儿园装修及设备购置、顺泰学校改建幼儿园新建工程；瑞嘉幼儿园及停车场工程、瑞安市陶山镇公立幼儿园、瑞安市林垟幼儿园、瑞安市中心幼儿园拆建工程、万科翡翠配套幼儿园二次装修工程、瑞安市周苌小学周村校区改建幼儿园、南滨江幼儿园等22个幼儿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C49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BB5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82A1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4A5E8">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11365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3CF1D">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8616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54D2E">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2280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DE340">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22261</w:t>
            </w:r>
          </w:p>
        </w:tc>
      </w:tr>
      <w:tr w14:paraId="4A339B7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C07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001D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中小学改扩建项目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567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A09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6F41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含瑞安市锦湖实验小学沙河校区教学楼、瑞安市云周中心小学功能楼工程、瑞安市塘下镇第一中学改扩建（一期）工程、瑞安市仙降第三小学拆扩建工程项目、瑞安市特殊教育学校迁建工程、瑞安市马屿镇实验小学（东、西区）工程、瑞安市第十中学扩建工程、瑞安市塘下镇鲍田中学综合实验楼工程、瑞安市阳光小学扩建工程、瑞安市曹村三小食宿大楼扩建工程、北外瑞安附校扩建工程、瑞安市职业中等专业教育集团学校飞云校区改扩建工程、瑞安市农业技术学校教学楼综合楼危房改扩建工程等14个教育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9BA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527F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739E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市教育局、市政府投资工程建设中心、马屿镇政府、瑞安安阳中心城区开发建设中心、曹村镇政府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31E55">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20158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9694B">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15000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0491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1000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B093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36158</w:t>
            </w:r>
          </w:p>
        </w:tc>
      </w:tr>
      <w:tr w14:paraId="67B529F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F4C0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094E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市第五中学迁建工程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542F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3D89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68B3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飞云街道，办学规模54个班，一期总建筑面积64862㎡，其中包括教学及教学辅助用房、办公用房、生活服务用房等，相关配套设施同步建设；二期总建筑面积约9645㎡，地上建筑面积约4215㎡，地下室建筑面积约5430㎡，地上建筑包括综合楼、看台、1#传达室、2#传达室等；室外附属面积约81450㎡，其中包括绿化、附属道路、塑胶运动场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DE0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51950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7AED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8F59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483C8">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12600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CA718">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7399</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32670">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69C0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19999</w:t>
            </w:r>
          </w:p>
        </w:tc>
      </w:tr>
      <w:tr w14:paraId="0ABA6F4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3101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37BD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滨海实验小学建设工程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5AB9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FE3B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7D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位于莘塍街道，东至文德路，南至新兴路，西至祥和路，北至莘塍浦，办学规模是Ⅰ类36班，用地面积约56.17亩，总建筑面积约44820㎡。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665E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96D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86FC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BB5EA">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10986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86B9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8910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F2A9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4826</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51D34">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24722</w:t>
            </w:r>
          </w:p>
        </w:tc>
      </w:tr>
      <w:tr w14:paraId="570FC12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E0DB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865F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市人民医院门诊大楼扩建项目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7E18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6287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6CA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市人民医院万松院区位于瑞安市万松路108号，南侧为万松路、西侧为青云路、东侧为周松路，改扩建项目位于人民医院万松院区东南部。本项目主要建设内容为门诊医技综合楼。本项目地上新建建筑面积21028.6㎡，地下建筑面积16462.6㎡，项目占地面积10466㎡。</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05E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49680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6B52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34680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CE80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市卫生健康局、玉海街道办事处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03E75">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8057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B6B1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16175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ACD40">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3619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79CE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27851</w:t>
            </w:r>
          </w:p>
        </w:tc>
      </w:tr>
      <w:tr w14:paraId="2200EC8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E616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B167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市级医院改扩建项目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314B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35B2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014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包含塘下人民医院门、急诊综合楼基建项目、瑞安市第五人民医院改扩建工程、瑞安市第三人民医院扩建工程等3个医院建设项目。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ED25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61750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256E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80E8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市卫生健康局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8AD0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8468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CE370">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8624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E910A">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1358</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F21BA">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18450</w:t>
            </w:r>
          </w:p>
        </w:tc>
      </w:tr>
      <w:tr w14:paraId="25A58A2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D1F5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3AC1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社区卫生服务设施提升工程一期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9397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3347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5C8D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包括桐浦镇卫生院迁建、南滨街道社区卫生服务中心基建、湖岭镇卫生院迁建工程等三个项目。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D505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17344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5EF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037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市卫生健康局、市政府投资工程建设中心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7AA18">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59549">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56AEE">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14000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6C0FB">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14000</w:t>
            </w:r>
          </w:p>
        </w:tc>
      </w:tr>
      <w:tr w14:paraId="0B3E54C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D86F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A4D3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市残疾人托养康复中心一期项目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5D8D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49C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08D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位于潘岱街道砚下村，用地面积27亩，建筑面积18000㎡，设康复床位180张，托养床位100张，为各类贫困残疾人提供医疗康复、托养照料等服务。</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2BB0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14606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B070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AECA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市残疾人联合会、潘岱街道办事处、市政府投资工程建设中心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4E69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9177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3BA86">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12284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431F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12284</w:t>
            </w:r>
          </w:p>
        </w:tc>
      </w:tr>
      <w:tr w14:paraId="09B543F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C53A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3FC1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康养中心建设工程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4DF0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6D92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8702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包含上望安心养老中心建设项目、塘下康养中心、莘塍康复中心等3个康养项目。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CCC3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7C6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B3C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市民政局、上望街道办事处、瑞安塘下新区管委会、瑞安滨海新区管委会、莘塍街道办事处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85B58">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16457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E72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8890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2617D">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2688</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14D8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28035</w:t>
            </w:r>
          </w:p>
        </w:tc>
      </w:tr>
      <w:tr w14:paraId="7BB8B58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6E7E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7000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粮食收储中心建设工程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DD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E784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2017-2021</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8DD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位于马屿镇河岙村，占地100亩，仓储规模60000吨。</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D02A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DF06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A58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市政府投资工程建设中心、市商务局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5498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4977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A8CAA">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8599D">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B48E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4977</w:t>
            </w:r>
          </w:p>
        </w:tc>
      </w:tr>
      <w:tr w14:paraId="40C7189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5701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BB6F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中小学建设项目二期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5737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8B4E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545F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包括瑞安市塘下镇鲍田中学扩建工程、塘下镇新华小学扩建工程、虹桥路小学整体拆改建工程、塘下中心区第二实验小学建设工程、瑞安市湖岭镇第二小学学校扩建工程等5个建设项目。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BD15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55800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36BD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52800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281A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市教育局、瑞安塘下新区管委会、湖岭镇政府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4FAD6">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6BB8E">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DF6FB">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CE34">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32C21EE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716B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B94C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职业中等专业学校迁建工程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E1E5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3E67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16D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总用地约200亩，建筑面积130000㎡，办学规模100班。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5868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81000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E00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56F9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AD0D5">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5647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804AE">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4316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C63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3364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F1F09">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13327</w:t>
            </w:r>
          </w:p>
        </w:tc>
      </w:tr>
      <w:tr w14:paraId="3E912DF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22D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8E5E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新纪元中小学迁建工程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3AF6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B02B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A8B6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该地块东至港口大道，南至中村沥，西至凤锦路，北至镇府路，用地面积103亩。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872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4ABD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CB0D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E1E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5022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B35D0">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20810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C7C4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13720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4DAF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39552</w:t>
            </w:r>
          </w:p>
        </w:tc>
      </w:tr>
      <w:tr w14:paraId="3670500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DD46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1F44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滨海第二中学建设工程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842D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2BB0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7C8A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位于莘塍东单元03-31地块，位于文德路以东、直洛沥以南、滨海大道以西、富周东路以北，办学规模为Ⅰ类36班，用地面积约68.04亩，地上总建筑面积约45300㎡。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5E25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CB8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FBA2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2D3D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4AC5D">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DC99">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113C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8D0EF9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7A1D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5F79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滨海实验中学建设工程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2A88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8D3B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3379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位于上东路以东、上兴路以南、港口大道以西、薛东路以北，办学规模为48班，用地面积约87.4亩，地上总建筑面积约87400㎡。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E154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8DF5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900C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FB4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FD1D">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A6C8E">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7516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1418936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7EA7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9B27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温州医科大学中医药学院</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A22F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D35A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AB46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计划招收本科和硕士研究生，选址瑞安城区，总占地面积约500亩，总建筑面积约133340㎡，分期建设。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054F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131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A73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市教育局、瑞安安阳中心城区开发建设中心、锦湖街道办事处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E0556">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90E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8C67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BD54">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29BED33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7EAF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F433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塘下职业中等专业学校扩建工程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C78A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06EE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D091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东至规划用地地界线，南至唐梅路，西至永宁大道防护绿地，北至新中路，用地面积59494㎡.</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830F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CCE6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0F3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55C7B">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C615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EC2F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10897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F9F36">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10897</w:t>
            </w:r>
          </w:p>
        </w:tc>
      </w:tr>
      <w:tr w14:paraId="052EE21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E8A8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4B77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塘下镇新城实验小学（暂名）建设工程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0F76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EDF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DA0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塘下镇新城实验小学（暂名）塘下镇新城实验小学建设工程拟选址在塘下环镇东路以东，塘下中心路以南，港口大道以西，总用地面积49.9亩，建筑面积36500㎡。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4F56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1DEC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CD15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BD3AA">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8AD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14423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DB52A">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8074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9C60">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22497</w:t>
            </w:r>
          </w:p>
        </w:tc>
      </w:tr>
      <w:tr w14:paraId="2C606C7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BB3E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C421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南滨江中学建设工程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BE77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E849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C813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位于南滨江新区范围内，包括孙桥和原五中地块两个校区，规划为一类30班中学。</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6D8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0B66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D4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3723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D0C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AC70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FC728">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57280D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64DD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693A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南滨江小学</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D23A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C8E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C8A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位于南滨江新区范围内，属于孙桥单元，范围东至次纬五路，南至次经二路，西至支纬卅路，北至浦口村安置房，总用地面积约37766㎡，规划为一类36班小学。</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A986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A82E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ABBE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瑞安江南新区管委会、市教育局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02A5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FABD">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7085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75CCE">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4000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EF50B">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11085</w:t>
            </w:r>
          </w:p>
        </w:tc>
      </w:tr>
      <w:tr w14:paraId="26FA22C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859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52B4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君子石实验小学建设工程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8F0F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5631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33B0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位于西岙团块，总用地面积约20亩，办学规模24个班，地下建筑面积约13100㎡。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35D0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B1B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015F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瑞安安阳中心城区开发建设中心、市教育局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03104">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26D5">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217DA">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3559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F771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3559</w:t>
            </w:r>
          </w:p>
        </w:tc>
      </w:tr>
      <w:tr w14:paraId="4AE51AF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D8F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35E9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市级医院新建工程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A152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2275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4D6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包括市人民医院瑞祥院区感染病综合楼工程、滨海人民医院（公共卫生应急中心）2个医院建设工程。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C9D3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87060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ACEC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87060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8A3B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市卫生健康局、瑞安滨海新区管委会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4796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851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137E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2304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25F9D">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A9BF4">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3155</w:t>
            </w:r>
          </w:p>
        </w:tc>
      </w:tr>
      <w:tr w14:paraId="4CA7C45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2C79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0A66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社区卫生服务设施提升工程二期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003A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4289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497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芳庄乡卫生院新建、陶山镇卫生院迁建工程、塘下镇鲍田卫生院迁建工程、仙降街道社区卫生服务中心迁建工程、潘岱街道社区卫生服务中心迁建工程、汀田街道社区卫生服务中心扩建工程、云周社区卫生服务中心基建工程、上望街道社区卫生服务中心二期、高楼镇卫生院迁建二期工程、安阳街道社区卫生服务中心二期工程、湖岭镇卫生院迁建二期工程、塘下镇塘下卫生院（三都）迁建工程、平阳坑卫生院二期工程、莘塍街道社区卫生服务中心二期扩建工程、高楼镇卫生院高楼、宁益分院、凤翔服务站迁建工程、锦湖街道社区卫生服务中心加固装修工程等18个设施提升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594F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84000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29DF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84000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B303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市卫生健康局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45E2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5886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C7F60">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25520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7832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11349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E0FF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42755</w:t>
            </w:r>
          </w:p>
        </w:tc>
      </w:tr>
      <w:tr w14:paraId="5A15919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6BA5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C0C1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体育场馆提升工程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1EC4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7D7D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3351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包含瑞安体育中心（场馆）改造提升项目、奥体中心、江南市民健身中心（江南体育公园）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47EF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106500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95B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5C0B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市体育事业发展中心、瑞安滨海新区管委会、瑞安江南新区管委会、市文化和广电旅游体育局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F9B6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B81E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62BB4">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3692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93DC2C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E583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B88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图书馆新馆建设工程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5F35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5FFE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A203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滨海新城核心区九里浦和中塘河交汇处，沿中心湖周围布置，总用地面积约62亩，总建筑面积约60000㎡，包括图书馆、文化艺术中心等文化设施。拟以服务市民生活的文化功能为核心，构建多元功能复合的文化载体，结合周边功能整体打造数字化、智能化的文化设施。</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8A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65502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8DBF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65502</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E12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瑞安滨海新区管委会、市文化和广电旅游体育局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C29A5">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9006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1496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17211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28596">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6605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67DB6">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32822</w:t>
            </w:r>
          </w:p>
        </w:tc>
      </w:tr>
      <w:tr w14:paraId="03A3818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CDD7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FDEA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滨海文化运动康养综合体</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D43F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4F17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040E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项目位于莘塍东单元，具体位于周田沥以南，祥和路以东、文德路以西、直洛沥以北，用地面积约99.3亩，地上总建筑面积约132400㎡。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DDDC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72000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DE5B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72000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667E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004B8">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682F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7BF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F1B36">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7E026EE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E39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1B4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市粮食物资储备安全综合保障中心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3CEC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2E14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B83E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计划投资5亿元，打造集粮食收购、储存、加工、交易、应急、物资储备等功能于一体的综合性的粮食项目，有效提高我市粮食安全保障能力。</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B9D8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30F9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08E8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市商务局（粮食和物资储备局）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F5C4">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57CFA">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9E12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3060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1B0B649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3E0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013B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康养建设项目二期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A89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D1A0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C0D4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项目包括飞云龙岛桃源养老中心和市福利院改扩建工程，总用地约35亩。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4BDC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17800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ED1B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17800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C5CC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市民政局、飞云街道办事处、瑞安安阳中心城区开发建设中心、市政府投资工程建设中心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A4D89">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3D439">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3702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E7F0A">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9578</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04DF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13280</w:t>
            </w:r>
          </w:p>
        </w:tc>
      </w:tr>
      <w:tr w14:paraId="15A263A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875A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2BF5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殡仪馆改扩建工程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9E34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3AD7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2A9D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守灵厅和火化间扩建及配套附属设施等（守灵厅约100个厅约6000㎡、配套附属设施7850㎡，拟选址潘岱街道后岸村原殡仪馆西南侧），用地12亩。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398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3583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681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市民政局、市政府投资工程建设中心、潘岱街道办事处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F81E">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B2BE0">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3806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3170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3236</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009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7042</w:t>
            </w:r>
          </w:p>
        </w:tc>
      </w:tr>
      <w:tr w14:paraId="1DBE482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C86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A174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瑞中初中部</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E2E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854F7">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61F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规划用地面积约64亩，办学规模42个班。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4E8D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F6DC2">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0A82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F86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CFAC5">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0FA29">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E420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583407B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2B0F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0371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高端国际学校</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6ECC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72D5">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6DBD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项目选址滨海新区或南滨江新区，新建一座九年一贯制高端国际学校。</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2130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0DDC">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8AE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市教育局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86070">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AD3AD">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ECE64">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5114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2BCA2FA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AFFC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C237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小横山文化教育创业园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87B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DF44">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508E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项目包括罗阳团块（罗阳中学、安固集团101亩）、百好团块（130亩）、华瑞团块200亩、预备役学校地块（150亩）作为环小横山文化教育创业园。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E731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872A4">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7522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6A65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EA40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9522">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40B5">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6C0EE23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B9F1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FED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瑞安奥体中心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2360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3B0B9">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F835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位于滨海新区，隆山东路以南，城南大道以北，中小学用地以西，江海路以东，用地面积约300亩，容积率1.0。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2B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127500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14BC5">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ACCD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347C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9BE9">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E854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25A4E">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5D9CF7C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E65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263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塘下文体中心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D0D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7D90D">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771B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包含塘下中心区图书馆、塘下中心区群艺馆、塘下全民健身中心二期等。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99C5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47000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59404">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E5B9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8C08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2F81E">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2C4F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0CBB9">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1B06F708">
        <w:tblPrEx>
          <w:tblCellMar>
            <w:top w:w="0" w:type="dxa"/>
            <w:left w:w="108" w:type="dxa"/>
            <w:bottom w:w="0" w:type="dxa"/>
            <w:right w:w="108" w:type="dxa"/>
          </w:tblCellMar>
        </w:tblPrEx>
        <w:trPr>
          <w:trHeight w:val="20" w:hRule="atLeast"/>
        </w:trPr>
        <w:tc>
          <w:tcPr>
            <w:tcW w:w="10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B6AFDD">
            <w:pPr>
              <w:widowControl/>
              <w:spacing w:line="260" w:lineRule="exact"/>
              <w:jc w:val="left"/>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4、城市建设及基础设施项目（59）</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96374">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480FB">
            <w:pPr>
              <w:widowControl/>
              <w:spacing w:line="260" w:lineRule="exact"/>
              <w:jc w:val="center"/>
              <w:textAlignment w:val="center"/>
              <w:rPr>
                <w:rFonts w:ascii="Times New Roman" w:hAnsi="Times New Roman" w:eastAsia="宋体" w:cs="Times New Roman"/>
                <w:b/>
                <w:bCs/>
                <w:kern w:val="0"/>
                <w:sz w:val="18"/>
                <w:szCs w:val="18"/>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4F533">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8210169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7670D">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5412983</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59651">
            <w:pPr>
              <w:widowControl/>
              <w:spacing w:line="260" w:lineRule="exact"/>
              <w:jc w:val="center"/>
              <w:textAlignment w:val="center"/>
              <w:rPr>
                <w:rFonts w:ascii="Times New Roman" w:hAnsi="Times New Roman" w:eastAsia="宋体" w:cs="Times New Roman"/>
                <w:b/>
                <w:bCs/>
                <w:kern w:val="0"/>
                <w:sz w:val="18"/>
                <w:szCs w:val="18"/>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63A29">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596819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3A4C">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662690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D8C17">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425537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2B11B">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1685046</w:t>
            </w:r>
          </w:p>
        </w:tc>
      </w:tr>
      <w:tr w14:paraId="1F35888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995F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6A8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环飞云江绿道项目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BB5E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440A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AF30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东至飞云江一桥，西至飞云江五桥，北至滨江大道，南至南滨江景观带，环飞云江建设闭合绿环，建成符合城市马拉松赛道标准的城市道路及沿线绿化景观带建设，全长约20km。</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3804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D14D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FB69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瑞安安阳中心城区开发建设中心、市政公用工程建设中心、瑞安市江南新区管委会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D426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B99A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D278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C2A2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7D4BC07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DA7B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D1DC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安阳中心城区道路网建设工程一期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EB44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628B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3E9C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项目包括执中路（院士路至瑞枫大道段）长321m，宽16m，总投资1572万元；民公路（景衡路至罗阳大道段）长358.94m，宽24-31m，总投资3761万元；花周路长437m，宽24m道路，含桥梁1座，总投资2996万元。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C60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8329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81B4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552A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43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2590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23FB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3626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DE33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26C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6216</w:t>
            </w:r>
          </w:p>
        </w:tc>
      </w:tr>
      <w:tr w14:paraId="2E76E4B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F688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7DF2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塘下新区道路网建设一期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30E5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F7D2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BD1A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含塘梅路（上金路口至塘永线）道路环境综合改造提升工程；商业大街（海安龙河至汀田界）道路环境综合改造提升工程；科创走廊精品线（国泰路段）道路环境综合改造提升工程；罗凤西路（凤都一路至104国道段）道路环境综合改造提升工程；高速出入口堵点综合改造提升工程；北工业园区道路环境综合改造提升工程；104国道（瓯海界-胜利东路）沿线道路环境综合改造提升工程；塘下国泰路（龙瑞公路至滨海大道段）建设工程；塘松路大畔河桥；横一路；横二路(东一路-港口大道段)道路工程；横九路；华海路二期；规划三路；规划五路；塘下罗场路（塘下大道至长青路段）建设工程；凤锦路二期（振兴路至华海路段）道路工程；横三路（东一路-港口大道段）道路工程等18个道路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0EBA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118033</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AB0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06C4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601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29535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49DA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12071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D8D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3497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72C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45103</w:t>
            </w:r>
          </w:p>
        </w:tc>
      </w:tr>
      <w:tr w14:paraId="1C8CB62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E35C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125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滨海新区道路网建设一期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9960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2AD7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2015-2023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9BE2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振兴路（东新路至港口大道段）、华光路（北边界至文华路）、凤锦路一期(瑞枫大道快速路连接线)、小典下路（东新路至港口大道段）、莘阳大道下埠段、富周二期(三桥接线至滨海大道)、东进路（环镇东路至港口大道段）、文德路、祥和路、新兴路、东进路、人民路；文华路（西大街到商业街）位于汀田街道，长约300m，宽32m等道路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3D7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108000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61CD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BC05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瑞安滨海新区管委会、汀田街道办事处、莘塍街道办事处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22DF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5558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0422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5196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301C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1839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F5D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12593</w:t>
            </w:r>
          </w:p>
        </w:tc>
      </w:tr>
      <w:tr w14:paraId="48F22BD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C0FD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A20F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孙鳌路改建一期工程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E043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F790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10C6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锦飞路之永宁大道段（一标）：起点锦飞路，终点至永宁大道，长度1.8km，宽36m；总用地112亩，投资约6亿。瑞祥大道至次纬五路段（二标）：长度约1.1km，总用地约70亩，投资约3亿元。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FA3F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670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4357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瑞安江南新区管委会、飞云街道办事处、安阳街道办事处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B5ED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2095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A93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D166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CC3A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2309</w:t>
            </w:r>
          </w:p>
        </w:tc>
      </w:tr>
      <w:tr w14:paraId="51C8648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BF25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BFF5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截污纳管联网工程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F4C5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DDCF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38A9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该项目包括安阳、东山、锦湖等镇街截污纳管66个工程和马屿、陶山、桐浦等片区污水收集主干管4个工程。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5BEC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C3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A272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市市政公用工程建设中心、相关镇（街道）</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583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24899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EB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52625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3A6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10587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5810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88111</w:t>
            </w:r>
          </w:p>
        </w:tc>
      </w:tr>
      <w:tr w14:paraId="7F0561F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FE4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7F35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市全域街区节能亮化工程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9FE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8635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D501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对全市街区市政路灯进行LED路灯节能改造，包括更换抱箍、灯杆、破损的太阳能路灯等；新增路灯智能控制系统以及相应的智能控制系统进行运营维护；对我市万松路、罗阳大道的楼宇、景观带等节点实施亮化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170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460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E5E1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市市政公用工程建设中心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3904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5758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10A8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1547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046F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884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A61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8189</w:t>
            </w:r>
          </w:p>
        </w:tc>
      </w:tr>
      <w:tr w14:paraId="5EDE64C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DD2B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4C8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丁山三期北区智造园区（道路、河道及绿化工程）项目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F6D2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D62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855A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本项目包括市政道路、河道及绿化工程，分别为货场路、瑞光大道、腾龙路、凤凰路、望海路；横一河、横二河、横三河、纵二河、纵六河，新建生态护岸9101m，绿化面积358088.42㎡，相关配套设施同步建设。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D3E5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204514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0CF6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7D37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842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7675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F87E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25669</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2B4B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18771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3CCD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52115</w:t>
            </w:r>
          </w:p>
        </w:tc>
      </w:tr>
      <w:tr w14:paraId="6DFD8D3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7735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73BE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经济开发区产业园配套项目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4007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54D1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F5A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主要包括开发区大道（环镇东路-江海路段）综合改造提升项目、开发区大道综合改造提升工程（江海路-电镀园区段）、滨江大道（彩虹桥-下埠水闸）综合改造提升项目、起步区雨污管道综合改造提升等项目。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C6FA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71227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3FAD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11B5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2CC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23298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3C97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1853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016D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5EA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25151</w:t>
            </w:r>
          </w:p>
        </w:tc>
      </w:tr>
      <w:tr w14:paraId="0E34C5D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1C04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1BD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南门广场团块危旧房改造项目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27C2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02AD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2018-2022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CBBE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位于玉海街道南门社区，建设用地面积82.32亩，总建筑面积243314㎡，其中，地上面积164169㎡，地下面积79145㎡，共建设12幢房屋，包括幼儿园和办公用房。</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944E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224952</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FB58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AD3E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市国投集团、玉海街道办事处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D844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28827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5C07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16560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6FB6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CE48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45387</w:t>
            </w:r>
          </w:p>
        </w:tc>
      </w:tr>
      <w:tr w14:paraId="7898A42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AFE0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43CF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旧城改造异地安置房项目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9C1E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CB36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4CB7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位于上望街道，建设用地45亩，总建筑面积129852㎡，其中地上建筑面积93528㎡，地下面积约36324㎡。</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563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149000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A38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CEC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市国投集团、瑞安滨海新区管委会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7D33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21539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0547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15209</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7B55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54B4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36748</w:t>
            </w:r>
          </w:p>
        </w:tc>
      </w:tr>
      <w:tr w14:paraId="6484CEC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0C6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9CFF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邮电北路西侧及玉海中学操场地块改造工程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4277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DB09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B364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位于邮电北路西侧，南起解放中路，北至北濠河，西靠仓前街及玉海中学，占地38893㎡，新建建筑面积88022.52㎡，保留建筑面积760㎡，另地下室建筑面积26704㎡。</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6FEA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104260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F1A9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67260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758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DDF6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32573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2CA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34242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EA5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70A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66815</w:t>
            </w:r>
          </w:p>
        </w:tc>
      </w:tr>
      <w:tr w14:paraId="711D361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3E7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8A4C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集云山郊野公园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204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FDCA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A367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包括集云山平天河景区和猪头岩景区游步道及相关配套建设一期、二期工程（建设项目包括集云阁、黄岩炮景观台、廊、亭及配套设施），集云湖景区游步道及相关配套工程，集云山道路及连接线提升改造工程，集云山山脚沿山生态文化景观带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07B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DC18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29000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7E6C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瑞安安阳中心城区开发建设中心、锦湖街道办事处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7CAC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3803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D95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1567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87A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1860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EF9D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7230</w:t>
            </w:r>
          </w:p>
        </w:tc>
      </w:tr>
      <w:tr w14:paraId="5B07653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B5BB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0E5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汀田联光棚户区改造项目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310A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C1E1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54B3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位于新塘路东西两侧、文华路南北两侧，占地52亩，地上总建筑面积约80000㎡，地下室面积约20000㎡。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98C4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EA93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52000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284D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CEED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15947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A236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13031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3FE0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6147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824D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35125</w:t>
            </w:r>
          </w:p>
        </w:tc>
      </w:tr>
      <w:tr w14:paraId="687C2A0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A49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A7DA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万松东路安置房建设工程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7EFC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4D59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2015-2023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3577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位于莘塍街道，其中包括就地安置地块R-1-1地块、Q-4-5地块、R-2-1地块、Q-4-5地块等安置房建设；和平一号地块建筑面积约33116㎡，地下室面积6760㎡。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7126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57820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A2C4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891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瑞安滨海新区管委会、莘塍街道办事处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1540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7336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81DC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7234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CB5F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5671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159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20241</w:t>
            </w:r>
          </w:p>
        </w:tc>
      </w:tr>
      <w:tr w14:paraId="7B1A0A4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AD7D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B37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赵山渡库区生态搬迁二期工程（江南地块）</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C17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3B6B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545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包含三个安置地块，飞云中心区安置房、飞云新区安置房、飞云站前区安置房。</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E1A5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BFC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B7DD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瑞安江南新区管委会、飞云街道办事处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A210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699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7877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574F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7715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B21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65592</w:t>
            </w:r>
          </w:p>
        </w:tc>
      </w:tr>
      <w:tr w14:paraId="2E13900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D35A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FF82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南滨江安置房项目（一期、二期）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BA29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3118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F13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一期A、B、C地块位于瑞南大道以西，马龙路以南，规划南路以东，规划云龙路以北，总用地面积179亩，建筑面积216253㎡；二期位于飞云街道桥里村，用地面积46亩，建筑面积76000㎡。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EB27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729F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251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1A69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57796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C3C0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15466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5F33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5142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99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78404</w:t>
            </w:r>
          </w:p>
        </w:tc>
      </w:tr>
      <w:tr w14:paraId="26E3288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7C23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FF36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城市山体公园建设</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2994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52FF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2021-2028</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79F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包括隆山、万松山、烟墩山、西山等城市公园改造提升。</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DE10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6A14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4154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市综合执法局、瑞安安阳中心城区开发建设中心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4341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C40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950E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03D0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243</w:t>
            </w:r>
          </w:p>
        </w:tc>
      </w:tr>
      <w:tr w14:paraId="62263A4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A9E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E227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建筑垃圾处理工程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F4B7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E226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681B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建设年处理垃圾100万吨的垃圾处理设施，其中建筑垃圾80万吨/年，装修垃圾20万吨/年。</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C52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6DD6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544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市市政公用工程建设中心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A2A9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755C6">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3BEAF">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3DA59">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1925B51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2F41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7C27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塘下道路网建设工程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A441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689A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E8AB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含104国道与228国道连接线工程（国泰路）；国泰路（龙瑞公路—塘梅路段）、国泰路（瑞安大道-塘梅路段）道路工程、国泰路（长乐路—瑞安大道段）；前池路（塘下大道至滨海大道段）；中心路贯通工程（一期、二期）；罗凤西路（凤凰山路-凤都一路）道路工程；塘下大道道路综合改造提升工程；塘下东一路（国泰路—横九路）建设工程；凤锦路（含凤锦路三期（中心路至荷塘路段）、四期（东新北路至荷塘路）、凤锦路五期（东新北路至330国道）建设工程；荷塘路二期（塘梅路-凤锦路段）道路工程；塘下东一路(场桥内河-国泰路段)建设工程；瑞安大道塘下段二期；塘下路网工程四期；塘下镇万景路与罗凤西路Y型路口道路建设工程（包含道路建设及10m绿化工程）；环镇西路凤山河大桥建设工程；塘永线（塘梅路至瑞安界）道路环境综合改造提升工程；瑞安智能汽车关键零部件智造“万亩千亿”新产业平台（东区）园区绿化改造提升工程（一期）；环大罗山环境综合改造提升工程；高速阴影部分空间改造提升工程等道路网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71E9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7B9A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28A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塘下镇政府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8F06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13568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B1A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79976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C5D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25947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BC66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119491</w:t>
            </w:r>
          </w:p>
        </w:tc>
      </w:tr>
      <w:tr w14:paraId="145DABC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FB90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7ECA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滨海道路网工程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F9DB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9F97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B2C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上达路(新城大道至富民路段)、上发路(新城大道至泥城河段)、富民路（上达路至城南大道段)、望荣路（上发路至上望河段）、科创横路(镇中东路(科创一路至凤锦路段))、汀后路一期(东新路至凤锦路段)、华光路二期(文华路至镇府路段)、科创纵一路(文华路至镇府路段)、科创纵二路(文华路至汀后路段)、科创纵三路(镇中东路至镇府路段)、民莘东路(人民路至滨海大道段)、人民路（民莘东路至莘塍浦段）、富周东路一期(人民路至三桥接线段)、新兴路二期(环镇东路至港口大道段）、河滨路（东新路至港口大道段）、文华路（西大街至东新段、104国道至金凤路段）、东一路（万松东路至东进路段）、东进路（东一路至环镇东路）、莘塍东街（万松东路至新兴河段）、祥和路(莘塍浦至富周东路段）、文德路(莘塍浦至富周东路段）、金凤路、瑞枫快速路、镇府路、104国道整治提升工程、东新路道路整治提升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CB03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6792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B7AD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EFE0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8200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B48D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2312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88F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ED31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10512</w:t>
            </w:r>
          </w:p>
        </w:tc>
      </w:tr>
      <w:tr w14:paraId="2309484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C82A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4CE7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江南物流道路建设工程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7653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9288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B2C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包括次纬四路、支纬二路、支经十六路、瑞南大道四期、瑞南大道五期改建工程、江南火车站大道建设工程、（飞马公路繁荣至周苌路口段改建）工程。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CBBF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227800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47F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87A2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95F2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ECD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4BF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24E8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r>
      <w:tr w14:paraId="4910670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EEC4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3071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南滨江生态科技园综合配套工程项目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D64C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3D44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BD0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位于飞云江南岸，东起飞云江三桥，南至56省通，西至甬台温高速公路，北至飞云江。包括瑞文公路、支纬廿九路、支纬卅路、顺和路等17条道路工程、南滨江河道一期二期整治、河道绿化整治工程。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09E8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225800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BE90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225800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AF58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瑞安江南新区管委会、飞云街道办事处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302A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46289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B70B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27268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D79A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24642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61CB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98199</w:t>
            </w:r>
          </w:p>
        </w:tc>
      </w:tr>
      <w:tr w14:paraId="6873D7F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CD1A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B4D4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飞云新区路网建设工程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66C8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3B79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43C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包括年产800台/套数字印刷及激光模切装备投资项目配套工程和飞鳌公路瑞安飞云段。</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D19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71000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976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FF39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84D0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259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5832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506B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23232E6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F6AC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164A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飞云中心区路网建设工程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2D62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69E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211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江南新区云龙路（G322国道至瑞南大道）道路工程、江南新区云龙路（支经廿五路至G322国道）、南滨江单元马龙路（56省道至瑞南大道段）道路工程、孙桥单元次经二路工程-南都路东延伸（远东路至次纬廿九路段）。</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1AC6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55537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04A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9176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5C2F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030D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986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6014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4AD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6014</w:t>
            </w:r>
          </w:p>
        </w:tc>
      </w:tr>
      <w:tr w14:paraId="4B8E9D4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E312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AD3F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安阳中心城区道路网建设二期工程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BF68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2D62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ACFF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老城片道路网建设、瑞祥新区道路网建设及老城片道路网包括锦湖街道中心路（沙河路至西岙路段）、滨江三期二标段改造、瑞湖路（虹桥路-滨江大道段）整治提升、滨江大道（花坪山至望山路段）等工程，用地约66亩。瑞祥新区道路网包括瑞莘路（景衡路至罗阳大道段）、规划二路、文昌路、罗阳大道（万松路至毓蒙路段）改造、环山路(瑞枫公路至五河)道路等工程，用地约58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9525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DC83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53000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5AD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663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9772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0F1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12030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8B4E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4082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AA78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25884</w:t>
            </w:r>
          </w:p>
        </w:tc>
      </w:tr>
      <w:tr w14:paraId="57DB3CC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1A6F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FB7D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经济开发区道路网工程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FBD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2F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1C5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阁巷新区围海大道（围二路-火车站东路）道路工程，开发五路、金融街道路项目，阁巷新区道路基础配套-围二路、围五路、围六路，开发区大道（望湖路至进港公段）道路工程，经济开发区新区火车站东路道路工程，望湖路（瑞光大道至西环河段）道路桥梁工程，发展区市政道桥一期工程，滨江大道（通达路-望海路）项目，陈虬路（上东路-港口大道）道路工程，世纪大道（环镇路-港口大道）道路工程，滨江大道（下埠水闸-通达路）改造提升项目，环镇路（滨江大道-世纪大道段）综合改造提升工程，开发区大道（江海路-电镀园区段）综合改造提升工程，阁巷自创区观摩线路项目-江南大道（纳潮河-围海大道）综合改造提升项目，经济开发区产业园配套项目-起步区雨污改造提升项目二期。</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8DB0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201375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C6AF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9B0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0A37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85A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3107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96F2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21034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F160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24141</w:t>
            </w:r>
          </w:p>
        </w:tc>
      </w:tr>
      <w:tr w14:paraId="2FEF350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5D0C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CBF9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马屿农业产业园基础配套设施项目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93DB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7618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6B4B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该项目包括配套水利工程、配套道路工程、电线路迁改工程等。总用地44.9亩，总投资49800万元。主要涉及到顺泰流域综合整理、河溪片流域综合治理、集镇区河道流域综合治理、水坑至石桥道路工程、霞梅线道路工程、江浦至工业区道路工程、江曹线道路工程、老56省道道路工程、创意路道路工程、京屿线配套强弱电线路迁改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7B68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49800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B0DB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49800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C86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马屿镇政府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00C1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E340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F9D2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120F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6B3B1F7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C0E4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711E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市区道路提升改造工程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00D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6445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520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瑞光大道（瑞祥大道至罗阳大道）、隆山东路（商城大道至莘阳大道）、虹桥路（瑞湖路至滨江大道）。道路等级为城市主干道，建设内容主要包括道路、桥梁、给水、污水、雨水、交通安全设施、交通智能设施（包含红绿灯、路面监控等）、景观绿化、路灯（不包含通信、电视线路、燃气）、10kV电力管道预埋工程等，相关配套设施同步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620D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3300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4AEA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市政公用工程建设中心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5F1D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4773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C93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5615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FFC4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1606</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009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11994</w:t>
            </w:r>
          </w:p>
        </w:tc>
      </w:tr>
      <w:tr w14:paraId="56D5DB7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02C4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BF9F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市污水处理厂提标扩容工程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D696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5E8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91D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包括江北</w:t>
            </w:r>
            <w:r>
              <w:rPr>
                <w:rFonts w:hint="eastAsia" w:ascii="Times New Roman" w:hAnsi="Times New Roman" w:eastAsia="宋体" w:cs="Times New Roman"/>
                <w:kern w:val="0"/>
                <w:sz w:val="18"/>
                <w:szCs w:val="18"/>
                <w:lang w:eastAsia="zh-CN"/>
              </w:rPr>
              <w:t>污水处理厂</w:t>
            </w:r>
            <w:r>
              <w:rPr>
                <w:rFonts w:ascii="Times New Roman" w:hAnsi="Times New Roman" w:eastAsia="宋体" w:cs="Times New Roman"/>
                <w:kern w:val="0"/>
                <w:sz w:val="18"/>
                <w:szCs w:val="18"/>
              </w:rPr>
              <w:t>扩容及中水回用工程、高楼、陶山两镇污水处理厂扩容工程、江南</w:t>
            </w:r>
            <w:r>
              <w:rPr>
                <w:rFonts w:hint="eastAsia" w:ascii="Times New Roman" w:hAnsi="Times New Roman" w:eastAsia="宋体" w:cs="Times New Roman"/>
                <w:kern w:val="0"/>
                <w:sz w:val="18"/>
                <w:szCs w:val="18"/>
                <w:lang w:eastAsia="zh-CN"/>
              </w:rPr>
              <w:t>污水处理厂</w:t>
            </w:r>
            <w:r>
              <w:rPr>
                <w:rFonts w:ascii="Times New Roman" w:hAnsi="Times New Roman" w:eastAsia="宋体" w:cs="Times New Roman"/>
                <w:kern w:val="0"/>
                <w:sz w:val="18"/>
                <w:szCs w:val="18"/>
              </w:rPr>
              <w:t>扩容工程，增加污水处理能力13万吨/日，中水回用设施及管线5万吨/日，排放标准提高到清洁排放标准。</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6B9E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151C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871F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市政公用工程建设中心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BF63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2499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ABD6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D29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30178</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49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35977</w:t>
            </w:r>
          </w:p>
        </w:tc>
      </w:tr>
      <w:tr w14:paraId="2597200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C363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2C5C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农村污水设施提标改造工程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680B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2F50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4757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结合农污专项规划，拟分批开展全市农村污水设施提标改造工程。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355C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B7E9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9E82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市政公用工程建设中心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F391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94E8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5126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369E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6952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9C4F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12078</w:t>
            </w:r>
          </w:p>
        </w:tc>
      </w:tr>
      <w:tr w14:paraId="6665C22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B5A8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397C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固化飞灰无害化填埋场及边坡整治项目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65BE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ECFD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C776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飞云街道垟西村，建设场地为山坳地形，三面环山，拟建方式：东，西，北侧边坡按不陡于1：1的坡度向上收坡到库区边界标高47m,在南侧起10m高坝体（毛石混凝土坝）围合成库区。该项目建成后库区面积约26000㎡，库区库容300000m³，能满足13.5年库容需要。</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FEF2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18179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7DA9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18179</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555F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市政公用工程建设中心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155A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B0E5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8641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A3E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2C319EF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0F6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FD89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公共停车场建设工程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E479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98DE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7B24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该项目共建市区党政机关等7处停车场，总用地面积 10184㎡，共建设773个停车位，同时建设相关绿地、公园绿地恢复工程等，相关配套设施同步建设。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B307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11817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2EA5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11817</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350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市政公用工程建设中心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0B2D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3D0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6F99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3759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21C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3759</w:t>
            </w:r>
          </w:p>
        </w:tc>
      </w:tr>
      <w:tr w14:paraId="731B0B7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F5E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2D09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供水系统扩建工程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660D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E9E1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2021-2028</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FABD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新江南水厂出厂管DN800过飞云江管道工程、滨海大道DN800管线工程、塘下国泰路DN1200给水管线工程等新建管道，江北水厂扩建三期工程、凤山水厂二期扩建工程、新江南水厂扩建二期工程等扩建工程，供水能力新增28万吨/日，总供水能力达到64万吨/日。</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E02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C2D2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9557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市公用集团</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08A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039A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1238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1C35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5059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5D57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9997</w:t>
            </w:r>
          </w:p>
        </w:tc>
      </w:tr>
      <w:tr w14:paraId="78C5356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ADD2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4436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重要专项设施迁建工程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F60A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BF18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A64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护岸总长度265m，场地平整及码头一座。</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C606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132000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493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7483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B70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1D13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EDB5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223E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225D047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FD8E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3274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丁山三期北区智造园区污水处理厂</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058F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38B7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AC54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日污水处理量1.69万吨。</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E66B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B65E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F32D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8A28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D13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377C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497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EF7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497</w:t>
            </w:r>
          </w:p>
        </w:tc>
      </w:tr>
      <w:tr w14:paraId="5768938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E99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D635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永胜门未来社区试点</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A014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EFA1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EBD5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位于锦湖街道、玉海街道，东至规划花园路，北、西至瑞湖路，南至滨江大道，实施单元20.14公顷，地上总建筑面积约554200㎡。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BD9D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833400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1D7A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833400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9FBC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瑞安安阳中心城区开发建设中心、市国投集团</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B4AE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157546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9EDD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153658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684D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107996</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35A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419200</w:t>
            </w:r>
          </w:p>
        </w:tc>
      </w:tr>
      <w:tr w14:paraId="2A7DCFE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8FE0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77DF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塘下污水处理厂建设工程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B28A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9C5F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50B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包括工业污水处理中心建设工程和塘下生活污水处理厂。</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552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0184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9CD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温州公用集团瑞安水务</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9A5F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3D10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FE08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6D81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22B160C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290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D9FB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塘下人才公寓</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584A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D01D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9CB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包括八水产业服务中心、“万亩千亿”产业平台配套设施建设工程（二期）-塘下镇人才公寓建设工程、凤凰人才公寓等3个人才公寓建设。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1C3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3348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173000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CAE7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A287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2E25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32196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3892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10233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6DE6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42429</w:t>
            </w:r>
          </w:p>
        </w:tc>
      </w:tr>
      <w:tr w14:paraId="150B4BB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2D37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6A61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塘下国道建设安置房</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E7F0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364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842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上金村安置房建设工程：位于瑞安市塘下镇104国道与塘梅路的交叉口东侧，规划用地面积16698㎡，总建筑面积61376㎡；2、新渎村安置房建设工程：项目位于新渎村，总用地面积23596㎡，建筑面积：61350㎡；3、肇平垟安置房及附属配套建设工程：项目位于肇平垟村，总用地面积60981㎡，建筑面积：189042㎡；4、岑头村安置房建设工程：项目位于岑头村，总用地面积23213㎡，建筑面积：71960㎡；5、330国道安置房：位于霞林村老人公寓西首，总用地面积约24亩，总建筑面积约35000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493E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C59E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9AC2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塘下镇政府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5C7D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B278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56876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2FA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89957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BDE1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146833</w:t>
            </w:r>
          </w:p>
        </w:tc>
      </w:tr>
      <w:tr w14:paraId="690E7D9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D337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3A0F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赵山渡库区生态搬迁工程（滨海地块）</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654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F896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8BC7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位于东新产城内，文华路以北，港口大道以西，凤锦路以东，小典下路以南，用地面积约166亩，容积率2.5。</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043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72A6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3C61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瑞安滨海新区管委会、市库区办</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6D5E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59BA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8327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BD68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2827C24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C025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D996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东新产城安置房二期工程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718E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768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D69E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位于汀田街道，文华路以北、凤锦路以西，小典下路以南，东新路以东，二期建设B-4-1地块和B-4-5地块，其中B-4-1地块总投资48446万元，用地面积34262.4㎡；B-4-5地块总投资40981万元，用地面积28611.17㎡。</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57B3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89427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CF8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89427</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9A77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0020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3CB6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C8B8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4E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387A3E1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7093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D08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万松东路沿线景观工程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401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D73A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D150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位于万松东进带，南垟浦沿河绿化、就地地块周边绿化、04-30地块绿化、莘塍浦公园（滨海小学对面）等，建设城市景观绿轴和景观节点，提升城市环境品质。</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62B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20796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6F65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20796</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BE03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D22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A43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0D1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7092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1900</w:t>
            </w:r>
          </w:p>
        </w:tc>
      </w:tr>
      <w:tr w14:paraId="6C6B855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C0A8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88FC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滨海核心区中塘河两侧景观提升</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84B0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2BAD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6CF9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位于滨海核心区中塘河两侧，长约1500m，宽50m。开挖水域面积约230亩。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6B0C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A9EC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CD7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5B04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5D50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19C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F865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17EA299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C641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61ED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东新城市绿谷</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5065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4F20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452F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温瑞大道以东、瑞枫大道沿线、港口大道以西，包括生态公园、体育公园、休闲文化MALL和生态酒店等，涉及占地900亩，地上总建筑面积约200000㎡。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9B4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1A2D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AA6C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BD12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A8DE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2FFE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BCB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4A7857A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89F5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3E0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新街会文里历史文化街区改造提升工程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677B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162C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88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以会文里为主体，向南北两侧建筑和设施扩展。范围内包括解放中路、泥城路、水心街、南堤街等。以新街至会文里及沿线建筑等为主轴，向相交街巷延伸，对街巷沿线建筑立面进行改造提升，对路面进行传统化改造，对市政管网及空中线路进行整改，改造覆盖面积24亩，入口景观、绿化、夜景灯亮化等相关配套设施同步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D018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3CD1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555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瑞安安阳中心城区开发建设中心、玉海街道办事处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831C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6E89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AE06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38B2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92AA33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5565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E93E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南滨江景观带（一期、二期、三期）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1904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9C96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88B8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一期：北至飞云江，东至马道水闸，西至甬台温高速，南至开发地块边界，总用地面积约300亩；二期：北至飞云江，南至孙鳌路，西至桥里水闸，东至宋家埭水闸，用地面积约16.7公顷；三期北至飞云江，南至经15路，西至宋家埭水闸，东至下厂村，用地面积约3.3公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AA20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BF49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0F4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瑞安江南新区管委会、飞云街道办事处、南滨街道办事处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3445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7D7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49398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C267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16423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1A5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65821</w:t>
            </w:r>
          </w:p>
        </w:tc>
      </w:tr>
      <w:tr w14:paraId="619FF77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06AE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D82C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南滨江商务区项目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241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BAEA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3358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位于南滨江新区范围内，飞云江大桥两侧，范围北至飞云江、南至孙鳌路，西至码道水闸，东至桥里水闸，规划为商业商务用地，用地</w:t>
            </w:r>
            <w:r>
              <w:rPr>
                <w:rFonts w:hint="eastAsia" w:ascii="Times New Roman" w:hAnsi="Times New Roman" w:eastAsia="宋体" w:cs="Times New Roman"/>
                <w:kern w:val="0"/>
                <w:sz w:val="18"/>
                <w:szCs w:val="18"/>
                <w:lang w:eastAsia="zh-CN"/>
              </w:rPr>
              <w:t>面积</w:t>
            </w:r>
            <w:r>
              <w:rPr>
                <w:rFonts w:ascii="Times New Roman" w:hAnsi="Times New Roman" w:eastAsia="宋体" w:cs="Times New Roman"/>
                <w:kern w:val="0"/>
                <w:sz w:val="18"/>
                <w:szCs w:val="18"/>
              </w:rPr>
              <w:t>约14.3公顷。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5A9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E547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5331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507C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25CF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7067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9BD2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5E1614E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078B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F1AE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南滨江安置房（三期、四期）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521B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BD35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EEAA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位于南滨江新区范围，飞云中心区控规单元，用地</w:t>
            </w:r>
            <w:r>
              <w:rPr>
                <w:rFonts w:hint="eastAsia" w:ascii="Times New Roman" w:hAnsi="Times New Roman" w:eastAsia="宋体" w:cs="Times New Roman"/>
                <w:kern w:val="0"/>
                <w:sz w:val="18"/>
                <w:szCs w:val="18"/>
                <w:lang w:eastAsia="zh-CN"/>
              </w:rPr>
              <w:t>面积</w:t>
            </w:r>
            <w:r>
              <w:rPr>
                <w:rFonts w:ascii="Times New Roman" w:hAnsi="Times New Roman" w:eastAsia="宋体" w:cs="Times New Roman"/>
                <w:kern w:val="0"/>
                <w:sz w:val="18"/>
                <w:szCs w:val="18"/>
              </w:rPr>
              <w:t>约180亩，总建筑面积约300000㎡，总投资20亿元。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382B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5D9E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2F9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3D41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108E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5FB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FA3D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31B795A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C2A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C321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江南商城改造项目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EEA0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5358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A79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位于瑞安侨贸小镇范围内，瑞安市站前单元02-36、02-33地块，北至五洲路（支经十路）、南至322国道、东至瑞高公路，规划总用地面积为19642㎡。</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54A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0E20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04E0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FDDA3">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7BC58">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1303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7F0BC">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0</w:t>
            </w:r>
          </w:p>
        </w:tc>
      </w:tr>
      <w:tr w14:paraId="1EA3705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28A7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937B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周湖三角地旧村改造</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89F9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307B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9EDC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项目为旧村改造项目，占地约为45亩，建筑面积约为92907㎡。</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5D5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51099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4343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2C3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安阳街道办事处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440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1C58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5FFD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92DB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5AC848D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A390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B337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老城区危旧房团块改造项目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72D3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127F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2022-2028</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19D7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包括三圣门团块、丰湖街团块、东镇A团块、凤山小区与邮电局团块、城隍庙团块改造提升项目。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48E4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512A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006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安阳街道办事处、玉海街道办事处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BA82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5E27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34A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AD0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629EE19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88C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56A7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法院业务用房项目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6774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818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FAB0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位于安阳街道隆山东路车管所地块，总用地面积9.75亩，地上总建筑面积16000㎡，另架空面积2185㎡（不计容），地下室总建筑面积15000㎡（两层，不计容）。</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BE32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B15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2965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市人民法院</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67F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2920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4C0B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9154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C53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3335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DDB8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15409</w:t>
            </w:r>
          </w:p>
        </w:tc>
      </w:tr>
      <w:tr w14:paraId="06BB167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7995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ACD6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公安（交警）业务技术用房建设工程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3409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0513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DB42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该项目位于瑞安市东新产城融合示范带汀田中单元04-33地块内，西侧为东新路，南侧为瑞枫大道，北侧为河滨路。用地面积为23333㎡。地上建筑面积为30898㎡，地下建筑面积约为21000㎡。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E1F2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42004</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403F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42004</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E7C7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市政府投资工程建设中心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79B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8130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1308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7402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2FE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3807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8C8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19339</w:t>
            </w:r>
          </w:p>
        </w:tc>
      </w:tr>
      <w:tr w14:paraId="2A079FA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B38A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6F8E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滨海核心区旧村改造</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41A4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33E5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B038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位于上望街道东部，东至滨海大道，南至九安路，北至东进路，总建设用地约480亩，涉及农用地约169亩。包括滨海大道东西两侧旧村拆迁，低效土地及农用地整合，地上建筑等。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153B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CA0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2B89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上望街道办事处、瑞安滨海新区管委会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C5C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2E4E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CCD2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B424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37E5731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36E1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C01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丁山三期北区智造园区基础设施配套项目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392E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DBA4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6E39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建设园区配套学校、园区配套医院。</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0529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141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E61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F7D4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7DF7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643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BA06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661BC11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7837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9AE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滨江大道西延伸线及防洪堤工程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77AF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7B4E6">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D81B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道路总长约6km,红线宽度24-36m，征地费用约36000万元，建安费用约79000万元，防洪堤费用约30000万元。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0EB4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49209">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8085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3E27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BF1E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6602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DA05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BE2C45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123D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1ABB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马屿体育公园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2E4B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B81B2">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7D66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用地面积约60亩，建设内容包括体育馆、游泳馆等体育场馆及体育公园。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DDF1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EBA2E">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55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马屿镇政府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270B7">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F16F1">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F5685">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9015D">
            <w:pPr>
              <w:widowControl/>
              <w:spacing w:line="260" w:lineRule="exact"/>
              <w:jc w:val="center"/>
              <w:textAlignment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lang w:bidi="ar"/>
                <w14:textFill>
                  <w14:solidFill>
                    <w14:schemeClr w14:val="tx1"/>
                  </w14:solidFill>
                </w14:textFill>
              </w:rPr>
              <w:t>/</w:t>
            </w:r>
          </w:p>
        </w:tc>
      </w:tr>
      <w:tr w14:paraId="5C2D6A6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CA70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7F97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海安古城改造提升工程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804D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7AAFF">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68BC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中部组团海安片区北起龙河、环城南路，与场桥相接；南以鲍田为邻；西到凤凰山；东至凤锦路，规划范围总面积约2.26k㎡。</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B4F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EE8F7">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86F1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11A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7548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F50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5F34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E0231E3">
        <w:tblPrEx>
          <w:tblCellMar>
            <w:top w:w="0" w:type="dxa"/>
            <w:left w:w="108" w:type="dxa"/>
            <w:bottom w:w="0" w:type="dxa"/>
            <w:right w:w="108" w:type="dxa"/>
          </w:tblCellMar>
        </w:tblPrEx>
        <w:trPr>
          <w:trHeight w:val="20" w:hRule="atLeast"/>
        </w:trPr>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EC0CB">
            <w:pPr>
              <w:widowControl/>
              <w:spacing w:line="260" w:lineRule="exact"/>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5、工业项目（61）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56DAE">
            <w:pPr>
              <w:widowControl/>
              <w:spacing w:line="260" w:lineRule="exact"/>
              <w:jc w:val="center"/>
              <w:rPr>
                <w:rFonts w:ascii="Times New Roman" w:hAnsi="Times New Roman" w:eastAsia="宋体" w:cs="Times New Roman"/>
                <w:sz w:val="18"/>
                <w:szCs w:val="18"/>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3163">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E6F13">
            <w:pPr>
              <w:widowControl/>
              <w:spacing w:line="260" w:lineRule="exact"/>
              <w:jc w:val="center"/>
              <w:textAlignment w:val="center"/>
              <w:rPr>
                <w:rFonts w:ascii="Times New Roman" w:hAnsi="Times New Roman" w:eastAsia="宋体" w:cs="Times New Roman"/>
                <w:b/>
                <w:bCs/>
                <w:kern w:val="0"/>
                <w:sz w:val="18"/>
                <w:szCs w:val="18"/>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54F4">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18841371</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C0590">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9666753</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14BEB">
            <w:pPr>
              <w:widowControl/>
              <w:spacing w:line="260" w:lineRule="exact"/>
              <w:jc w:val="center"/>
              <w:textAlignment w:val="center"/>
              <w:rPr>
                <w:rFonts w:ascii="Times New Roman" w:hAnsi="Times New Roman" w:eastAsia="宋体" w:cs="Times New Roman"/>
                <w:b/>
                <w:bCs/>
                <w:kern w:val="0"/>
                <w:sz w:val="18"/>
                <w:szCs w:val="18"/>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163BE">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384913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18133">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434870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EA5F2">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186833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2F422">
            <w:pPr>
              <w:widowControl/>
              <w:spacing w:line="260" w:lineRule="exact"/>
              <w:jc w:val="center"/>
              <w:textAlignment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1006616</w:t>
            </w:r>
          </w:p>
        </w:tc>
      </w:tr>
      <w:tr w14:paraId="1CD8204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ACA3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5E68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浙江特博汽车电器股份有限公司智能化汽车雨刮器总成生产项目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1157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F24E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B4B5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一期用地88亩，拟建设智能化汽车雨刮器总成产品生产基地，第一期建设压铸车间20000㎡（包括机加工），冲制车间13000㎡及液化气站3000㎡，办公场所3000㎡（包括生产车间办公室），员工宿舍12000㎡；二期用地212亩，建设装配流水线生产车间43000㎡，金工车间10000㎡，技术研究开发及测试中心3000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F8AB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0FC7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19162</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5218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C824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5341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0B21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2440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473B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8897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F460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16678</w:t>
            </w:r>
          </w:p>
        </w:tc>
      </w:tr>
      <w:tr w14:paraId="3188ED3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247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8BC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温州瑞明工业股份有限公司新增年产1550万件汽车轻量化关键零部件智能化生产线建设项目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7B29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B635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2018-2022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FA7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位于丁山二期，总用地面积380亩，总建筑面积为449922㎡，建设压铸车间、重力铸造车间、模具、装备制造车间、机加车间、精加工车间。</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D105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226000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F98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D70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BD99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18271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320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9158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62B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481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F7D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27910</w:t>
            </w:r>
          </w:p>
        </w:tc>
      </w:tr>
      <w:tr w14:paraId="25D36C0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5F5D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58B8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瑞立汽车零部件智造项目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82D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A8B6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2018-2022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0FA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本项目地上总建筑面积746857.52㎡，其中瑞立汽车零部件智造项目（新能源汽车零部件制造中心）建筑面积650837.52㎡（其中，新能源汽车零部件制造中心建筑面积310508.45㎡，汽车智能控制系统及关键（安全）部件智能制造项目建筑面积340329.07㎡），职业教育中心建筑面积96020㎡。瑞立汽车零部件智造项目（新能源汽车零部件制造中心）（含新能源汽车零部件制造中心和汽车智能控制系统及关键（安全）部件智能制造项目）共投资19.35亿元，职业教育中心投资4.35亿元。生产汽车零部件，年产值26亿元，年纳税1.1亿元以上。</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B09B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237000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5FB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3C2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170B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40416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438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47031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FBE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5991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6D75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93438</w:t>
            </w:r>
          </w:p>
        </w:tc>
      </w:tr>
      <w:tr w14:paraId="5678BF7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204C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60B4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浙江长城换向器有限公司年产30000吨酚醛树脂新材料及年产5000万只节能环保型碳换向器产业化项目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4E6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868B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EF18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总投资112050万元，项目总用地面积160.17亩，其中一期用地面积65亩，建筑面积108333㎡。建成后形成年产30000吨酚醛树脂新材料及年产5000万只节能环保型碳换向器的生产能力，可实现年产值15亿元，销售收入15亿元，净利润12442.3万元，税收7823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695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112050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0989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7D2E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2EA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14864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1450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9938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BAF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3765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BA0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28567</w:t>
            </w:r>
          </w:p>
        </w:tc>
      </w:tr>
      <w:tr w14:paraId="1D0BE75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AEEB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07F6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浙江华峰环保材料有限公司年产3万吨PBAT及配套改性装置项目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47FB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229B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CD0E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瑞安经济开发区丁山二期，西环河以东，望湖路以南，凤凰路以西，滨江大道以北，用地地面积39551.9㎡，总建筑面积19597.52㎡。达产后，年产3万吨聚己二酸对苯二甲酸丁二酯（PBAT）、1万吨可降解助剂、5千吨二氧化碳聚醚多元醇和改性产品及联产产品，年销售收入77835.13万元，年税收2605.81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EEF5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D938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23791</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72C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236B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17227</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2815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10037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5803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A623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29273</w:t>
            </w:r>
          </w:p>
        </w:tc>
      </w:tr>
      <w:tr w14:paraId="6397FA7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C260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A325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浙江力诺流体控制科技股份有限公司年产2.5万套高性能控制阀、7.5万套控制阀生产基地及研发中心项目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72BB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4DE5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687A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位于丁山二期，用地面积约82亩，总建筑面积77174㎡，主要生产高性能控制阀，建成后年产2.5万套高性能控制阀、7.5万套控制阀生产基地及研发中心，产值100000万元，纳税10000万元。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BC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EEF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E7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B6F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13459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00B9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7506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D4B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2709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64B3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23674</w:t>
            </w:r>
          </w:p>
        </w:tc>
      </w:tr>
      <w:tr w14:paraId="7E9B16B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0104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384A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浙江新力新材料股份有限公司产14万吨特种工程塑料及透明尼龙的合成改性产业化项目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F3EE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C287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2018-2021</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4E2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位于丁山二期，占地120亩，建筑面积44676㎡，年产14万吨特种工程塑料及透明尼龙的合成改性产业化项目。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F09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9DB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D4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D2D7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11476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9CB9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A4B2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09F9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11476</w:t>
            </w:r>
          </w:p>
        </w:tc>
      </w:tr>
      <w:tr w14:paraId="1D7B851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F1AD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D7E5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浙江瑞航塑业有限公司折叠式环保盒项目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27B3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E51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3B94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拟选址丁山二期。总用地面积约60亩，总投资约3.2亿元。建设50条全自动盒类机械设备生产线，年产4.5亿个折叠式环保盒。折叠式环保盒产品广泛应用于鞋类、服装、饰品、食品等的包装盒市场。项目竣工投产后企业承诺新增年产值6亿元，新增年税收3000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33BF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0261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23395</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7A5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E555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9458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DEF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6582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F4E7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4737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EDE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20777</w:t>
            </w:r>
          </w:p>
        </w:tc>
      </w:tr>
      <w:tr w14:paraId="0CC9643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1199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DD2E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浙江锦佳汽车零部件有限公司年产200万只油泵、20万套汽车SCR项目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1A9E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9A8C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3230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拟选址丁山二期，占地面积57亩，主要生产油泵、汽车SCR设备。</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3C17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30450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9C57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0C1A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2AE0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6999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0457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1570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1629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484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8971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9053</w:t>
            </w:r>
          </w:p>
        </w:tc>
      </w:tr>
      <w:tr w14:paraId="214AB79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D97B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5760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浙江绿欧智能科技有限公司年产1万台机器人、10万台新能源汽车电动系统新厂房建设项目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714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EF6B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2018-2021</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03E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位于丁山二期，总用地面积80亩，总建筑面积81170.83㎡，达产后年产1万台机器人、10万台新能源汽车电动系统。</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A32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30100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A856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559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CD47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5831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C462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809</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C211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E453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6690</w:t>
            </w:r>
          </w:p>
        </w:tc>
      </w:tr>
      <w:tr w14:paraId="018B7C7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7E4B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D3D4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浙江创富新材料有限公司新能源动力电池用高阻隔薄膜项目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E97C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D47E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3919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拟选址丁山二期，总用地面积约60亩，总投资3亿元。生产BOPA高阻隔薄膜（铝塑膜专用尼龙膜)新产品，主要应用于动力电池软包装、医药包装、食品包装等。项目属于战略性新兴产业的新能源智能网联汽车、新材料领域，项目竣工投产后新增年产值6.5亿元，新增年税收3250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4E7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845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9B99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841D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6794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58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2232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7C58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1899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C4F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10925</w:t>
            </w:r>
          </w:p>
        </w:tc>
      </w:tr>
      <w:tr w14:paraId="2B53A00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D431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E277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松田年产500万套智能控制无刷电机生产线项目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52A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F355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87B7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位于东区，用地170亩，拟建设年产500万套智能控制无刷电机生产线项目。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B00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101000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A1AF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335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F754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E65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25735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029A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728D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70735</w:t>
            </w:r>
          </w:p>
        </w:tc>
      </w:tr>
      <w:tr w14:paraId="5E3F11D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0A36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C36E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华峰工业互联网项目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DE3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2154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18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位于莘塍工业园，利用华峰老厂房改造，打造新材料及劳保鞋品类工业互联网基地。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9A7D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4AA0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132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EBF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10130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D5A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24196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318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7998</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F7AC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42324</w:t>
            </w:r>
          </w:p>
        </w:tc>
      </w:tr>
      <w:tr w14:paraId="52FF936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DAC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0C68E">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浙江厨工酿造有限公司新建生产车间建设项目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F9F4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5D8C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5184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项目位于湖岭农副产品加工工业园区，总占地100亩，总建筑面积91000㎡，主要生产食品及多类调味品。</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1F47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4EAC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7542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1E1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E9E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8412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F055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6018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10412</w:t>
            </w:r>
          </w:p>
        </w:tc>
      </w:tr>
      <w:tr w14:paraId="2B50D62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DDE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9122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经济开发区长鸿小微园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6F6E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015B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80E6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位于开发区北拓展区，占地41亩，建筑面积80000㎡。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94B9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DF1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4904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DBEE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8616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C1D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449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E18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8616</w:t>
            </w:r>
          </w:p>
        </w:tc>
      </w:tr>
      <w:tr w14:paraId="6548E95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7A58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8BA8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东新产城小微园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84EF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E2D2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2018-2022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7747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汀田街道，一期工程北临塘下东工业区、西至东新路、南至清泉路和东至凤锦路，用地面积约85亩，地上建筑面积约142000㎡，总投资约3.6亿元，建设内容包括工业厂房、办公研发楼、宿舍楼和相关配套设施。二期工程位于一期项目以东，凤锦路以西，振兴路两侧，总用地规模约68亩,地上建筑面积约112500㎡，总投资约3.2亿元，建设内容包括工业厂房、办公研发楼、宿舍楼和相关配套设施。</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C005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68000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2E0B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20152</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FDCE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9D83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10318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A8D5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7313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A6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FAA3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17631</w:t>
            </w:r>
          </w:p>
        </w:tc>
      </w:tr>
      <w:tr w14:paraId="4FC3C06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8B5D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C218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时尚智造（箱包）总部园二期项目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CEB0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5237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0E72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该项目位于仙降街道四甲村箱包园区，仙林路以南，下西垟河以北，仙达路以西。规划总用地面积51671㎡，总建筑面积136900㎡（其中地上建筑面积123246㎡，地下室建筑面积13653㎡，机动车停车位约374个）。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E566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39705</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3FA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8D1B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市国投集团</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C81E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20413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B938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3817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4357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82FD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24230</w:t>
            </w:r>
          </w:p>
        </w:tc>
      </w:tr>
      <w:tr w14:paraId="2D996DB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7881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E62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控客智能家居产业项目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521B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8503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991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占地面积约1250亩，总投资约100亿元，现拟引进华峰集团杭州控客信息技术有限公司，建设智能家居产业园。项目分三期建设，一期华峰集团现有厂房改扩建项目，总投资约4亿元，二期拟选址开发区大道以北，江海路以西，陈虬路以南，中塘河以东，占地面积约400亩，现装为一般农田，三期为开发三路以北，滨海大道以西，科教街以东，世纪大道以南，共850亩，现状为一般农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BF04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144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0DCC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A37C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6C6B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2897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00EC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60848A4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3C3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B1A3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紫清智慧停车设备生产基地建设项目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96C0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B00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D62C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本项目拟选址阁巷新区西首，用地面积1000亩，建总建筑面积1220000㎡，其中：智慧停车生产车间、装配车间6幢，建筑面积360000㎡，立体车库配件生产车间、装配车间6幢建筑面积为360000㎡，仓储用房4幢建筑面积 200000㎡，研发办公大楼建筑面积120000㎡，专家楼、宿舍楼及食堂建筑面积180000㎡。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5049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C73F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C6E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44C0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D4AC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DE7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2623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0E111E2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A057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1AA2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江南铝业智能汽车轻量化关键零部件项目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968B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24B8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973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总投资50亿元，总用地面积约1000亩，预计总投资50亿元，建设年产700万套汽车铝合金副车架、2000万套新能源汽车电池外壳以及6000万只散热器，达产后产值100亿元。项目分二期建设，一期拟选址北拓展区开发区大道以北，迎江路以东，望江路以西，开发区路以南，用地面积300亩；二期拟选址丁山二期西首，占地面积约700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DA5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A48E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AC99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A21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9EE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CC1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AE9D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739E316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453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FCCD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万东智能制造产业园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FB0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BF9D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0475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万松东路两侧，占地面积401亩，共5宗地块，分别建设机械、汽摩配以及配套电商物流产业园，聚焦引进印刷机械、包装机械、制药机械、阀门等高端机械装备、高端汽车零部件以及电商物流企业，项目达产后年产值达10亿元，年税收达5000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AE8C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4C8E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4CEC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191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5632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169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37888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D531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1915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73C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45435</w:t>
            </w:r>
          </w:p>
        </w:tc>
      </w:tr>
      <w:tr w14:paraId="4460E16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C7A2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7DD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装配式建筑产业项目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FC37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E7D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561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PHC高强度管桩及超高强混凝土预制构件全自动智能生产线项目。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CF7E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EBB8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034F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26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329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E0A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D1AE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77FCF7A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1B92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749C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经济开发区热电联产项目扩建工程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B7ED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EE0F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FB60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二机二炉及6.5km热管网建设。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31A3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FC8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D3B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E41E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7066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29E4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17017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4B68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1550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1C31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25633</w:t>
            </w:r>
          </w:p>
        </w:tc>
      </w:tr>
      <w:tr w14:paraId="36D3657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9EF5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7B97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华盛井上水产品深加工项目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A6A6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170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F9D3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项目拟选址丁山二期水产团块，占地面积123亩，总投资5亿元，由瑞安市华盛水产有限公司和日本井上食品株式会社合作建设水产品深加工项目。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49F5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3062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51C8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B7E6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2A32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A2B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5B49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75EE0A5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AAF2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7159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天瑞制药新厂房建设项目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89F4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D64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F79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位于丁山二期，总用地面积70亩。建设制药车间、研发楼、综合楼等其他配套设施。主要用于大容量注射剂、小容量注射剂、片剂、硬胶囊剂、颗粒剂、原料药等产品生产。项目投产后新增年产值 15000万元，新增年税收1500万元。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234C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9186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CB88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6014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5A60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B3E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C20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563B5B4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983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0361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丁山二期瓯飞保障基地地块项目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4750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836B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FC2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新材料项目。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D58C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BC2A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3E97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2C90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0B7A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04F9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1968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36278F4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7170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EE1C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浙江名瑞年产1000台给袋式真空包装机智造项目、年产1000台智能检测设备项目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3DAE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EB79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618A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位于丁山二期，占地面积50亩，总建筑面积83164.07平方米。主要建设装配车间、调试车间、研发车间、精加工车间、物流仓库、办公楼、宿舍楼。达产后，年产2000台只能装备，年产值40000万元，税收2500万元。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ACA6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60500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E354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60500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88BE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D18E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18776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BC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3C3E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63C4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18776</w:t>
            </w:r>
          </w:p>
        </w:tc>
      </w:tr>
      <w:tr w14:paraId="245C3ED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AA9E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E25C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奥尔印刷包装机械有限公司年产700台（套）一体化智能印刷包装机械项目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A2F6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F36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40DC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位于丁山二期，总用地面积100亩，一期供地40亩，一期总建筑面积68601.1平方米，达产后，年产700台（套）一体化智能印刷包装机械，年产值32000万元，税收2000万元。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96AE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51100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C353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51100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F6BB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DC87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13516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4A37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2555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6109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2148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16071</w:t>
            </w:r>
          </w:p>
        </w:tc>
      </w:tr>
      <w:tr w14:paraId="1FA35C8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1CAF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C61A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浙江科尔泵业股份有限公司年产2000台（套）石油化工泵重大装备生产线技术改造项目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C918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6081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F2E7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总用地面积100亩，一期供地40亩，一期总建筑面积47709.43平方米，其中地上建筑面积47277.55平方米，地下建筑面积431.88平方米。达产后，年产2000台（套）石油化工泵重大装备生产线，年产值32000万元，税收2000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3A40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2244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F53E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3551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10625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C3D0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3899</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C2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5DA4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14524</w:t>
            </w:r>
          </w:p>
        </w:tc>
      </w:tr>
      <w:tr w14:paraId="52728F2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3BA4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18BD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前海国健大健康产业建设项目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BAC2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0E7B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794C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选址在瑞安经济开发区，，总用地面积约600亩，总投资约50亿元。第一期投资约20亿元，用地面积约300亩，主要用于建设研发楼、理疗体验楼、生产厂房等；第二期用地300亩，主要建设生产厂房，总投资30亿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DC53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200A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0975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FF46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6B28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6A17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FC4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708B42E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1C6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9108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温郁金全产业链项目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B749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EFD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0CC7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Ⅰ期投资10亿元，建成温郁金种植育苗基地10100亩，生产厂区10亩，工程中心100亩；Ⅱ期投资10亿元，建成温郁金种植基地20100亩，生产厂区30亩，工程中心200亩。工程中心：为A3科研用地，Ⅰ期科研大楼、办公、食堂、宿舍50亩；产销购服务中心、科普科研中心、康养医疗中心、温郁金品牌发展中心、专家服务中心50亩。Ⅱ期加设旅游观光中心，引进专业人才，科研大楼、办公、食堂、宿舍扩建为100亩，旅游观光中心、科普科研中心、康养医疗中心等100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A6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F969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10E6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市科技局、市农业农村局、瑞安滨海新区、瑞安经济开发区、瑞安经济开发区、陶山镇</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67A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A410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982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E1CE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5A2BFDE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8191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4514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“万亩千亿”新产业平台标志性项目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008A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5DB4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4433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计划总投资50亿元，用地约600亩，建设整车厂。</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F3C2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177B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C0B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F74C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D60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8A0B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3C3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2C88F26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0ABA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E13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通领汽车智能光电感光内饰件项目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2033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C56D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7642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项目占地400亩，分两期建设，一期项目200亩，二期项目200亩。拟建成研发大楼、中试车间、装配车间、综合配套等设施，形成汽车光电感光内饰件大型生产基地。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71AC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C8C3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E0E3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68FE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CDE9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098E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B2AB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7709401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B146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859D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台州博润汽车电器有限公司汽车发动机制动启停总承系统项目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CA76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7186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3527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计划选址万亩千亿平台，用地约300亩，投资约20亿元，建设汽车发动机制动启停总承系统项目。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EAD2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A75B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E5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DA7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44D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F157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6012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08310F8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1CA0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6D90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浙江东瑞机械工业有限公司高端汽车零部件智能装备项目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028E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8D29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2DB7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计划选址万亩千亿平台，用地约300亩，投资约20亿元，建设高端汽车零部件智能装备项目。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1983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07C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1B7B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6FE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2FB2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3EA6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C17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6682A18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8E14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A117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年产60万套汽车发动机集成式启停总成系统项目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77AA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FE7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ECE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拟选址在万亩千亿平台塘下基地，总投资20亿元，用地约400亩，建筑面积约590000㎡，建设包括数字化车间、研发中心、行政办公楼、仓储物流中心等，采购国内外先进设备，用于生产汽车发动机集成式启停总成系统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911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A2F8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4753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168B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1B1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78AA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7F00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53D7F0A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DDD5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6F8A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年产</w:t>
            </w:r>
            <w:r>
              <w:rPr>
                <w:rStyle w:val="65"/>
                <w:rFonts w:eastAsia="宋体"/>
                <w:color w:val="auto"/>
                <w:sz w:val="18"/>
                <w:szCs w:val="18"/>
              </w:rPr>
              <w:t>20</w:t>
            </w:r>
            <w:r>
              <w:rPr>
                <w:rFonts w:ascii="Times New Roman" w:hAnsi="Times New Roman" w:eastAsia="宋体" w:cs="Times New Roman"/>
                <w:kern w:val="0"/>
                <w:sz w:val="18"/>
                <w:szCs w:val="18"/>
              </w:rPr>
              <w:t>万套高端汽车零部件智造装备项目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091E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2039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CDB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拟选址在万亩千亿平台塘下基地，总投资20亿元，用地约200亩，建筑面积约300000㎡，建设包括数字化车间、研发中心、行政办公楼、仓储物流中心等，采购国内外先进设备，用于生产高端汽车零部件智造装备。</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89F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D5B4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1E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08AB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390C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4525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280B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1FEBCF6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304E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CF61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年产50万套智能车身控制系统总成项目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411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6796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3867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拟选址在万亩千亿平台塘下基地，总投资20亿元，用地约200亩，建筑面积约320000㎡，建设包括生产车间、研发中心、行政办公楼、仓储物流中心等，购买国内外先进设备，建设数字化工厂，生产智能车身控制系统总成。</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C387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8A1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F58A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92B4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DE72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F996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2978</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1628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2978</w:t>
            </w:r>
          </w:p>
        </w:tc>
      </w:tr>
      <w:tr w14:paraId="47654DE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CC9D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54B4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迅达60万台新能源及混合动力双电离合器总成项目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6B47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E60E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26B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计划总投资10.2亿元，用地200亩，一期用地约100亩，投资约6亿元，产值7亿元，利税1.5亿元；二期用地100亩，投资约4亿元。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9D60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102000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261D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102000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FFE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3500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9726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E5D4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C909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3323733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9325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370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恩驰高端房车智能光电总成项目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25C5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DAFB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B57B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计划总投资20亿元，用地约325亩，建设高端房车智能光电总成项目。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C6D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2F3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D864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0967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F3C9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20045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FEA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24334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2D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44379</w:t>
            </w:r>
          </w:p>
        </w:tc>
      </w:tr>
      <w:tr w14:paraId="7CFFDEF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05E8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A59D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浙江科丰电子科技有限公司年产4000万套汽车传感器智能生产线项目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D905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DCB3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4D2E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位于塘下东区，总用地约180亩，投资14.5亿元。拟建设年产4000万套汽车传感器智能生产线项目。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05D8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4F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131B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2700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165C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44868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FEE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225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62868</w:t>
            </w:r>
          </w:p>
        </w:tc>
      </w:tr>
      <w:tr w14:paraId="2291FF8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C5ED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A7B7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浙江永安全液压高频振动锤项目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E89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DC96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AAE6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位于北区，总用地约119亩，建设全液压高频振动锤生产基地及其它供地企业。</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E1BD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68A2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7A6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塘下镇政府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7EE8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4995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CFCA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AF79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7904134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2BE6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D69D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浙江华光汽车内饰股份有限公司年产200万套高端汽车智能感知新材料配件项目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E219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880E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EB32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一期用地面积62.5亩，总建筑面积160000㎡，其中生产车间、仓库120000㎡、办公及生活用房40000㎡，引进设备62台套；项目建成达产后，能实现工业产值10.15亿元。公司将于3年内完成建设投产，实际投资额为5亿元以上，建设投产后的年度税收达到50万元/亩，年产值将达到8-10亿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FA2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0519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DE57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24C1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2A8A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22194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7B40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B6FB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32194</w:t>
            </w:r>
          </w:p>
        </w:tc>
      </w:tr>
      <w:tr w14:paraId="5F43B6D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3A7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A3C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东新产城高端智能制造中心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D567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5940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F60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项目位于瑞安市东新产城，总投资约16.5亿元，用地总面积约199亩，总建筑面积约35万方，建设内容包括工业厂房、办公楼、产品设计研发中心、质量检测平台等，总投资16.5亿元。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F95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FB8D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EC9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90AE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5DF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3103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2FFB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209DF4C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CAC5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4A1A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年产15万吨功能性BOPE环保新材料项目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823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7A75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2FFC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用地面积约275亩，拟引进德国布鲁克纳3条智能化高速生产线，可实现年产15万吨功能性BOPE环保新材料，项目投产后实现工业总产值18亿元。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4D04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F4C9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203000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9C5F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CCB9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048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3EA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1F9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0F6C4DA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606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A144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年产800台/套数字印刷及激光模切装备投资项目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CD17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46FD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69A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南滨街道，北至华明路、南至322国道、西至沙园河、东至上余河，总建筑面积约540000㎡，其中工业用地286.26亩。建造生产车间、仓储、办公楼、产品展览厅、新产品研发中心及相关配套设施，将以合理的布局、优美的环境、崭新的面貌成为初具规模的现代化机械智造基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E08C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260000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2DB6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260000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380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7E7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35000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0235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32935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3D06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41745</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091A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109680</w:t>
            </w:r>
          </w:p>
        </w:tc>
      </w:tr>
      <w:tr w14:paraId="55446A4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5FF9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7D43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马屿智能眼镜及尖端设备智造项目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E177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638B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5F47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该项目规划用地201亩，其中净用地面积约171亩，主要建设眼镜总部楼、眼视光中心、研发检测中心、创意设计中心、标准厂房、人才公寓等。一期60亩已完成土地利用规划修编。</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E51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C91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8F24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马屿镇政府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7007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D15A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460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6577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A994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6692</w:t>
            </w:r>
          </w:p>
        </w:tc>
      </w:tr>
      <w:tr w14:paraId="4A061E3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6968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A048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浙江鸿一箱包皮件有限公司年产1000万只可降解箱包项目（时尚智造（箱包）总部园三期）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F09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6A8A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32F3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建成后形成建筑面积340001㎡，年产1000万只可降解的新材料箱包生产能力。该企业入驻瑞安市仙降街道时尚箱包总部园，主要引进高智能化生产流水线、注塑机、板材机、吸塑机、质量检测设备、机械手等国内领先设备。</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7723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2F9A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11F4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仙降街道办事处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61B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13079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969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26856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E0B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10492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93B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50427</w:t>
            </w:r>
          </w:p>
        </w:tc>
      </w:tr>
      <w:tr w14:paraId="4DDFB13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55CB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489D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天宏高分子新材料时尚鞋智造项目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04AA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D5B4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D12E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项目位于云周街道，打造集生态、生产、生活于一体的高分子新材料时尚鞋新型智造基地，总建筑面积约510000㎡.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D4EE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211400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36EA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211400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C34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云周街道办事处、瑞安江南新区管委会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85B4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9B14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25464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9902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30480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A014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55944</w:t>
            </w:r>
          </w:p>
        </w:tc>
      </w:tr>
      <w:tr w14:paraId="7296B76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4235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8657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产业出城入园项目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E2E4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3C08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D59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实施工业企业出城入园搬迁改造,加快调整产业布局,优化产业结构,推动工业转型跨越发展。</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A0B3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F0E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2995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市国投集团</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CA3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8BA9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0437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218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2F35327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A290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B50E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塘下新华小微园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2E9B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4107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399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位于塘下镇，拟结合低效用地开发（总用地161亩），进行旧厂区改造，提升改造新华工业区小微园。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1D81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66FC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1CBF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塘下镇政府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6EC6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91B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8663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F18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0774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13163</w:t>
            </w:r>
          </w:p>
        </w:tc>
      </w:tr>
      <w:tr w14:paraId="215F8EA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0C58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BC92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东新产城小微园三期</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79B2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24EF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CC74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清泉路以北，大典下河以南，凤锦路以西，东新路以东，用地面积为80亩，容积率为2.5，建筑面积133000㎡。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2E9A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36667</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3190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36667</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28BD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2906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6606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5457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18376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D3A2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8127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AD1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33109</w:t>
            </w:r>
          </w:p>
        </w:tc>
      </w:tr>
      <w:tr w14:paraId="5DD56B2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0F72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6C33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年产5亿件智能化新材料防臭纺品项目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96E0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C48A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5C69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位于陶山纺织品工业基地，总用地152亩，拟投资10.1亿元，建设行政办公楼、生产厂房、科技楼用房等，建成后年产5亿件纺品，产值15亿元，纳税7500万元。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9678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101000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6B0F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5D16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陶山镇政府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F839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7A74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5135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A614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9114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074C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14249</w:t>
            </w:r>
          </w:p>
        </w:tc>
      </w:tr>
      <w:tr w14:paraId="40A625D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69D4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234B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光栅尺产业项目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D4DD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0B418">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6504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项目位于开发区大道以北，总用地230亩，一期30亩，投资3亿，二期供地200亩，投资7.5亿，生产高精度光栅尺。达产后产值可达20亿，贡献税收1.5亿。</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2191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F7BB">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F670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AE12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9FB3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B16B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DB1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2D8BF30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B610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9028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七国垟都市环保产业园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A02C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44798">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0B32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产业园规划用地面积1700亩，近期谋划滨江大道与防洪堤延伸工程及工业区改造提升方案，远期谋划物流机械仓储产业。</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A0B0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F298D">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033B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85FE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6C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2084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FBFC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37B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8085</w:t>
            </w:r>
          </w:p>
        </w:tc>
      </w:tr>
      <w:tr w14:paraId="766FCB3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7A8D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0E9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现代化管桩生产基地</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EBA9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34539">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EDD8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1）建设内容主要为年产30万立方PC构件，30万立方ALC板，3000吨模具，6万立方双T板和SP板，6万立方综合管廊和200万米预制板管桩的生产基地；2）现代建筑材料、机械设备生产项目。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420F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42E1">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7EC8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663D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11E9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D112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420B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4B3135A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378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3BC8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医疗器械智造项目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C1F3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1C2BE">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4E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用于生产防疫相关的口罩、消毒液、额温枪、防护服、药品等医药相关项目。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98F4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5D8AF">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BF43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F624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E074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EB5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FFEC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64F9332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18DA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7AAE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时尚轻工产业园项目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DF27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23866">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697C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总用地面积约280亩，总投资约13亿，计划建设生产厂房、研发中心、办公楼、仓库等建筑</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718D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C0882">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001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云周街道办事处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5BA9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C341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5A55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3C46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75275C9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FC21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1BB9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中德产业园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A219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9FCA1">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8C0F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90B2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067C7">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D65F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市经信局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760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58B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AC12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008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12C8646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D48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8143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数字产业园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04A2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5E1D1">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779B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A373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1BA31">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A706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市经信局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C74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08AC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6B57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A51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1695194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B1A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60E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医药机械产业园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E86A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CCB80">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39CB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706D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8286C">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1166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市经信局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30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487A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7BAA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8AB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4218A500">
        <w:tblPrEx>
          <w:tblCellMar>
            <w:top w:w="0" w:type="dxa"/>
            <w:left w:w="108" w:type="dxa"/>
            <w:bottom w:w="0" w:type="dxa"/>
            <w:right w:w="108" w:type="dxa"/>
          </w:tblCellMar>
        </w:tblPrEx>
        <w:trPr>
          <w:trHeight w:val="20" w:hRule="atLeast"/>
        </w:trPr>
        <w:tc>
          <w:tcPr>
            <w:tcW w:w="102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1F036">
            <w:pPr>
              <w:widowControl/>
              <w:spacing w:line="260" w:lineRule="exact"/>
              <w:jc w:val="left"/>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6、现代服务业及其他项目（56）</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87C8">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D76B5">
            <w:pPr>
              <w:widowControl/>
              <w:spacing w:line="260" w:lineRule="exact"/>
              <w:jc w:val="center"/>
              <w:textAlignment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14B8A">
            <w:pPr>
              <w:widowControl/>
              <w:spacing w:line="260" w:lineRule="exact"/>
              <w:jc w:val="center"/>
              <w:textAlignment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10017399</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F58F1">
            <w:pPr>
              <w:widowControl/>
              <w:spacing w:line="260" w:lineRule="exact"/>
              <w:jc w:val="center"/>
              <w:textAlignment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3853586</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E85F3">
            <w:pPr>
              <w:widowControl/>
              <w:spacing w:line="260" w:lineRule="exact"/>
              <w:jc w:val="center"/>
              <w:textAlignment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8B14C">
            <w:pPr>
              <w:widowControl/>
              <w:spacing w:line="260" w:lineRule="exact"/>
              <w:jc w:val="center"/>
              <w:textAlignment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418341</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D822B">
            <w:pPr>
              <w:widowControl/>
              <w:spacing w:line="260" w:lineRule="exact"/>
              <w:jc w:val="center"/>
              <w:textAlignment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415277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2576">
            <w:pPr>
              <w:widowControl/>
              <w:spacing w:line="260" w:lineRule="exact"/>
              <w:jc w:val="center"/>
              <w:textAlignment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218912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B478D">
            <w:pPr>
              <w:widowControl/>
              <w:spacing w:line="260" w:lineRule="exact"/>
              <w:jc w:val="center"/>
              <w:textAlignment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1052530</w:t>
            </w:r>
          </w:p>
        </w:tc>
      </w:tr>
      <w:tr w14:paraId="41AA3E1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AA4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8C9E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万科城市综合体</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5309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166E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2018-2021</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94BF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位于瑞祥新区瑞枫大道以南，文庄路以北，文节路以东，文定路以西。总用地约100亩，其中商业面积29亩，地上总建筑面积约150000㎡，包括星级宾馆、配套商业和高端住宅等。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E34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255096</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7FB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33700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6D4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0DB0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39642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04E9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84B2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24A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39642</w:t>
            </w:r>
          </w:p>
        </w:tc>
      </w:tr>
      <w:tr w14:paraId="0653A49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807E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AA52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城西沿江综合体</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3DB8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9B03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E22A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锦湖街道，用地面积79.66亩（其中05-12地块用地面积31.7亩,容积率2.5,功能为住宅；05-25地块用地面积31.8亩，容积率2.9，功能为住宅，拟打造西部商住中心；06-07地块用地面积16.1亩，容积率3.5，功能为商业商务，规划建筑面积约151800㎡，拟打造养老地产及西部区域商业中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072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191000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3F6B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A51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8CEE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33772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6243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20684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1465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16193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503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70649</w:t>
            </w:r>
          </w:p>
        </w:tc>
      </w:tr>
      <w:tr w14:paraId="7DB36B7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992D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6DE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东新数字经济智汇谷</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2322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E633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698F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东新路以东、文华路以南、规划道路以西和后里河以北区块，总净用地约119亩。拟建设成以信息产业为核心，以创意产业为特色，具有科研办公、科技孵化、人才公寓、成果转化平台和休闲配套等功能创业平台和特色产业基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94F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228703</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4CDA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162A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瑞安滨海新区管委会、汀田街道办事处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9BD2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40092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3232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22873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F29B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8671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C9C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71636</w:t>
            </w:r>
          </w:p>
        </w:tc>
      </w:tr>
      <w:tr w14:paraId="543A37E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3347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AF02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滨海金融大厦</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5FF6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86C4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EE31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东至滨海大道，南至万松东路，西至文位于万松东路以北、滨海大道以西，用地面积28.35亩，建筑面积约48000㎡，拟建设金融创新园。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17CC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61BF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2C23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125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8788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F05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6034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9F6E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3999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FEBA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18821</w:t>
            </w:r>
          </w:p>
        </w:tc>
      </w:tr>
      <w:tr w14:paraId="7D4C884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48AC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94D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滨海五星级宾馆工程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5839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09A9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2018-2022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BF5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位于莘塍街道，万松东路东进带，建筑面积约58000㎡，拟打造成高端品牌酒店。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78F1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BA42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16220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FB5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1F6E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19415</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8E6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12084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9F67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3021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D95A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34520</w:t>
            </w:r>
          </w:p>
        </w:tc>
      </w:tr>
      <w:tr w14:paraId="40D25E9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D130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753D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江南小镇跨境电商产业链项目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E88C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06ED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DBF2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位于56省道以北，支径八路以南，支纬十三路以东，次纬十四路以西，用地面积约293亩，建筑面积约414000㎡，打造特色文旅与跨境电商相结合的华商创新创业中心。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3B2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535000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C529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3DD4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1DE5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31429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F5C6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33264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5D9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25313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C641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90006</w:t>
            </w:r>
          </w:p>
        </w:tc>
      </w:tr>
      <w:tr w14:paraId="6E80DE8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F50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C794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京东瑞安智能供应链产业建设项目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97AF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BE9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2020-2024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3B50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位于瑞安市云周街道，建设规模约300000㎡，建设内容包括仓储设施设备生产厂房、智慧化物流货物操作中心、分拣中心、仓储中心等。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B97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2B9F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C0D4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瑞安江南新区管委会、云周街道办事处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303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34983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0AE5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37694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D869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4617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7DFA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77294</w:t>
            </w:r>
          </w:p>
        </w:tc>
      </w:tr>
      <w:tr w14:paraId="2B21BB6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E2B6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BAA8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侨贸进口商品中心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E542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6130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09B7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位于江南新区侨贸小镇，总用地面积22亩，总建筑面积约87000㎡，建设集星级酒店、免税商超、进口商品展销体验、商务会展为一体的区域性跨境商品综合中心。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75D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EE3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27DE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DDA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5823</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D753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4693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1B2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5B76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10516</w:t>
            </w:r>
          </w:p>
        </w:tc>
      </w:tr>
      <w:tr w14:paraId="61FB2CB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7C8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AFF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侨贸中心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20C1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23E0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9D34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位于江南新区侨贸小镇，总用地面积24亩，总建筑面积约35000㎡，建设成集聚跨境电商和侨商总部的甲级写字楼。</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F5F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B00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F48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228D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8366</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23A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0AF6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CCB2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8366</w:t>
            </w:r>
          </w:p>
        </w:tc>
      </w:tr>
      <w:tr w14:paraId="1EE493E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2CDE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2556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易瑞智慧供应链项目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77A2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04CB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B634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位于丁山二期，总用地面积130亩，建筑面积130000㎡，打造生态型供应链综合体，包含仓储功能区、电商产业区、结算贸易区、信息交易中心区结算中心等多种配套。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470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8B47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11666</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292C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4A08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18002</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BB18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13392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EE8B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2616</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5CEC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34010</w:t>
            </w:r>
          </w:p>
        </w:tc>
      </w:tr>
      <w:tr w14:paraId="5BD754D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A7D6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D84E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仙降城市客厅</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37E6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续建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E006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2019-2022</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DF78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位于仙降街道横街村，用地面积34亩，建筑面积68000㎡，建设集办公、商场、娱乐、休闲一站式的城市综合体。</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6710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D2B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3E72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仙降街道办事处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1BB0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22639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BA08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4121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12D7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DEA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26760</w:t>
            </w:r>
          </w:p>
        </w:tc>
      </w:tr>
      <w:tr w14:paraId="084C927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63C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1650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丁山三期北区智造园区智慧物流项目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CC4B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4CDC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02DD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建设2000000㎡物流冷链仓储中心。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062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2EEB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9F7B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市瓯飞开发建设管理中心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E4AD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29E1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FBCC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B10E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4629502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028D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A52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瑞安市钢材高端智能加工中心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E355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9B9E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D1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位于丁山三期西片围涂工程北片区，拟用地面积300亩，地上建筑面积约30万㎡等，打造一个集“钢材交易、仓储加工、货物集散、产品研发、国际展贸、电子商务、后勤配套”等多功能于一体的交易市场。</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32D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DC95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C569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瑞安市瓯飞开发建设管理中心、市商务局、市投资促进服务中心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682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23C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7381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F6D2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2430FBBA">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0A9D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3FE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巾子山时尚休闲创享聚业项目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FD5C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7241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5DD7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该项目位于巾子山区内，属北滨江城市客厅一期项目，占地约230亩，建筑面积约400000㎡，计划打造时尚娱乐坊、创享聚业坊、休闲美食坊及人文宜居坊。</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F9BB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2AA7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74E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E769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94179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4F59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195300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260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86914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C742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376393</w:t>
            </w:r>
          </w:p>
        </w:tc>
      </w:tr>
      <w:tr w14:paraId="31CF4AE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535C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57DD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虹桥体育商务区项目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B00F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103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169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万松山隧道西出入口的虹北西区内，虹桥北路以东，瑞湖路以北，周松路、体育路以西，牛伏岭河以南，规划用地面积约390亩，总投资约35亿元，院士路以北地块规划为商务区，规划用地面积约90亩；院士路以南、体育路以北地块规划为住宅区，规划用地面积约120亩；体育路以南地块规划为体育文化中心，规划用地面积约180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CB73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E0B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BBF1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25F6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3D78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B7EC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F1B5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5AB0C1E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8C94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4E7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巾子山二期、三期宜居活力休闲带项目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FE2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59AF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55C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东山街道毓蒙路以北、烟墩山公园（含）以南的巾子山地块内，总规划用地面积39.8公顷（597亩），其中公园用地面积15.1公顷（226.5亩），居住用地面积10.2公顷（153亩），康养活力环和休闲广场用地面积14.5公顷（217.5亩），规划为住宅安置、烟墩山公园、康养活力环和休闲广场。</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E711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59C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9AD6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A7D5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532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6B64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75FA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708584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8C63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DAB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滨江大道四期特色商业休闲带项目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073B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35E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10AE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东起红旗闸，西至沿江西路（浙江正昌锻造股份有限公司前），南临滨江四期防洪堤，北至沿江西路，计划打造沿滨江商业休闲带包括文体项目、休闲商业项目、特色商业项目、住宅项目及相关配套设施和绿化休闲带等。用地面积约48亩，建筑48600㎡，平均容积率1.5。</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E25C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38600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376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EAD4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782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B2FE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DBD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84BA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2D008672">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7322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3B18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潘岱街道梧岙村、寺前村康养项目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3A6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B19E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9C62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潘岱街道，梧岙村建设用地面积约6.46公顷（96.9亩），寺前山上现状村庄原址用地4.53公顷（68亩），通过加快推进旧村改造，规划以山水田园与生态自然环境为基底，围绕梧岙水库、森林资源、农耕田园、茶园等特色资源，通过植入休闲产业、养生养老产业、健康产业三大特色产业，打造都市圈近郊新型生态养老文化新社区。用地面积约165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05F9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A363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7BC0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CDF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0F8B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443C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C00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771FF05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65CF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8A0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环西山历史文化产业区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7145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9306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740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西山、飞云西路、西门街等保护、改造和提升。总用地面积约15公顷，历史街区核心保护区约3公顷，以历史街区、文化建筑保护为主，注入商业、文化等业态，打造集文化旅游、商务休闲的区块。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6CB0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13D9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299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7240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6F88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1398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5F70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684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4286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2082</w:t>
            </w:r>
          </w:p>
        </w:tc>
      </w:tr>
      <w:tr w14:paraId="4F5C86D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69E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F6F2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城西文化教育产业园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1791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794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C130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该项目位于老城西，靠近飞云江五桥，规划用地面积约231亩，包括罗阳团块（罗阳中学、安固集团）、百好团块（130亩），拟打造文化教育产业园。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2C0A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3A43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25AE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瑞安安阳中心城区开发建设中心</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767C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FAB2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DDE9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AEFC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02A827C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34DB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E6F4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塘下S2、S3线站点未来社区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FE56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4F0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D870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包括S2线位于鲍田站、S3线塘口站、塘下站未来社区谋划建设。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E355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2641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E529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塘下镇政府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E94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6AC9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71E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FCF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56E0478C">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2019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5467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塘下中心区东拓城市有机更新项目及配套路网建设</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5D1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4CC01">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2022-2029</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B7C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项目位于塘下中心区。有机更新项目投资用地680亩，投资额50亿，包括城市配套设施、民房拆迁。配套路网建设用地面积100亩，投资额2亿元，涉及塘松路、建前路、长乐路等。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B338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D9D3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92E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瑞安塘下新区管委会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248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1C2E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BCEE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CFC7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442090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3994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34ED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陈岙嘉阳冰雪世界</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6BD9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C909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35E3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位于塘下陈岙村，总用地143亩，总建筑面积255300㎡，建设水上乐园、滑雪场、冰球馆、酒店、酒店式公寓等。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3CD2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63000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68E1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63000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7963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塘下镇政府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5575A">
            <w:pPr>
              <w:widowControl/>
              <w:spacing w:line="260" w:lineRule="exact"/>
              <w:jc w:val="center"/>
              <w:textAlignment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0EA0">
            <w:pPr>
              <w:widowControl/>
              <w:spacing w:line="260" w:lineRule="exact"/>
              <w:jc w:val="center"/>
              <w:textAlignment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53346">
            <w:pPr>
              <w:widowControl/>
              <w:spacing w:line="260" w:lineRule="exact"/>
              <w:jc w:val="center"/>
              <w:textAlignment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90813">
            <w:pPr>
              <w:widowControl/>
              <w:spacing w:line="260" w:lineRule="exact"/>
              <w:jc w:val="center"/>
              <w:textAlignment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r>
      <w:tr w14:paraId="0B8C763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C9F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71580">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滨海商务中心（万松东进带04-03）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EC99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CAF8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190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东到兴业路，南到南洋路，西到港口大道，北到新兴路。拟打造为以甲级写字楼、创意SOHO办公、顶级商务会所等功能为一体的地标性建筑，地面配建公共交通枢纽，净用地面积约25.45亩，总投资约5亿元。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8C84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74AD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6214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68C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3C6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7787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F849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14894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30D3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22681</w:t>
            </w:r>
          </w:p>
        </w:tc>
      </w:tr>
      <w:tr w14:paraId="1E56EDD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73AA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5EFB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南滨江双子塔CBD项目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A13E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0EC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B627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位于南滨江新区范围内，飞云江大桥东侧，范围北至飞云江、南至孙鳌路，西至桥里水闸，东至次纬五路，规划为商业商务用地，用地</w:t>
            </w:r>
            <w:r>
              <w:rPr>
                <w:rFonts w:hint="eastAsia" w:ascii="Times New Roman" w:hAnsi="Times New Roman" w:eastAsia="宋体" w:cs="Times New Roman"/>
                <w:kern w:val="0"/>
                <w:sz w:val="18"/>
                <w:szCs w:val="18"/>
                <w:lang w:eastAsia="zh-CN"/>
              </w:rPr>
              <w:t>面积</w:t>
            </w:r>
            <w:r>
              <w:rPr>
                <w:rFonts w:ascii="Times New Roman" w:hAnsi="Times New Roman" w:eastAsia="宋体" w:cs="Times New Roman"/>
                <w:kern w:val="0"/>
                <w:sz w:val="18"/>
                <w:szCs w:val="18"/>
              </w:rPr>
              <w:t>约13.5公顷。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3EDA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818E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A48D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F6E9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CC13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57B1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0666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1BB1B80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CA69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CFF9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华奥禧养福健康文化项目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F1CC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E568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63B7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侨贸小镇范围内，属于瑞安市站前单元。范围北至云栖路、南至支经八路、西至万锦大道、东至侨贸大道，总用地面积为69.66亩打造集养生养老、医养健康、娱乐休闲等多种功能于一体的中高端科学养生养老示范基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7105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B341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F5C1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16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084D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BFD1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473E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0C5C3EB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4711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643D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S3线莘塍站商业综合配套项目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7949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80D8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7ED7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位于莘塍工业园，收储吴泰老厂房用地，结合S3轻轨站点优势，打造轻轨商业。</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D2D5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AE64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39D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瑞安滨海新区管委会、莘塍街道办事处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A080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1D1B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28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745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6003</w:t>
            </w:r>
          </w:p>
        </w:tc>
      </w:tr>
      <w:tr w14:paraId="3536E25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1553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8217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104国道汽车综合体项目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02BC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F26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59E0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拟选址于汀七钢铁市场地块（90亩）、汀田汀八和莘塍董五地块（60亩），总用地150亩，打造集汽车销售、展示、后服务市场等一体的汽车综合体项目。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4C8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7F77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326A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瑞安滨海新区管委会、市商务局、汀田街道办事处、莘塍街道办事处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BEC1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30B1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735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28E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47B71C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B55F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312A">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水产团块商服项目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23F7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1E07B">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EEDA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位于开发区起步区，总用地面积76亩，总建筑面积120000㎡，拟建商业商务中心。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0E75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488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BA38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瑞安经济开发区管委会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B150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8E7C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FA8C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C43D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2C1AD467">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8913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B0EA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莘塍董田棚户区改造项目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5AC3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31F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E2D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涉及董七、董八、董九三个村，总用地面积约353亩，总建筑面积609200㎡。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EE31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2307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C06E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莘塍街道办事处、瑞安滨海新区管委会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0804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396E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6091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826B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C1BDC3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1D16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F1EF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十八家团块改造商业项目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5BE0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26EB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2022-2027</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FC7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位于十八家，占地70亩，现主要功能是农产品市场、生产企业、民宅等，环境脏乱差，交通压力大，建筑老旧等，拟整体进行改建。</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8FDE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6BA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0CE9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安阳街道办事处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B72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1A75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453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198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733E1E7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2CED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E666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三圣门旧村改造一期团块改造</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1621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8E64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870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商城大道西北侧、泥城路以东、三圣门路以南，占地约60亩。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8E0E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8189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9F75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安阳街道办事处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519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C645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0F4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7C7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w:t>
            </w:r>
          </w:p>
        </w:tc>
      </w:tr>
      <w:tr w14:paraId="23B0DBB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588B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201A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梧岙水库高端养老产业项目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6063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3C0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8A8A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围绕梧岙水库打造生态型、活力型的集养老、教育、医疗为一体的现代康养产业，用地200亩。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B0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BFB5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319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潘岱街道办事处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0858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92A2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5C7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8A96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5AD2983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354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408A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戈尔德研发创新中心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5E6B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96EB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35DF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位于汀田街道东新瑞立学校东侧，占地约22.5亩，建筑面积约40000㎡。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8206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6BE2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863E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汀田街道办事处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3596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6087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6937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2E51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10359</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EB6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17296</w:t>
            </w:r>
          </w:p>
        </w:tc>
      </w:tr>
      <w:tr w14:paraId="07088AC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9F7C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D158">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林垟历史文化名镇保护开发项目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F0E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545B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2021-2026</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E79E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以南戏文化和农耕文化为核心，以千年林垟古镇历史人文为脉络，依托林垟丰富的湿地生态资源、建筑风貌、景观肌理，建设集南戏文化、农耕体验、康养度假、生态居住等为一体的林垟古镇，重点针对古镇核心区、控制区进行保护开发，同步实施河道整治、公共配套等项目建设。</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7C5F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9BC0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DEF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南滨街道办事处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94FE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4B00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4839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B11B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3E414CD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D8C5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2C7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湖岭天然温泉康养项目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410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DBC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2021-2031</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4F2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目位于瑞安市湖岭镇，项目规划布局“一核三区”，即温泉原乡核、诸葛后裔旅游文化区、山居福地康养度假区、月光夜色旅游休闲区，总覆盖范围16.88平方公里，总用地面积约4500亩，计划总投资120亿元。项目分期实施，一期、二期围绕温泉原乡核重点打造，占地741亩，投资40亿元，一期启动区以温泉中心、五星级度假酒店等业态为主，占地100亩；一期拓展区（坡地村镇）以康养公寓业态为主，占地470亩。二期以温泉水公园、温泉文创园、温泉商街、温泉精品酒店、康养社区等业态为主，占地171亩。三期、四期、五期重点建设山居福地康养度假区、月光夜色旅游休闲区、诸葛后裔旅游文化区等项目。</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5B3C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520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1E17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5FBD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20028</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F4A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26590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DCF2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16821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B0EF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63439</w:t>
            </w:r>
          </w:p>
        </w:tc>
      </w:tr>
      <w:tr w14:paraId="6E808AE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336F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253A4">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原野山乡文旅体验度假区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45B8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8F95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BB8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包括永安学校青少年科学素养研学时间教育营地，均路古村落开发、巾仙溪民宿开发、金子山旅游开发等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60A1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063A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E9C8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59B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BB13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C1D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3C8E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23A14799">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F4FD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432DB">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湖岭镇商贸综合体</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FF6E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707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61BE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商贸综合体位于湖岭镇湖西村松坦自然村，占地15亩，计划打造集农贸市场、超市、商城为一体的商业综合设施。</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0A80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5034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39A3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4F86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938E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728D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791B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138E10C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5542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021E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湖岭镇侨联大厦</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90D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FCF5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A149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侨联大厦位于湖岭镇汇川村雅村自然村，占地12亩。</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C0AE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59B9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5BF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D46C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0C3B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CA28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421B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5E46713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12A8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4011F">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马屿国家现代农业园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9B4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EB9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3956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屿国家现代农业产业园项目高标准建设农产智慧冷链项目、农业电商物流中心等28个基础设施、产业提升类型项目，重点发展“数字农业”“智慧农业”、农产品深加工等，打造产销一体化、全环节升级、全链条增值的“三位一体”改革示范园。项目包括金融支农项目1个，投资10亿元，招商引资产业类项目2个，投资4.5亿元；基础设施类项目19个，总投资15655万元；产业提升类项目6个，总投资6700万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2A2C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167000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7BB0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167000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7E67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马屿镇政府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9F36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41034</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CB4F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21926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7D49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13807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5616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76767</w:t>
            </w:r>
          </w:p>
        </w:tc>
      </w:tr>
      <w:tr w14:paraId="23FBD19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F98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78D79">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雷公山康养地块</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8E88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B4C44">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2022-2025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5B3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规划总用地面积约230亩，其中一期约35亩，地块容积率1.8，建筑密度30%，绿地率30%，建筑面积约42000㎡，总投资3.5亿元。项目位于马屿眼镜特色小镇的中心，东首为马屿眼镜产业基地，北首为马屿集镇，西首为石垟湖风景区，拥有全国重点文保单位晚商西周时期文物棋盘山石棚墓，被誉之为“亚洲金字塔”。</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E3F4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F2B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409D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马屿镇政府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511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7663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3D00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53B1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7801C186">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04E3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A62D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石垟湖田园智谷项目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760C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6CCF2">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2021-2024</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605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本项目总用地面积187亩，主要建设内容包括山水研学养，湿地景区改造、田园艺术农耕、乡村民俗体验四大板块相关配套设施同步进行。总投资2.7亿元。</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9BD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2543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1F37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马屿镇政府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F7AD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C74B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C260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C36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32E2E6BE">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563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8A1D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林川乡村旅游项目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9B8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8B9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D760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1、金川有机稻米田园综合体，核心区入口景观打造，印象溪坦，田园综合体主入口景观打造，村居外观环境提升二期工程（田园综合体主入口至核心区沿线），梯田休闲驿站，农耕体验中心（对坑小学）等；2、林川镇伴山旅游度假区项目，流转民屋100余间，流转山林自然景观用地1000余亩，打造伴山旅游度假区。</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0DD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24D2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AE9C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林川镇政府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6A0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149</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1D43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5A4A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427C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649</w:t>
            </w:r>
          </w:p>
        </w:tc>
      </w:tr>
      <w:tr w14:paraId="443201E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982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6BB5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曹村艾米农智谷</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936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3AAB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2021-2023</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FA0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本项目总建设用地面积85.6亩，总建筑面积88245㎡，项目采用大数据、5G、云计算、人工智能等多项自主专利技术与工艺，引进具有国内先进水平的智能化设备，购置智慧农业系统、加工中心等关键国产设备，重点建设智能农业设备研发生产区、生态稻米加工仓储中心、华东总部、5G农业大数据中心、中山大学国家重点实验室野外试验站、华为科研实验室、院士专家工作站。</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AB2A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38000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9455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38000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E7A1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曹村镇政府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0A4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DB9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6A34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B552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597B45DF">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3869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72D2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旅游景区形象提升工程</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BBC9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新建</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129C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2021-2025</w:t>
            </w: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D8B3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包括圣井山景区、桐溪风景区、海岛、九珠潭景区、七星潭景区及其他景区提升工程和湖岭片、江南片、马屿片游客服务中心，其他区块旅游接待中心建设工程。</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653C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E0D3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3B88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市产发集团</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2113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396C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DEFC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BF2A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3024572B">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126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6A44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汀田智慧物流园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EC6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83927">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D61A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以智慧物流为引领，以专业市场与产业集群物流、快递与电子商务物流为重点，与高端装备制造、文化产业、旅游业等相关产业联动发展的现代物流园区，占地面积约260000㎡。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AA82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B8422">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BC28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市交通运输局</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8CFE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FA7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EEA4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E3F1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F1CBA74">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230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962F5">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南滨江创意广场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8F99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BF15">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893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位于南滨江新区范围内，飞云江大桥东侧，范围北至飞云江、南至孙鳌路，西至华盛路，东至宋家埭水闸，规划为文化、科研、商业用地，用地</w:t>
            </w:r>
            <w:r>
              <w:rPr>
                <w:rFonts w:hint="eastAsia" w:ascii="Times New Roman" w:hAnsi="Times New Roman" w:eastAsia="宋体" w:cs="Times New Roman"/>
                <w:kern w:val="0"/>
                <w:sz w:val="18"/>
                <w:szCs w:val="18"/>
                <w:lang w:eastAsia="zh-CN"/>
              </w:rPr>
              <w:t>面积</w:t>
            </w:r>
            <w:r>
              <w:rPr>
                <w:rFonts w:ascii="Times New Roman" w:hAnsi="Times New Roman" w:eastAsia="宋体" w:cs="Times New Roman"/>
                <w:kern w:val="0"/>
                <w:sz w:val="18"/>
                <w:szCs w:val="18"/>
              </w:rPr>
              <w:t>约26.6公顷。</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4FD4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357AC">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F8F8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瑞安江南新区管委会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F82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9EA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9E9F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D13D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0A0E0FC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ED40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E845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商城改造提升项目</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8E285">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3A2EC">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E029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商城总占地面积226亩，拟通过改造提升建设，总体设计分期实施，建成规模700000㎡。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ACFB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3CD25">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D2B3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玉海街道办事处</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D53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F778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531C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BF1F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79808E23">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77C0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C6DC3">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马屿物流中心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27EE">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9C5C9">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22B9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总建筑面积约500000㎡。建设内容包括物流园区、电商园等。</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07AA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91D61">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ECBB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马屿镇政府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8C7B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E33C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FECA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F91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r>
      <w:tr w14:paraId="3B34C408">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D21F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CD26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青云谷旅游度假区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D45F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BFC9A">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1DCCA">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青云谷景区以山清、水秀、石奇而闻名，峡谷深幽、瀑潭优美、崖壁陡峭、植被茂密，是夏季旅游避暑胜地，也是远近闻名的户外探险目的地，分东坑、西坑两个区域，用地面积约120亩，拟建设高端旅游度假区。</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83AA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2F07">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8E79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马屿镇政府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701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58F0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85B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309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911069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A7643">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EA491">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牛全产业链生产基地</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F6DBD">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F9257">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9657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位于湖岭镇主镇街区，总用地46亩，包括牛产品交易、加工、销售、展示、体验、消费于一体，集合商贸商业功能区、产业融合功能区、文化集聚功能区、旅游集散服务区为一体的生产基地。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EDD5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D2FA4">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C6D26">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53C0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86EE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934B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91FF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2A35024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730B0">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20A32">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山居福地康养度假区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68B1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6DB0C">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8031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本区域距温泉泉眼2.7km，以逆川大师出家地河山寺和河山村旧址为基础，方圆600亩可建设用地，打造集养生康体、文化休闲、静心禅修、山地健身等功能于一体的文化型养生度假区</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B019C">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F43FC">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FD9D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4BAF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B0BA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B53C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C8A5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1010FE40">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7F70C">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60A07">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湖岭月光夜色旅游休闲区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AC9D9">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324AE">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61D1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以湖岭镇休闲绿道为轴线，沿三十一、三十四溪两岸打造滨水休闲和月光经济旅游综合区，包括建设三十四溪田园综合体，全线22km，串联温泉核心地和9个行政村（14个自然村），预计投资25亿元，以温泉产业带动周边区域经济协同发展。</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58F2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50EDC">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4990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2E75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AC9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85A58">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A67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26CE09B5">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4707">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95ED">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诸葛后裔旅游文化区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0146A">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BB01F">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94D3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本区域与温泉核心区紧密相连，拥有诸葛族人聚居地贾岙村、风景优美的卧龙峡、千年银杏树、小王子农庄等优质旅游资源，占地约15k㎡</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09DCB">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DB7F">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112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湖岭镇政府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6B07E">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88F7F">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BA399">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7233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47EB7A91">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A408">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A5F8C">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奇云山运动景区</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9568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1C960">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5335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高山高尔夫练习场，滑翔伞基地，高山拓展运动项目等内容。</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ECF0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30000</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B6EBD">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F9E9D">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芳庄乡政府</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EC02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371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01DF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9F55">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r w14:paraId="5A577C9D">
        <w:tblPrEx>
          <w:tblCellMar>
            <w:top w:w="0" w:type="dxa"/>
            <w:left w:w="108" w:type="dxa"/>
            <w:bottom w:w="0" w:type="dxa"/>
            <w:right w:w="108" w:type="dxa"/>
          </w:tblCellMar>
        </w:tblPrEx>
        <w:trPr>
          <w:trHeight w:val="20"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ED36">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F2686">
            <w:pPr>
              <w:widowControl/>
              <w:spacing w:line="260" w:lineRule="exac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海创园（千人计划产业园）</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2F33F">
            <w:pPr>
              <w:widowControl/>
              <w:spacing w:line="260" w:lineRule="exact"/>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前期</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6F820">
            <w:pPr>
              <w:widowControl/>
              <w:spacing w:line="260" w:lineRule="exact"/>
              <w:jc w:val="center"/>
              <w:rPr>
                <w:rFonts w:ascii="Times New Roman" w:hAnsi="Times New Roman" w:eastAsia="宋体" w:cs="Times New Roman"/>
                <w:sz w:val="18"/>
                <w:szCs w:val="18"/>
              </w:rPr>
            </w:pPr>
          </w:p>
        </w:tc>
        <w:tc>
          <w:tcPr>
            <w:tcW w:w="1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7453">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拟选址东新产城或塘下，建设千人计划产业园。</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F263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C2422">
            <w:pPr>
              <w:widowControl/>
              <w:spacing w:line="260" w:lineRule="exact"/>
              <w:jc w:val="center"/>
              <w:textAlignment w:val="center"/>
              <w:rPr>
                <w:rFonts w:ascii="Times New Roman" w:hAnsi="Times New Roman" w:eastAsia="宋体" w:cs="Times New Roman"/>
                <w:kern w:val="0"/>
                <w:sz w:val="18"/>
                <w:szCs w:val="18"/>
              </w:rPr>
            </w:pP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A0E72">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市人力社保局、瑞安滨海新区管委会</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2E500">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9C147">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3621">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9A2E4">
            <w:pPr>
              <w:widowControl/>
              <w:spacing w:line="260" w:lineRule="exact"/>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r>
    </w:tbl>
    <w:p w14:paraId="70C9472E">
      <w:pPr>
        <w:spacing w:line="280" w:lineRule="exact"/>
        <w:rPr>
          <w:sz w:val="18"/>
          <w:szCs w:val="18"/>
        </w:rPr>
      </w:pPr>
      <w:r>
        <w:rPr>
          <w:sz w:val="18"/>
          <w:szCs w:val="18"/>
        </w:rPr>
        <w:br w:type="page"/>
      </w:r>
    </w:p>
    <w:p w14:paraId="0F0CE43D">
      <w:pPr>
        <w:ind w:firstLine="640"/>
        <w:outlineLvl w:val="0"/>
        <w:rPr>
          <w:rFonts w:ascii="Times New Roman" w:hAnsi="Times New Roman" w:eastAsia="黑体" w:cs="Times New Roman"/>
          <w:szCs w:val="32"/>
        </w:rPr>
      </w:pPr>
      <w:bookmarkStart w:id="90" w:name="_Toc27639"/>
      <w:r>
        <w:rPr>
          <w:rFonts w:ascii="Times New Roman" w:hAnsi="Times New Roman" w:eastAsia="黑体" w:cs="Times New Roman"/>
          <w:szCs w:val="32"/>
        </w:rPr>
        <w:t>附件</w:t>
      </w:r>
      <w:r>
        <w:rPr>
          <w:rFonts w:hint="eastAsia" w:ascii="Times New Roman" w:hAnsi="Times New Roman" w:eastAsia="黑体" w:cs="Times New Roman"/>
          <w:szCs w:val="32"/>
        </w:rPr>
        <w:t>8</w:t>
      </w:r>
      <w:r>
        <w:rPr>
          <w:rFonts w:ascii="Times New Roman" w:hAnsi="Times New Roman" w:eastAsia="黑体" w:cs="Times New Roman"/>
          <w:szCs w:val="32"/>
        </w:rPr>
        <w:t>：</w:t>
      </w:r>
      <w:r>
        <w:rPr>
          <w:rFonts w:hint="eastAsia" w:ascii="Times New Roman" w:hAnsi="Times New Roman" w:eastAsia="黑体" w:cs="Times New Roman"/>
          <w:szCs w:val="32"/>
        </w:rPr>
        <w:t>增列</w:t>
      </w:r>
      <w:r>
        <w:rPr>
          <w:rFonts w:ascii="Times New Roman" w:hAnsi="Times New Roman" w:eastAsia="黑体" w:cs="Times New Roman"/>
          <w:szCs w:val="32"/>
        </w:rPr>
        <w:t>重大</w:t>
      </w:r>
      <w:r>
        <w:rPr>
          <w:rFonts w:hint="eastAsia" w:ascii="Times New Roman" w:hAnsi="Times New Roman" w:eastAsia="黑体" w:cs="Times New Roman"/>
          <w:szCs w:val="32"/>
        </w:rPr>
        <w:t>项目清单</w:t>
      </w:r>
      <w:bookmarkEnd w:id="90"/>
    </w:p>
    <w:p w14:paraId="347A6A24">
      <w:pPr>
        <w:pStyle w:val="2"/>
        <w:spacing w:line="400" w:lineRule="exact"/>
        <w:jc w:val="right"/>
        <w:rPr>
          <w:rFonts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单位：亿元</w:t>
      </w:r>
    </w:p>
    <w:tbl>
      <w:tblPr>
        <w:tblStyle w:val="18"/>
        <w:tblW w:w="14176" w:type="dxa"/>
        <w:tblInd w:w="-743" w:type="dxa"/>
        <w:tblLayout w:type="fixed"/>
        <w:tblCellMar>
          <w:top w:w="0" w:type="dxa"/>
          <w:left w:w="108" w:type="dxa"/>
          <w:bottom w:w="0" w:type="dxa"/>
          <w:right w:w="108" w:type="dxa"/>
        </w:tblCellMar>
      </w:tblPr>
      <w:tblGrid>
        <w:gridCol w:w="567"/>
        <w:gridCol w:w="2269"/>
        <w:gridCol w:w="1276"/>
        <w:gridCol w:w="6520"/>
        <w:gridCol w:w="992"/>
        <w:gridCol w:w="2552"/>
      </w:tblGrid>
      <w:tr w14:paraId="26B9B8D2">
        <w:tblPrEx>
          <w:tblCellMar>
            <w:top w:w="0" w:type="dxa"/>
            <w:left w:w="108" w:type="dxa"/>
            <w:bottom w:w="0" w:type="dxa"/>
            <w:right w:w="108" w:type="dxa"/>
          </w:tblCellMar>
        </w:tblPrEx>
        <w:trPr>
          <w:trHeight w:val="20" w:hRule="atLeast"/>
          <w:tblHead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14:paraId="0DDD6926">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2269" w:type="dxa"/>
            <w:tcBorders>
              <w:top w:val="single" w:color="auto" w:sz="4" w:space="0"/>
              <w:left w:val="nil"/>
              <w:bottom w:val="single" w:color="auto" w:sz="4" w:space="0"/>
              <w:right w:val="single" w:color="auto" w:sz="4" w:space="0"/>
            </w:tcBorders>
            <w:shd w:val="clear" w:color="000000" w:fill="FFFFFF"/>
            <w:vAlign w:val="center"/>
          </w:tcPr>
          <w:p w14:paraId="58A7A5B3">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项目名称</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50BFD427">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建设工期</w:t>
            </w:r>
          </w:p>
        </w:tc>
        <w:tc>
          <w:tcPr>
            <w:tcW w:w="6520" w:type="dxa"/>
            <w:tcBorders>
              <w:top w:val="single" w:color="auto" w:sz="4" w:space="0"/>
              <w:left w:val="nil"/>
              <w:bottom w:val="single" w:color="auto" w:sz="4" w:space="0"/>
              <w:right w:val="single" w:color="auto" w:sz="4" w:space="0"/>
            </w:tcBorders>
            <w:shd w:val="clear" w:color="000000" w:fill="FFFFFF"/>
            <w:vAlign w:val="center"/>
          </w:tcPr>
          <w:p w14:paraId="45D808B0">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实施内容和规模</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7FCCCF4">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总投资</w:t>
            </w:r>
          </w:p>
          <w:p w14:paraId="19FDE55C">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(亿元)</w:t>
            </w:r>
          </w:p>
        </w:tc>
        <w:tc>
          <w:tcPr>
            <w:tcW w:w="2552" w:type="dxa"/>
            <w:tcBorders>
              <w:top w:val="single" w:color="auto" w:sz="4" w:space="0"/>
              <w:left w:val="nil"/>
              <w:bottom w:val="single" w:color="auto" w:sz="4" w:space="0"/>
              <w:right w:val="single" w:color="auto" w:sz="4" w:space="0"/>
            </w:tcBorders>
            <w:shd w:val="clear" w:color="000000" w:fill="FFFFFF"/>
            <w:vAlign w:val="center"/>
          </w:tcPr>
          <w:p w14:paraId="7A09CC4F">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责任单位</w:t>
            </w:r>
          </w:p>
        </w:tc>
      </w:tr>
      <w:tr w14:paraId="2624A748">
        <w:tblPrEx>
          <w:tblCellMar>
            <w:top w:w="0" w:type="dxa"/>
            <w:left w:w="108" w:type="dxa"/>
            <w:bottom w:w="0" w:type="dxa"/>
            <w:right w:w="108" w:type="dxa"/>
          </w:tblCellMar>
        </w:tblPrEx>
        <w:trPr>
          <w:trHeight w:val="20" w:hRule="atLeast"/>
        </w:trPr>
        <w:tc>
          <w:tcPr>
            <w:tcW w:w="2836"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14:paraId="06F16231">
            <w:pPr>
              <w:widowControl/>
              <w:spacing w:line="240" w:lineRule="exact"/>
              <w:jc w:val="center"/>
              <w:rPr>
                <w:rFonts w:ascii="黑体" w:hAnsi="黑体" w:eastAsia="黑体" w:cs="宋体"/>
                <w:b/>
                <w:bCs/>
                <w:kern w:val="0"/>
                <w:sz w:val="21"/>
                <w:szCs w:val="21"/>
              </w:rPr>
            </w:pPr>
            <w:r>
              <w:rPr>
                <w:rFonts w:hint="eastAsia" w:ascii="黑体" w:hAnsi="黑体" w:eastAsia="黑体" w:cs="宋体"/>
                <w:b/>
                <w:bCs/>
                <w:kern w:val="0"/>
                <w:sz w:val="21"/>
                <w:szCs w:val="21"/>
              </w:rPr>
              <w:t>合计（79个）</w:t>
            </w:r>
          </w:p>
        </w:tc>
        <w:tc>
          <w:tcPr>
            <w:tcW w:w="1276" w:type="dxa"/>
            <w:tcBorders>
              <w:top w:val="nil"/>
              <w:left w:val="nil"/>
              <w:bottom w:val="nil"/>
              <w:right w:val="single" w:color="auto" w:sz="4" w:space="0"/>
            </w:tcBorders>
            <w:shd w:val="clear" w:color="000000" w:fill="FFFFFF"/>
            <w:vAlign w:val="center"/>
          </w:tcPr>
          <w:p w14:paraId="49737C50">
            <w:pPr>
              <w:widowControl/>
              <w:spacing w:line="240" w:lineRule="exact"/>
              <w:jc w:val="center"/>
              <w:rPr>
                <w:rFonts w:ascii="黑体" w:hAnsi="黑体" w:eastAsia="黑体" w:cs="宋体"/>
                <w:b/>
                <w:bCs/>
                <w:kern w:val="0"/>
                <w:sz w:val="21"/>
                <w:szCs w:val="21"/>
              </w:rPr>
            </w:pPr>
            <w:r>
              <w:rPr>
                <w:rFonts w:hint="eastAsia" w:ascii="黑体" w:hAnsi="黑体" w:eastAsia="黑体" w:cs="宋体"/>
                <w:b/>
                <w:bCs/>
                <w:kern w:val="0"/>
                <w:sz w:val="21"/>
                <w:szCs w:val="21"/>
              </w:rPr>
              <w:t>　</w:t>
            </w:r>
          </w:p>
        </w:tc>
        <w:tc>
          <w:tcPr>
            <w:tcW w:w="6520" w:type="dxa"/>
            <w:tcBorders>
              <w:top w:val="nil"/>
              <w:left w:val="nil"/>
              <w:bottom w:val="nil"/>
              <w:right w:val="single" w:color="auto" w:sz="4" w:space="0"/>
            </w:tcBorders>
            <w:shd w:val="clear" w:color="000000" w:fill="FFFFFF"/>
            <w:vAlign w:val="center"/>
          </w:tcPr>
          <w:p w14:paraId="45D24136">
            <w:pPr>
              <w:widowControl/>
              <w:spacing w:line="240" w:lineRule="exact"/>
              <w:jc w:val="center"/>
              <w:rPr>
                <w:rFonts w:ascii="宋体" w:hAnsi="宋体" w:cs="宋体"/>
                <w:b/>
                <w:bCs/>
                <w:kern w:val="0"/>
                <w:sz w:val="21"/>
                <w:szCs w:val="21"/>
              </w:rPr>
            </w:pPr>
            <w:r>
              <w:rPr>
                <w:rFonts w:hint="eastAsia" w:ascii="宋体" w:hAnsi="宋体" w:cs="宋体"/>
                <w:b/>
                <w:bCs/>
                <w:kern w:val="0"/>
                <w:sz w:val="21"/>
                <w:szCs w:val="21"/>
              </w:rPr>
              <w:t>　</w:t>
            </w:r>
          </w:p>
        </w:tc>
        <w:tc>
          <w:tcPr>
            <w:tcW w:w="992" w:type="dxa"/>
            <w:tcBorders>
              <w:top w:val="nil"/>
              <w:left w:val="nil"/>
              <w:bottom w:val="nil"/>
              <w:right w:val="single" w:color="auto" w:sz="4" w:space="0"/>
            </w:tcBorders>
            <w:shd w:val="clear" w:color="000000" w:fill="FFFFFF"/>
            <w:vAlign w:val="center"/>
          </w:tcPr>
          <w:p w14:paraId="641C563A">
            <w:pPr>
              <w:widowControl/>
              <w:spacing w:line="240" w:lineRule="exact"/>
              <w:jc w:val="center"/>
              <w:rPr>
                <w:rFonts w:ascii="黑体" w:hAnsi="黑体" w:eastAsia="黑体" w:cs="宋体"/>
                <w:b/>
                <w:bCs/>
                <w:kern w:val="0"/>
                <w:sz w:val="21"/>
                <w:szCs w:val="21"/>
              </w:rPr>
            </w:pPr>
            <w:r>
              <w:rPr>
                <w:rFonts w:hint="eastAsia" w:ascii="黑体" w:hAnsi="黑体" w:eastAsia="黑体" w:cs="宋体"/>
                <w:b/>
                <w:bCs/>
                <w:kern w:val="0"/>
                <w:sz w:val="21"/>
                <w:szCs w:val="21"/>
              </w:rPr>
              <w:t>1302.91</w:t>
            </w:r>
          </w:p>
        </w:tc>
        <w:tc>
          <w:tcPr>
            <w:tcW w:w="2552" w:type="dxa"/>
            <w:tcBorders>
              <w:top w:val="nil"/>
              <w:left w:val="nil"/>
              <w:bottom w:val="nil"/>
              <w:right w:val="single" w:color="auto" w:sz="4" w:space="0"/>
            </w:tcBorders>
            <w:shd w:val="clear" w:color="000000" w:fill="FFFFFF"/>
            <w:vAlign w:val="center"/>
          </w:tcPr>
          <w:p w14:paraId="6A50BE16">
            <w:pPr>
              <w:widowControl/>
              <w:spacing w:line="240" w:lineRule="exact"/>
              <w:jc w:val="center"/>
              <w:rPr>
                <w:rFonts w:ascii="黑体" w:hAnsi="黑体" w:eastAsia="黑体" w:cs="宋体"/>
                <w:b/>
                <w:bCs/>
                <w:kern w:val="0"/>
                <w:sz w:val="21"/>
                <w:szCs w:val="21"/>
              </w:rPr>
            </w:pPr>
            <w:r>
              <w:rPr>
                <w:rFonts w:hint="eastAsia" w:ascii="黑体" w:hAnsi="黑体" w:eastAsia="黑体" w:cs="宋体"/>
                <w:b/>
                <w:bCs/>
                <w:kern w:val="0"/>
                <w:sz w:val="21"/>
                <w:szCs w:val="21"/>
              </w:rPr>
              <w:t>　</w:t>
            </w:r>
          </w:p>
        </w:tc>
      </w:tr>
      <w:tr w14:paraId="223641DE">
        <w:tblPrEx>
          <w:tblCellMar>
            <w:top w:w="0" w:type="dxa"/>
            <w:left w:w="108" w:type="dxa"/>
            <w:bottom w:w="0" w:type="dxa"/>
            <w:right w:w="108" w:type="dxa"/>
          </w:tblCellMar>
        </w:tblPrEx>
        <w:trPr>
          <w:trHeight w:val="20" w:hRule="atLeast"/>
        </w:trPr>
        <w:tc>
          <w:tcPr>
            <w:tcW w:w="283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4AD12F1">
            <w:pPr>
              <w:widowControl/>
              <w:spacing w:line="240" w:lineRule="exact"/>
              <w:jc w:val="left"/>
              <w:rPr>
                <w:rFonts w:ascii="黑体" w:hAnsi="黑体" w:eastAsia="黑体" w:cs="宋体"/>
                <w:b/>
                <w:bCs/>
                <w:kern w:val="0"/>
                <w:sz w:val="21"/>
                <w:szCs w:val="21"/>
              </w:rPr>
            </w:pPr>
            <w:r>
              <w:rPr>
                <w:rFonts w:hint="eastAsia" w:ascii="黑体" w:hAnsi="黑体" w:eastAsia="黑体" w:cs="宋体"/>
                <w:b/>
                <w:bCs/>
                <w:kern w:val="0"/>
                <w:sz w:val="21"/>
                <w:szCs w:val="21"/>
              </w:rPr>
              <w:t>1、交通能源项目（10个）</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3E783BF0">
            <w:pPr>
              <w:widowControl/>
              <w:spacing w:line="240" w:lineRule="exact"/>
              <w:jc w:val="center"/>
              <w:rPr>
                <w:rFonts w:ascii="黑体" w:hAnsi="黑体" w:eastAsia="黑体" w:cs="宋体"/>
                <w:b/>
                <w:bCs/>
                <w:kern w:val="0"/>
                <w:sz w:val="21"/>
                <w:szCs w:val="21"/>
              </w:rPr>
            </w:pPr>
            <w:r>
              <w:rPr>
                <w:rFonts w:hint="eastAsia" w:ascii="黑体" w:hAnsi="黑体" w:eastAsia="黑体" w:cs="宋体"/>
                <w:b/>
                <w:bCs/>
                <w:kern w:val="0"/>
                <w:sz w:val="21"/>
                <w:szCs w:val="21"/>
              </w:rPr>
              <w:t>　</w:t>
            </w:r>
          </w:p>
        </w:tc>
        <w:tc>
          <w:tcPr>
            <w:tcW w:w="6520" w:type="dxa"/>
            <w:tcBorders>
              <w:top w:val="single" w:color="auto" w:sz="4" w:space="0"/>
              <w:left w:val="nil"/>
              <w:bottom w:val="single" w:color="auto" w:sz="4" w:space="0"/>
              <w:right w:val="single" w:color="auto" w:sz="4" w:space="0"/>
            </w:tcBorders>
            <w:shd w:val="clear" w:color="000000" w:fill="FFFFFF"/>
            <w:vAlign w:val="center"/>
          </w:tcPr>
          <w:p w14:paraId="6AAF7373">
            <w:pPr>
              <w:widowControl/>
              <w:spacing w:line="240" w:lineRule="exact"/>
              <w:jc w:val="center"/>
              <w:rPr>
                <w:rFonts w:ascii="宋体" w:hAnsi="宋体" w:cs="宋体"/>
                <w:b/>
                <w:bCs/>
                <w:kern w:val="0"/>
                <w:sz w:val="21"/>
                <w:szCs w:val="21"/>
              </w:rPr>
            </w:pPr>
            <w:r>
              <w:rPr>
                <w:rFonts w:hint="eastAsia" w:ascii="宋体" w:hAnsi="宋体" w:cs="宋体"/>
                <w:b/>
                <w:bCs/>
                <w:kern w:val="0"/>
                <w:sz w:val="21"/>
                <w:szCs w:val="21"/>
              </w:rPr>
              <w:t>　</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097B2A93">
            <w:pPr>
              <w:widowControl/>
              <w:spacing w:line="240" w:lineRule="exact"/>
              <w:jc w:val="center"/>
              <w:rPr>
                <w:rFonts w:ascii="黑体" w:hAnsi="黑体" w:eastAsia="黑体" w:cs="宋体"/>
                <w:b/>
                <w:bCs/>
                <w:kern w:val="0"/>
                <w:sz w:val="21"/>
                <w:szCs w:val="21"/>
              </w:rPr>
            </w:pPr>
            <w:r>
              <w:rPr>
                <w:rFonts w:hint="eastAsia" w:ascii="黑体" w:hAnsi="黑体" w:eastAsia="黑体" w:cs="宋体"/>
                <w:b/>
                <w:bCs/>
                <w:kern w:val="0"/>
                <w:sz w:val="21"/>
                <w:szCs w:val="21"/>
              </w:rPr>
              <w:t xml:space="preserve">181.62 </w:t>
            </w:r>
          </w:p>
        </w:tc>
        <w:tc>
          <w:tcPr>
            <w:tcW w:w="2552" w:type="dxa"/>
            <w:tcBorders>
              <w:top w:val="single" w:color="auto" w:sz="4" w:space="0"/>
              <w:left w:val="nil"/>
              <w:bottom w:val="single" w:color="auto" w:sz="4" w:space="0"/>
              <w:right w:val="single" w:color="auto" w:sz="4" w:space="0"/>
            </w:tcBorders>
            <w:shd w:val="clear" w:color="000000" w:fill="FFFFFF"/>
            <w:vAlign w:val="center"/>
          </w:tcPr>
          <w:p w14:paraId="27394C91">
            <w:pPr>
              <w:widowControl/>
              <w:spacing w:line="240" w:lineRule="exact"/>
              <w:jc w:val="center"/>
              <w:rPr>
                <w:rFonts w:ascii="黑体" w:hAnsi="黑体" w:eastAsia="黑体" w:cs="宋体"/>
                <w:b/>
                <w:bCs/>
                <w:kern w:val="0"/>
                <w:sz w:val="21"/>
                <w:szCs w:val="21"/>
              </w:rPr>
            </w:pPr>
            <w:r>
              <w:rPr>
                <w:rFonts w:hint="eastAsia" w:ascii="黑体" w:hAnsi="黑体" w:eastAsia="黑体" w:cs="宋体"/>
                <w:b/>
                <w:bCs/>
                <w:kern w:val="0"/>
                <w:sz w:val="21"/>
                <w:szCs w:val="21"/>
              </w:rPr>
              <w:t>　</w:t>
            </w:r>
          </w:p>
        </w:tc>
      </w:tr>
      <w:tr w14:paraId="330B038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1A5B35D">
            <w:pPr>
              <w:widowControl/>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2269" w:type="dxa"/>
            <w:tcBorders>
              <w:top w:val="nil"/>
              <w:left w:val="nil"/>
              <w:bottom w:val="single" w:color="auto" w:sz="4" w:space="0"/>
              <w:right w:val="single" w:color="auto" w:sz="4" w:space="0"/>
            </w:tcBorders>
            <w:shd w:val="clear" w:color="000000" w:fill="FFFFFF"/>
            <w:vAlign w:val="center"/>
          </w:tcPr>
          <w:p w14:paraId="7EFB80D8">
            <w:pPr>
              <w:widowControl/>
              <w:spacing w:line="240" w:lineRule="exact"/>
              <w:jc w:val="center"/>
              <w:rPr>
                <w:rFonts w:ascii="宋体" w:hAnsi="宋体" w:cs="宋体"/>
                <w:kern w:val="0"/>
                <w:sz w:val="21"/>
                <w:szCs w:val="21"/>
              </w:rPr>
            </w:pPr>
            <w:r>
              <w:rPr>
                <w:rFonts w:hint="eastAsia" w:ascii="宋体" w:hAnsi="宋体" w:cs="宋体"/>
                <w:kern w:val="0"/>
                <w:sz w:val="21"/>
                <w:szCs w:val="21"/>
              </w:rPr>
              <w:t>甬台温高速复线增设瑞安塘下东互通工程</w:t>
            </w:r>
          </w:p>
        </w:tc>
        <w:tc>
          <w:tcPr>
            <w:tcW w:w="1276" w:type="dxa"/>
            <w:tcBorders>
              <w:top w:val="nil"/>
              <w:left w:val="nil"/>
              <w:bottom w:val="single" w:color="auto" w:sz="4" w:space="0"/>
              <w:right w:val="single" w:color="auto" w:sz="4" w:space="0"/>
            </w:tcBorders>
            <w:shd w:val="clear" w:color="000000" w:fill="FFFFFF"/>
            <w:vAlign w:val="center"/>
          </w:tcPr>
          <w:p w14:paraId="6FAE2C8C">
            <w:pPr>
              <w:widowControl/>
              <w:spacing w:line="240" w:lineRule="exact"/>
              <w:jc w:val="center"/>
              <w:rPr>
                <w:rFonts w:ascii="宋体" w:hAnsi="宋体" w:cs="宋体"/>
                <w:kern w:val="0"/>
                <w:sz w:val="21"/>
                <w:szCs w:val="21"/>
              </w:rPr>
            </w:pPr>
            <w:r>
              <w:rPr>
                <w:rFonts w:hint="eastAsia" w:ascii="宋体" w:hAnsi="宋体" w:cs="宋体"/>
                <w:kern w:val="0"/>
                <w:sz w:val="21"/>
                <w:szCs w:val="21"/>
              </w:rPr>
              <w:t>2025-2028</w:t>
            </w:r>
          </w:p>
        </w:tc>
        <w:tc>
          <w:tcPr>
            <w:tcW w:w="6520" w:type="dxa"/>
            <w:tcBorders>
              <w:top w:val="nil"/>
              <w:left w:val="nil"/>
              <w:bottom w:val="single" w:color="auto" w:sz="4" w:space="0"/>
              <w:right w:val="single" w:color="auto" w:sz="4" w:space="0"/>
            </w:tcBorders>
            <w:shd w:val="clear" w:color="000000" w:fill="FFFFFF"/>
            <w:vAlign w:val="center"/>
          </w:tcPr>
          <w:p w14:paraId="3FFD44E9">
            <w:pPr>
              <w:widowControl/>
              <w:spacing w:line="240" w:lineRule="exact"/>
              <w:rPr>
                <w:rFonts w:ascii="宋体" w:hAnsi="宋体" w:cs="宋体"/>
                <w:kern w:val="0"/>
                <w:sz w:val="21"/>
                <w:szCs w:val="21"/>
              </w:rPr>
            </w:pPr>
            <w:r>
              <w:rPr>
                <w:rFonts w:hint="eastAsia" w:ascii="宋体" w:hAnsi="宋体" w:cs="宋体"/>
                <w:kern w:val="0"/>
                <w:sz w:val="21"/>
                <w:szCs w:val="21"/>
              </w:rPr>
              <w:t>在甬台温高速公路复线瑞安塘下东部增设塘下东互通，并设置连接线接228国道，主线路线全长1.223km, 连接线长约2.0km, 项目总投资约8.2亿元。</w:t>
            </w:r>
          </w:p>
        </w:tc>
        <w:tc>
          <w:tcPr>
            <w:tcW w:w="992" w:type="dxa"/>
            <w:tcBorders>
              <w:top w:val="nil"/>
              <w:left w:val="nil"/>
              <w:bottom w:val="single" w:color="auto" w:sz="4" w:space="0"/>
              <w:right w:val="single" w:color="auto" w:sz="4" w:space="0"/>
            </w:tcBorders>
            <w:shd w:val="clear" w:color="000000" w:fill="FFFFFF"/>
            <w:vAlign w:val="center"/>
          </w:tcPr>
          <w:p w14:paraId="315670D1">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8.20 </w:t>
            </w:r>
          </w:p>
        </w:tc>
        <w:tc>
          <w:tcPr>
            <w:tcW w:w="2552" w:type="dxa"/>
            <w:tcBorders>
              <w:top w:val="nil"/>
              <w:left w:val="nil"/>
              <w:bottom w:val="single" w:color="auto" w:sz="4" w:space="0"/>
              <w:right w:val="single" w:color="auto" w:sz="4" w:space="0"/>
            </w:tcBorders>
            <w:shd w:val="clear" w:color="000000" w:fill="FFFFFF"/>
            <w:vAlign w:val="center"/>
          </w:tcPr>
          <w:p w14:paraId="397B68D2">
            <w:pPr>
              <w:widowControl/>
              <w:spacing w:line="240" w:lineRule="exact"/>
              <w:jc w:val="center"/>
              <w:rPr>
                <w:rFonts w:ascii="宋体" w:hAnsi="宋体" w:cs="宋体"/>
                <w:kern w:val="0"/>
                <w:sz w:val="21"/>
                <w:szCs w:val="21"/>
              </w:rPr>
            </w:pPr>
            <w:r>
              <w:rPr>
                <w:rFonts w:hint="eastAsia" w:ascii="宋体" w:hAnsi="宋体" w:cs="宋体"/>
                <w:kern w:val="0"/>
                <w:sz w:val="21"/>
                <w:szCs w:val="21"/>
              </w:rPr>
              <w:t>市交通运输局、市高速公路工程建设中心、塘下镇政府</w:t>
            </w:r>
          </w:p>
        </w:tc>
      </w:tr>
      <w:tr w14:paraId="5CD3C8D2">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483633FD">
            <w:pPr>
              <w:widowControl/>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2269" w:type="dxa"/>
            <w:tcBorders>
              <w:top w:val="nil"/>
              <w:left w:val="nil"/>
              <w:bottom w:val="single" w:color="auto" w:sz="4" w:space="0"/>
              <w:right w:val="single" w:color="auto" w:sz="4" w:space="0"/>
            </w:tcBorders>
            <w:shd w:val="clear" w:color="000000" w:fill="FFFFFF"/>
            <w:vAlign w:val="center"/>
          </w:tcPr>
          <w:p w14:paraId="359D9058">
            <w:pPr>
              <w:widowControl/>
              <w:spacing w:line="240" w:lineRule="exact"/>
              <w:jc w:val="center"/>
              <w:rPr>
                <w:rFonts w:ascii="宋体" w:hAnsi="宋体" w:cs="宋体"/>
                <w:kern w:val="0"/>
                <w:sz w:val="21"/>
                <w:szCs w:val="21"/>
              </w:rPr>
            </w:pPr>
            <w:r>
              <w:rPr>
                <w:rFonts w:hint="eastAsia" w:ascii="宋体" w:hAnsi="宋体" w:cs="宋体"/>
                <w:kern w:val="0"/>
                <w:sz w:val="21"/>
                <w:szCs w:val="21"/>
              </w:rPr>
              <w:t>飞马公路云周至仙降段改建工程（包括云周互通出口连接线）</w:t>
            </w:r>
          </w:p>
        </w:tc>
        <w:tc>
          <w:tcPr>
            <w:tcW w:w="1276" w:type="dxa"/>
            <w:tcBorders>
              <w:top w:val="nil"/>
              <w:left w:val="nil"/>
              <w:bottom w:val="single" w:color="auto" w:sz="4" w:space="0"/>
              <w:right w:val="single" w:color="auto" w:sz="4" w:space="0"/>
            </w:tcBorders>
            <w:shd w:val="clear" w:color="auto" w:fill="auto"/>
            <w:vAlign w:val="center"/>
          </w:tcPr>
          <w:p w14:paraId="20FD3C15">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nil"/>
              <w:left w:val="nil"/>
              <w:bottom w:val="single" w:color="auto" w:sz="4" w:space="0"/>
              <w:right w:val="single" w:color="auto" w:sz="4" w:space="0"/>
            </w:tcBorders>
            <w:shd w:val="clear" w:color="auto" w:fill="auto"/>
            <w:vAlign w:val="center"/>
          </w:tcPr>
          <w:p w14:paraId="3EF65C1E">
            <w:pPr>
              <w:widowControl/>
              <w:spacing w:line="240" w:lineRule="exact"/>
              <w:rPr>
                <w:rFonts w:ascii="宋体" w:hAnsi="宋体" w:cs="宋体"/>
                <w:kern w:val="0"/>
                <w:sz w:val="21"/>
                <w:szCs w:val="21"/>
              </w:rPr>
            </w:pPr>
            <w:r>
              <w:rPr>
                <w:rFonts w:hint="eastAsia" w:ascii="宋体" w:hAnsi="宋体" w:cs="宋体"/>
                <w:kern w:val="0"/>
                <w:sz w:val="21"/>
                <w:szCs w:val="21"/>
              </w:rPr>
              <w:t>起点为云周街道周苌路口，终点为仙降街道塘角村，全长约6.0km，拟按一级公路改建拓宽，其中利用已经改建的仙降大街长约3km，设与云周互通出口连接线1.2km。</w:t>
            </w:r>
          </w:p>
        </w:tc>
        <w:tc>
          <w:tcPr>
            <w:tcW w:w="992" w:type="dxa"/>
            <w:tcBorders>
              <w:top w:val="nil"/>
              <w:left w:val="nil"/>
              <w:bottom w:val="single" w:color="auto" w:sz="4" w:space="0"/>
              <w:right w:val="single" w:color="auto" w:sz="4" w:space="0"/>
            </w:tcBorders>
            <w:shd w:val="clear" w:color="auto" w:fill="auto"/>
            <w:vAlign w:val="center"/>
          </w:tcPr>
          <w:p w14:paraId="074F647E">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8.00 </w:t>
            </w:r>
          </w:p>
        </w:tc>
        <w:tc>
          <w:tcPr>
            <w:tcW w:w="2552" w:type="dxa"/>
            <w:tcBorders>
              <w:top w:val="nil"/>
              <w:left w:val="nil"/>
              <w:bottom w:val="single" w:color="auto" w:sz="4" w:space="0"/>
              <w:right w:val="single" w:color="auto" w:sz="4" w:space="0"/>
            </w:tcBorders>
            <w:shd w:val="clear" w:color="auto" w:fill="auto"/>
            <w:vAlign w:val="center"/>
          </w:tcPr>
          <w:p w14:paraId="74C11AF2">
            <w:pPr>
              <w:widowControl/>
              <w:spacing w:line="240" w:lineRule="exact"/>
              <w:jc w:val="center"/>
              <w:rPr>
                <w:rFonts w:ascii="宋体" w:hAnsi="宋体" w:cs="宋体"/>
                <w:kern w:val="0"/>
                <w:sz w:val="21"/>
                <w:szCs w:val="21"/>
              </w:rPr>
            </w:pPr>
            <w:r>
              <w:rPr>
                <w:rFonts w:hint="eastAsia" w:ascii="宋体" w:hAnsi="宋体" w:cs="宋体"/>
                <w:kern w:val="0"/>
                <w:sz w:val="21"/>
                <w:szCs w:val="21"/>
              </w:rPr>
              <w:t>瑞安江南新区管委会、云周街道办事处、仙降街道办事处</w:t>
            </w:r>
          </w:p>
        </w:tc>
      </w:tr>
      <w:tr w14:paraId="692F0D5A">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2462971">
            <w:pPr>
              <w:widowControl/>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2269" w:type="dxa"/>
            <w:tcBorders>
              <w:top w:val="nil"/>
              <w:left w:val="nil"/>
              <w:bottom w:val="single" w:color="auto" w:sz="4" w:space="0"/>
              <w:right w:val="single" w:color="auto" w:sz="4" w:space="0"/>
            </w:tcBorders>
            <w:shd w:val="clear" w:color="000000" w:fill="FFFFFF"/>
            <w:vAlign w:val="center"/>
          </w:tcPr>
          <w:p w14:paraId="4E7D093E">
            <w:pPr>
              <w:widowControl/>
              <w:spacing w:line="240" w:lineRule="exact"/>
              <w:jc w:val="center"/>
              <w:rPr>
                <w:rFonts w:ascii="宋体" w:hAnsi="宋体" w:cs="宋体"/>
                <w:kern w:val="0"/>
                <w:sz w:val="21"/>
                <w:szCs w:val="21"/>
              </w:rPr>
            </w:pPr>
            <w:r>
              <w:rPr>
                <w:rFonts w:hint="eastAsia" w:ascii="宋体" w:hAnsi="宋体" w:cs="宋体"/>
                <w:kern w:val="0"/>
                <w:sz w:val="21"/>
                <w:szCs w:val="21"/>
              </w:rPr>
              <w:t>马屿镇新京屿线及韬港路道路工程</w:t>
            </w:r>
          </w:p>
        </w:tc>
        <w:tc>
          <w:tcPr>
            <w:tcW w:w="1276" w:type="dxa"/>
            <w:tcBorders>
              <w:top w:val="nil"/>
              <w:left w:val="nil"/>
              <w:bottom w:val="single" w:color="auto" w:sz="4" w:space="0"/>
              <w:right w:val="single" w:color="auto" w:sz="4" w:space="0"/>
            </w:tcBorders>
            <w:shd w:val="clear" w:color="000000" w:fill="FFFFFF"/>
            <w:vAlign w:val="center"/>
          </w:tcPr>
          <w:p w14:paraId="174490CB">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6A007992">
            <w:pPr>
              <w:widowControl/>
              <w:spacing w:line="240" w:lineRule="exact"/>
              <w:rPr>
                <w:rFonts w:ascii="宋体" w:hAnsi="宋体" w:cs="宋体"/>
                <w:kern w:val="0"/>
                <w:sz w:val="21"/>
                <w:szCs w:val="21"/>
              </w:rPr>
            </w:pPr>
            <w:r>
              <w:rPr>
                <w:rFonts w:hint="eastAsia" w:ascii="宋体" w:hAnsi="宋体" w:cs="宋体"/>
                <w:kern w:val="0"/>
                <w:sz w:val="21"/>
                <w:szCs w:val="21"/>
              </w:rPr>
              <w:t>韬港路二期项目主线起于高鹤线，终于联丰村，路线长约2.8公里；马屿新京屿线道路工程起于荆谷高速口，终于马屿大桥，路线全长约3公里。</w:t>
            </w:r>
          </w:p>
        </w:tc>
        <w:tc>
          <w:tcPr>
            <w:tcW w:w="992" w:type="dxa"/>
            <w:tcBorders>
              <w:top w:val="nil"/>
              <w:left w:val="nil"/>
              <w:bottom w:val="single" w:color="auto" w:sz="4" w:space="0"/>
              <w:right w:val="single" w:color="auto" w:sz="4" w:space="0"/>
            </w:tcBorders>
            <w:shd w:val="clear" w:color="000000" w:fill="FFFFFF"/>
            <w:vAlign w:val="center"/>
          </w:tcPr>
          <w:p w14:paraId="492D5365">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2.00 </w:t>
            </w:r>
          </w:p>
        </w:tc>
        <w:tc>
          <w:tcPr>
            <w:tcW w:w="2552" w:type="dxa"/>
            <w:tcBorders>
              <w:top w:val="nil"/>
              <w:left w:val="nil"/>
              <w:bottom w:val="single" w:color="auto" w:sz="4" w:space="0"/>
              <w:right w:val="single" w:color="auto" w:sz="4" w:space="0"/>
            </w:tcBorders>
            <w:shd w:val="clear" w:color="000000" w:fill="FFFFFF"/>
            <w:vAlign w:val="center"/>
          </w:tcPr>
          <w:p w14:paraId="47D23070">
            <w:pPr>
              <w:widowControl/>
              <w:spacing w:line="240" w:lineRule="exact"/>
              <w:jc w:val="center"/>
              <w:rPr>
                <w:rFonts w:ascii="宋体" w:hAnsi="宋体" w:cs="宋体"/>
                <w:kern w:val="0"/>
                <w:sz w:val="21"/>
                <w:szCs w:val="21"/>
              </w:rPr>
            </w:pPr>
            <w:r>
              <w:rPr>
                <w:rFonts w:hint="eastAsia" w:ascii="宋体" w:hAnsi="宋体" w:cs="宋体"/>
                <w:kern w:val="0"/>
                <w:sz w:val="21"/>
                <w:szCs w:val="21"/>
              </w:rPr>
              <w:t>马屿镇政府</w:t>
            </w:r>
          </w:p>
        </w:tc>
      </w:tr>
      <w:tr w14:paraId="597C13EE">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23FE3D6D">
            <w:pPr>
              <w:widowControl/>
              <w:spacing w:line="240" w:lineRule="exact"/>
              <w:jc w:val="center"/>
              <w:rPr>
                <w:rFonts w:ascii="宋体" w:hAnsi="宋体" w:cs="宋体"/>
                <w:kern w:val="0"/>
                <w:sz w:val="21"/>
                <w:szCs w:val="21"/>
              </w:rPr>
            </w:pPr>
            <w:r>
              <w:rPr>
                <w:rFonts w:hint="eastAsia" w:ascii="宋体" w:hAnsi="宋体" w:cs="宋体"/>
                <w:kern w:val="0"/>
                <w:sz w:val="21"/>
                <w:szCs w:val="21"/>
              </w:rPr>
              <w:t>4</w:t>
            </w:r>
          </w:p>
        </w:tc>
        <w:tc>
          <w:tcPr>
            <w:tcW w:w="2269" w:type="dxa"/>
            <w:tcBorders>
              <w:top w:val="nil"/>
              <w:left w:val="nil"/>
              <w:bottom w:val="single" w:color="auto" w:sz="4" w:space="0"/>
              <w:right w:val="single" w:color="auto" w:sz="4" w:space="0"/>
            </w:tcBorders>
            <w:shd w:val="clear" w:color="000000" w:fill="FFFFFF"/>
            <w:vAlign w:val="center"/>
          </w:tcPr>
          <w:p w14:paraId="08E9E32A">
            <w:pPr>
              <w:widowControl/>
              <w:spacing w:line="240" w:lineRule="exact"/>
              <w:jc w:val="center"/>
              <w:rPr>
                <w:rFonts w:ascii="宋体" w:hAnsi="宋体" w:cs="宋体"/>
                <w:kern w:val="0"/>
                <w:sz w:val="21"/>
                <w:szCs w:val="21"/>
              </w:rPr>
            </w:pPr>
            <w:r>
              <w:rPr>
                <w:rFonts w:hint="eastAsia" w:ascii="宋体" w:hAnsi="宋体" w:cs="宋体"/>
                <w:kern w:val="0"/>
                <w:sz w:val="21"/>
                <w:szCs w:val="21"/>
              </w:rPr>
              <w:t>海上2号风电项目</w:t>
            </w:r>
          </w:p>
        </w:tc>
        <w:tc>
          <w:tcPr>
            <w:tcW w:w="1276" w:type="dxa"/>
            <w:tcBorders>
              <w:top w:val="nil"/>
              <w:left w:val="nil"/>
              <w:bottom w:val="single" w:color="auto" w:sz="4" w:space="0"/>
              <w:right w:val="single" w:color="auto" w:sz="4" w:space="0"/>
            </w:tcBorders>
            <w:shd w:val="clear" w:color="000000" w:fill="FFFFFF"/>
            <w:vAlign w:val="center"/>
          </w:tcPr>
          <w:p w14:paraId="299A47ED">
            <w:pPr>
              <w:widowControl/>
              <w:spacing w:line="240" w:lineRule="exact"/>
              <w:jc w:val="center"/>
              <w:rPr>
                <w:rFonts w:ascii="宋体" w:hAnsi="宋体" w:cs="宋体"/>
                <w:kern w:val="0"/>
                <w:sz w:val="21"/>
                <w:szCs w:val="21"/>
              </w:rPr>
            </w:pPr>
            <w:r>
              <w:rPr>
                <w:rFonts w:hint="eastAsia" w:ascii="宋体" w:hAnsi="宋体" w:cs="宋体"/>
                <w:kern w:val="0"/>
                <w:sz w:val="21"/>
                <w:szCs w:val="21"/>
              </w:rPr>
              <w:t>2024-2027</w:t>
            </w:r>
          </w:p>
        </w:tc>
        <w:tc>
          <w:tcPr>
            <w:tcW w:w="6520" w:type="dxa"/>
            <w:tcBorders>
              <w:top w:val="nil"/>
              <w:left w:val="nil"/>
              <w:bottom w:val="single" w:color="auto" w:sz="4" w:space="0"/>
              <w:right w:val="single" w:color="auto" w:sz="4" w:space="0"/>
            </w:tcBorders>
            <w:shd w:val="clear" w:color="000000" w:fill="FFFFFF"/>
            <w:vAlign w:val="center"/>
          </w:tcPr>
          <w:p w14:paraId="1AA9011B">
            <w:pPr>
              <w:widowControl/>
              <w:spacing w:line="240" w:lineRule="exact"/>
              <w:rPr>
                <w:rFonts w:ascii="宋体" w:hAnsi="宋体" w:cs="宋体"/>
                <w:kern w:val="0"/>
                <w:sz w:val="21"/>
                <w:szCs w:val="21"/>
              </w:rPr>
            </w:pPr>
            <w:r>
              <w:rPr>
                <w:rFonts w:hint="eastAsia" w:ascii="宋体" w:hAnsi="宋体" w:cs="宋体"/>
                <w:kern w:val="0"/>
                <w:sz w:val="21"/>
                <w:szCs w:val="21"/>
              </w:rPr>
              <w:t>位于瑞安市东部海域，总装机容量为 60万KW，用地面积约200亩，用海面积约4800亩。</w:t>
            </w:r>
          </w:p>
        </w:tc>
        <w:tc>
          <w:tcPr>
            <w:tcW w:w="992" w:type="dxa"/>
            <w:tcBorders>
              <w:top w:val="nil"/>
              <w:left w:val="nil"/>
              <w:bottom w:val="single" w:color="auto" w:sz="4" w:space="0"/>
              <w:right w:val="single" w:color="auto" w:sz="4" w:space="0"/>
            </w:tcBorders>
            <w:shd w:val="clear" w:color="000000" w:fill="FFFFFF"/>
            <w:vAlign w:val="center"/>
          </w:tcPr>
          <w:p w14:paraId="1D7CC9AD">
            <w:pPr>
              <w:widowControl/>
              <w:spacing w:line="240" w:lineRule="exact"/>
              <w:jc w:val="center"/>
              <w:rPr>
                <w:rFonts w:ascii="宋体" w:hAnsi="宋体" w:cs="宋体"/>
                <w:kern w:val="0"/>
                <w:sz w:val="21"/>
                <w:szCs w:val="21"/>
              </w:rPr>
            </w:pPr>
            <w:r>
              <w:rPr>
                <w:rFonts w:ascii="宋体" w:hAnsi="宋体" w:cs="宋体"/>
                <w:kern w:val="0"/>
                <w:sz w:val="21"/>
                <w:szCs w:val="21"/>
              </w:rPr>
              <w:t xml:space="preserve">78.00 </w:t>
            </w:r>
          </w:p>
        </w:tc>
        <w:tc>
          <w:tcPr>
            <w:tcW w:w="2552" w:type="dxa"/>
            <w:tcBorders>
              <w:top w:val="nil"/>
              <w:left w:val="nil"/>
              <w:bottom w:val="single" w:color="auto" w:sz="4" w:space="0"/>
              <w:right w:val="single" w:color="auto" w:sz="4" w:space="0"/>
            </w:tcBorders>
            <w:shd w:val="clear" w:color="000000" w:fill="FFFFFF"/>
            <w:vAlign w:val="center"/>
          </w:tcPr>
          <w:p w14:paraId="516A38E2">
            <w:pPr>
              <w:widowControl/>
              <w:spacing w:line="240" w:lineRule="exact"/>
              <w:jc w:val="center"/>
              <w:rPr>
                <w:rFonts w:ascii="宋体" w:hAnsi="宋体" w:cs="宋体"/>
                <w:kern w:val="0"/>
                <w:sz w:val="21"/>
                <w:szCs w:val="21"/>
              </w:rPr>
            </w:pPr>
            <w:r>
              <w:rPr>
                <w:rFonts w:hint="eastAsia" w:ascii="宋体" w:hAnsi="宋体" w:cs="宋体"/>
                <w:kern w:val="0"/>
                <w:sz w:val="21"/>
                <w:szCs w:val="21"/>
              </w:rPr>
              <w:t>市发展和改革局</w:t>
            </w:r>
          </w:p>
        </w:tc>
      </w:tr>
      <w:tr w14:paraId="41BE31DA">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D0D453D">
            <w:pPr>
              <w:widowControl/>
              <w:spacing w:line="240" w:lineRule="exact"/>
              <w:jc w:val="center"/>
              <w:rPr>
                <w:rFonts w:ascii="宋体" w:hAnsi="宋体" w:cs="宋体"/>
                <w:kern w:val="0"/>
                <w:sz w:val="21"/>
                <w:szCs w:val="21"/>
              </w:rPr>
            </w:pPr>
            <w:r>
              <w:rPr>
                <w:rFonts w:hint="eastAsia" w:ascii="宋体" w:hAnsi="宋体" w:cs="宋体"/>
                <w:kern w:val="0"/>
                <w:sz w:val="21"/>
                <w:szCs w:val="21"/>
              </w:rPr>
              <w:t>5</w:t>
            </w:r>
          </w:p>
        </w:tc>
        <w:tc>
          <w:tcPr>
            <w:tcW w:w="2269" w:type="dxa"/>
            <w:tcBorders>
              <w:top w:val="nil"/>
              <w:left w:val="nil"/>
              <w:bottom w:val="single" w:color="auto" w:sz="4" w:space="0"/>
              <w:right w:val="single" w:color="auto" w:sz="4" w:space="0"/>
            </w:tcBorders>
            <w:shd w:val="clear" w:color="000000" w:fill="FFFFFF"/>
            <w:vAlign w:val="center"/>
          </w:tcPr>
          <w:p w14:paraId="390F7D85">
            <w:pPr>
              <w:widowControl/>
              <w:spacing w:line="240" w:lineRule="exact"/>
              <w:jc w:val="center"/>
              <w:rPr>
                <w:rFonts w:ascii="宋体" w:hAnsi="宋体" w:cs="宋体"/>
                <w:kern w:val="0"/>
                <w:sz w:val="21"/>
                <w:szCs w:val="21"/>
              </w:rPr>
            </w:pPr>
            <w:r>
              <w:rPr>
                <w:rFonts w:hint="eastAsia" w:ascii="宋体" w:hAnsi="宋体" w:cs="宋体"/>
                <w:kern w:val="0"/>
                <w:sz w:val="21"/>
                <w:szCs w:val="21"/>
              </w:rPr>
              <w:t>林溪抽水蓄能项目</w:t>
            </w:r>
          </w:p>
        </w:tc>
        <w:tc>
          <w:tcPr>
            <w:tcW w:w="1276" w:type="dxa"/>
            <w:tcBorders>
              <w:top w:val="nil"/>
              <w:left w:val="nil"/>
              <w:bottom w:val="single" w:color="auto" w:sz="4" w:space="0"/>
              <w:right w:val="single" w:color="auto" w:sz="4" w:space="0"/>
            </w:tcBorders>
            <w:shd w:val="clear" w:color="000000" w:fill="FFFFFF"/>
            <w:vAlign w:val="center"/>
          </w:tcPr>
          <w:p w14:paraId="5F626984">
            <w:pPr>
              <w:widowControl/>
              <w:spacing w:line="240" w:lineRule="exact"/>
              <w:jc w:val="center"/>
              <w:rPr>
                <w:rFonts w:ascii="宋体" w:hAnsi="宋体" w:cs="宋体"/>
                <w:kern w:val="0"/>
                <w:sz w:val="21"/>
                <w:szCs w:val="21"/>
              </w:rPr>
            </w:pPr>
            <w:r>
              <w:rPr>
                <w:rFonts w:hint="eastAsia" w:ascii="宋体" w:hAnsi="宋体" w:cs="宋体"/>
                <w:kern w:val="0"/>
                <w:sz w:val="21"/>
                <w:szCs w:val="21"/>
              </w:rPr>
              <w:t>2025-2029</w:t>
            </w:r>
          </w:p>
        </w:tc>
        <w:tc>
          <w:tcPr>
            <w:tcW w:w="6520" w:type="dxa"/>
            <w:tcBorders>
              <w:top w:val="nil"/>
              <w:left w:val="nil"/>
              <w:bottom w:val="single" w:color="auto" w:sz="4" w:space="0"/>
              <w:right w:val="single" w:color="auto" w:sz="4" w:space="0"/>
            </w:tcBorders>
            <w:shd w:val="clear" w:color="000000" w:fill="FFFFFF"/>
            <w:vAlign w:val="center"/>
          </w:tcPr>
          <w:p w14:paraId="33B417A0">
            <w:pPr>
              <w:widowControl/>
              <w:spacing w:line="240" w:lineRule="exact"/>
              <w:rPr>
                <w:rFonts w:ascii="宋体" w:hAnsi="宋体" w:cs="宋体"/>
                <w:kern w:val="0"/>
                <w:sz w:val="21"/>
                <w:szCs w:val="21"/>
              </w:rPr>
            </w:pPr>
            <w:r>
              <w:rPr>
                <w:rFonts w:hint="eastAsia" w:ascii="宋体" w:hAnsi="宋体" w:cs="宋体"/>
                <w:kern w:val="0"/>
                <w:sz w:val="21"/>
                <w:szCs w:val="21"/>
              </w:rPr>
              <w:t>总用地约2000亩，利用林溪水库作为下水库，新建上水库和电站厂房等。上水库大坝采用混凝土面板堆石坝，挡水坝采用钢筋混凝土面板堆石坝，坝顶高程600m，最大坝高113m，调节库容664万m³。下水库正常蓄水位1325m³，调节库容1185万m³。电站装机120万千瓦。主要承担温州市、浙江省电网调峰、填谷、调频、调相、储能、紧急事故备用、新能源消纳急需的工程等。</w:t>
            </w:r>
          </w:p>
        </w:tc>
        <w:tc>
          <w:tcPr>
            <w:tcW w:w="992" w:type="dxa"/>
            <w:tcBorders>
              <w:top w:val="nil"/>
              <w:left w:val="nil"/>
              <w:bottom w:val="single" w:color="auto" w:sz="4" w:space="0"/>
              <w:right w:val="single" w:color="auto" w:sz="4" w:space="0"/>
            </w:tcBorders>
            <w:shd w:val="clear" w:color="000000" w:fill="FFFFFF"/>
            <w:vAlign w:val="center"/>
          </w:tcPr>
          <w:p w14:paraId="2F0459AB">
            <w:pPr>
              <w:widowControl/>
              <w:spacing w:line="240" w:lineRule="exact"/>
              <w:jc w:val="center"/>
              <w:rPr>
                <w:rFonts w:ascii="宋体" w:hAnsi="宋体" w:cs="宋体"/>
                <w:kern w:val="0"/>
                <w:sz w:val="21"/>
                <w:szCs w:val="21"/>
              </w:rPr>
            </w:pPr>
            <w:r>
              <w:rPr>
                <w:rFonts w:ascii="宋体" w:hAnsi="宋体" w:cs="宋体"/>
                <w:kern w:val="0"/>
                <w:sz w:val="21"/>
                <w:szCs w:val="21"/>
              </w:rPr>
              <w:t xml:space="preserve">71.00 </w:t>
            </w:r>
          </w:p>
        </w:tc>
        <w:tc>
          <w:tcPr>
            <w:tcW w:w="2552" w:type="dxa"/>
            <w:tcBorders>
              <w:top w:val="nil"/>
              <w:left w:val="nil"/>
              <w:bottom w:val="single" w:color="auto" w:sz="4" w:space="0"/>
              <w:right w:val="single" w:color="auto" w:sz="4" w:space="0"/>
            </w:tcBorders>
            <w:shd w:val="clear" w:color="000000" w:fill="FFFFFF"/>
            <w:vAlign w:val="center"/>
          </w:tcPr>
          <w:p w14:paraId="4D9F50E2">
            <w:pPr>
              <w:widowControl/>
              <w:spacing w:line="240" w:lineRule="exact"/>
              <w:jc w:val="center"/>
              <w:rPr>
                <w:rFonts w:ascii="宋体" w:hAnsi="宋体" w:cs="宋体"/>
                <w:kern w:val="0"/>
                <w:sz w:val="21"/>
                <w:szCs w:val="21"/>
              </w:rPr>
            </w:pPr>
            <w:r>
              <w:rPr>
                <w:rFonts w:hint="eastAsia" w:ascii="宋体" w:hAnsi="宋体" w:cs="宋体"/>
                <w:kern w:val="0"/>
                <w:sz w:val="21"/>
                <w:szCs w:val="21"/>
              </w:rPr>
              <w:t>市发展和改革局、林川镇政府</w:t>
            </w:r>
          </w:p>
        </w:tc>
      </w:tr>
      <w:tr w14:paraId="198E6728">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C0A03CB">
            <w:pPr>
              <w:widowControl/>
              <w:spacing w:line="240" w:lineRule="exact"/>
              <w:jc w:val="center"/>
              <w:rPr>
                <w:rFonts w:ascii="宋体" w:hAnsi="宋体" w:cs="宋体"/>
                <w:kern w:val="0"/>
                <w:sz w:val="21"/>
                <w:szCs w:val="21"/>
              </w:rPr>
            </w:pPr>
            <w:r>
              <w:rPr>
                <w:rFonts w:hint="eastAsia" w:ascii="宋体" w:hAnsi="宋体" w:cs="宋体"/>
                <w:kern w:val="0"/>
                <w:sz w:val="21"/>
                <w:szCs w:val="21"/>
              </w:rPr>
              <w:t>6</w:t>
            </w:r>
          </w:p>
        </w:tc>
        <w:tc>
          <w:tcPr>
            <w:tcW w:w="2269" w:type="dxa"/>
            <w:tcBorders>
              <w:top w:val="nil"/>
              <w:left w:val="nil"/>
              <w:bottom w:val="single" w:color="auto" w:sz="4" w:space="0"/>
              <w:right w:val="single" w:color="auto" w:sz="4" w:space="0"/>
            </w:tcBorders>
            <w:shd w:val="clear" w:color="000000" w:fill="FFFFFF"/>
            <w:vAlign w:val="center"/>
          </w:tcPr>
          <w:p w14:paraId="741B5157">
            <w:pPr>
              <w:widowControl/>
              <w:spacing w:line="240" w:lineRule="exact"/>
              <w:jc w:val="center"/>
              <w:rPr>
                <w:rFonts w:ascii="宋体" w:hAnsi="宋体" w:cs="宋体"/>
                <w:kern w:val="0"/>
                <w:sz w:val="21"/>
                <w:szCs w:val="21"/>
              </w:rPr>
            </w:pPr>
            <w:r>
              <w:rPr>
                <w:rFonts w:hint="eastAsia" w:ascii="宋体" w:hAnsi="宋体" w:cs="宋体"/>
                <w:kern w:val="0"/>
                <w:sz w:val="21"/>
                <w:szCs w:val="21"/>
              </w:rPr>
              <w:t>双桥综合能源站项目</w:t>
            </w:r>
          </w:p>
        </w:tc>
        <w:tc>
          <w:tcPr>
            <w:tcW w:w="1276" w:type="dxa"/>
            <w:tcBorders>
              <w:top w:val="nil"/>
              <w:left w:val="nil"/>
              <w:bottom w:val="single" w:color="auto" w:sz="4" w:space="0"/>
              <w:right w:val="single" w:color="auto" w:sz="4" w:space="0"/>
            </w:tcBorders>
            <w:shd w:val="clear" w:color="000000" w:fill="FFFFFF"/>
            <w:vAlign w:val="center"/>
          </w:tcPr>
          <w:p w14:paraId="2D68BAED">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1F726F2B">
            <w:pPr>
              <w:widowControl/>
              <w:spacing w:line="240" w:lineRule="exact"/>
              <w:rPr>
                <w:rFonts w:ascii="宋体" w:hAnsi="宋体" w:cs="宋体"/>
                <w:kern w:val="0"/>
                <w:sz w:val="21"/>
                <w:szCs w:val="21"/>
              </w:rPr>
            </w:pPr>
            <w:r>
              <w:rPr>
                <w:rFonts w:hint="eastAsia" w:ascii="宋体" w:hAnsi="宋体" w:cs="宋体"/>
                <w:kern w:val="0"/>
                <w:sz w:val="21"/>
                <w:szCs w:val="21"/>
              </w:rPr>
              <w:t>位于温瑞大道双桥段，其中项目主要用约地5.5亩，绿化等配套约3.8亩。拟建设集加油、充电、汽服等多功能于一体的现代化综合能源服务站，为塘下的新能源发展提供重要的基础配套保障。</w:t>
            </w:r>
          </w:p>
        </w:tc>
        <w:tc>
          <w:tcPr>
            <w:tcW w:w="992" w:type="dxa"/>
            <w:tcBorders>
              <w:top w:val="nil"/>
              <w:left w:val="nil"/>
              <w:bottom w:val="single" w:color="auto" w:sz="4" w:space="0"/>
              <w:right w:val="single" w:color="auto" w:sz="4" w:space="0"/>
            </w:tcBorders>
            <w:shd w:val="clear" w:color="000000" w:fill="FFFFFF"/>
            <w:noWrap/>
            <w:vAlign w:val="center"/>
          </w:tcPr>
          <w:p w14:paraId="707A3208">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1.50 </w:t>
            </w:r>
          </w:p>
        </w:tc>
        <w:tc>
          <w:tcPr>
            <w:tcW w:w="2552" w:type="dxa"/>
            <w:tcBorders>
              <w:top w:val="nil"/>
              <w:left w:val="nil"/>
              <w:bottom w:val="single" w:color="auto" w:sz="4" w:space="0"/>
              <w:right w:val="single" w:color="auto" w:sz="4" w:space="0"/>
            </w:tcBorders>
            <w:shd w:val="clear" w:color="000000" w:fill="FFFFFF"/>
            <w:vAlign w:val="center"/>
          </w:tcPr>
          <w:p w14:paraId="68B9447C">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6D593F49">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22E6883A">
            <w:pPr>
              <w:widowControl/>
              <w:spacing w:line="240" w:lineRule="exact"/>
              <w:jc w:val="center"/>
              <w:rPr>
                <w:rFonts w:ascii="宋体" w:hAnsi="宋体" w:cs="宋体"/>
                <w:kern w:val="0"/>
                <w:sz w:val="21"/>
                <w:szCs w:val="21"/>
              </w:rPr>
            </w:pPr>
            <w:r>
              <w:rPr>
                <w:rFonts w:hint="eastAsia" w:ascii="宋体" w:hAnsi="宋体" w:cs="宋体"/>
                <w:kern w:val="0"/>
                <w:sz w:val="21"/>
                <w:szCs w:val="21"/>
              </w:rPr>
              <w:t>7</w:t>
            </w:r>
          </w:p>
        </w:tc>
        <w:tc>
          <w:tcPr>
            <w:tcW w:w="2269" w:type="dxa"/>
            <w:tcBorders>
              <w:top w:val="nil"/>
              <w:left w:val="nil"/>
              <w:bottom w:val="single" w:color="auto" w:sz="4" w:space="0"/>
              <w:right w:val="single" w:color="auto" w:sz="4" w:space="0"/>
            </w:tcBorders>
            <w:shd w:val="clear" w:color="000000" w:fill="FFFFFF"/>
            <w:vAlign w:val="center"/>
          </w:tcPr>
          <w:p w14:paraId="78A562DF">
            <w:pPr>
              <w:widowControl/>
              <w:spacing w:line="240" w:lineRule="exact"/>
              <w:jc w:val="center"/>
              <w:rPr>
                <w:rFonts w:ascii="宋体" w:hAnsi="宋体" w:cs="宋体"/>
                <w:kern w:val="0"/>
                <w:sz w:val="21"/>
                <w:szCs w:val="21"/>
              </w:rPr>
            </w:pPr>
            <w:r>
              <w:rPr>
                <w:rFonts w:hint="eastAsia" w:ascii="宋体" w:hAnsi="宋体" w:cs="宋体"/>
                <w:kern w:val="0"/>
                <w:sz w:val="21"/>
                <w:szCs w:val="21"/>
              </w:rPr>
              <w:t>运达瑞安分散式风电项目</w:t>
            </w:r>
          </w:p>
        </w:tc>
        <w:tc>
          <w:tcPr>
            <w:tcW w:w="1276" w:type="dxa"/>
            <w:tcBorders>
              <w:top w:val="nil"/>
              <w:left w:val="nil"/>
              <w:bottom w:val="single" w:color="auto" w:sz="4" w:space="0"/>
              <w:right w:val="single" w:color="auto" w:sz="4" w:space="0"/>
            </w:tcBorders>
            <w:shd w:val="clear" w:color="000000" w:fill="FFFFFF"/>
            <w:vAlign w:val="center"/>
          </w:tcPr>
          <w:p w14:paraId="3476A619">
            <w:pPr>
              <w:widowControl/>
              <w:spacing w:line="240" w:lineRule="exact"/>
              <w:jc w:val="center"/>
              <w:rPr>
                <w:rFonts w:ascii="宋体" w:hAnsi="宋体" w:cs="宋体"/>
                <w:kern w:val="0"/>
                <w:sz w:val="21"/>
                <w:szCs w:val="21"/>
              </w:rPr>
            </w:pPr>
            <w:r>
              <w:rPr>
                <w:rFonts w:hint="eastAsia" w:ascii="宋体" w:hAnsi="宋体" w:cs="宋体"/>
                <w:kern w:val="0"/>
                <w:sz w:val="21"/>
                <w:szCs w:val="21"/>
              </w:rPr>
              <w:t>2024-2025</w:t>
            </w:r>
          </w:p>
        </w:tc>
        <w:tc>
          <w:tcPr>
            <w:tcW w:w="6520" w:type="dxa"/>
            <w:tcBorders>
              <w:top w:val="nil"/>
              <w:left w:val="nil"/>
              <w:bottom w:val="single" w:color="auto" w:sz="4" w:space="0"/>
              <w:right w:val="single" w:color="auto" w:sz="4" w:space="0"/>
            </w:tcBorders>
            <w:shd w:val="clear" w:color="000000" w:fill="FFFFFF"/>
            <w:vAlign w:val="center"/>
          </w:tcPr>
          <w:p w14:paraId="15172D87">
            <w:pPr>
              <w:widowControl/>
              <w:spacing w:line="240" w:lineRule="exact"/>
              <w:rPr>
                <w:rFonts w:ascii="宋体" w:hAnsi="宋体" w:cs="宋体"/>
                <w:kern w:val="0"/>
                <w:sz w:val="21"/>
                <w:szCs w:val="21"/>
              </w:rPr>
            </w:pPr>
            <w:r>
              <w:rPr>
                <w:rFonts w:hint="eastAsia" w:ascii="宋体" w:hAnsi="宋体" w:cs="宋体"/>
                <w:kern w:val="0"/>
                <w:sz w:val="21"/>
                <w:szCs w:val="21"/>
              </w:rPr>
              <w:t>该项目拟建设25MW分散式风电项目，预计安装5台5MW风力发电机组。</w:t>
            </w:r>
          </w:p>
        </w:tc>
        <w:tc>
          <w:tcPr>
            <w:tcW w:w="992" w:type="dxa"/>
            <w:tcBorders>
              <w:top w:val="nil"/>
              <w:left w:val="nil"/>
              <w:bottom w:val="single" w:color="auto" w:sz="4" w:space="0"/>
              <w:right w:val="single" w:color="auto" w:sz="4" w:space="0"/>
            </w:tcBorders>
            <w:shd w:val="clear" w:color="000000" w:fill="FFFFFF"/>
            <w:vAlign w:val="center"/>
          </w:tcPr>
          <w:p w14:paraId="25FA5073">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1.60 </w:t>
            </w:r>
          </w:p>
        </w:tc>
        <w:tc>
          <w:tcPr>
            <w:tcW w:w="2552" w:type="dxa"/>
            <w:tcBorders>
              <w:top w:val="nil"/>
              <w:left w:val="nil"/>
              <w:bottom w:val="single" w:color="auto" w:sz="4" w:space="0"/>
              <w:right w:val="single" w:color="auto" w:sz="4" w:space="0"/>
            </w:tcBorders>
            <w:shd w:val="clear" w:color="000000" w:fill="FFFFFF"/>
            <w:vAlign w:val="center"/>
          </w:tcPr>
          <w:p w14:paraId="1F50F050">
            <w:pPr>
              <w:widowControl/>
              <w:spacing w:line="240" w:lineRule="exact"/>
              <w:jc w:val="center"/>
              <w:rPr>
                <w:rFonts w:ascii="宋体" w:hAnsi="宋体" w:cs="宋体"/>
                <w:kern w:val="0"/>
                <w:sz w:val="21"/>
                <w:szCs w:val="21"/>
              </w:rPr>
            </w:pPr>
            <w:r>
              <w:rPr>
                <w:rFonts w:hint="eastAsia" w:ascii="宋体" w:hAnsi="宋体" w:cs="宋体"/>
                <w:kern w:val="0"/>
                <w:sz w:val="21"/>
                <w:szCs w:val="21"/>
              </w:rPr>
              <w:t>马屿镇政府</w:t>
            </w:r>
          </w:p>
        </w:tc>
      </w:tr>
      <w:tr w14:paraId="2A8F5EA1">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2A4C8B67">
            <w:pPr>
              <w:widowControl/>
              <w:spacing w:line="240" w:lineRule="exact"/>
              <w:jc w:val="center"/>
              <w:rPr>
                <w:rFonts w:ascii="宋体" w:hAnsi="宋体" w:cs="宋体"/>
                <w:kern w:val="0"/>
                <w:sz w:val="21"/>
                <w:szCs w:val="21"/>
              </w:rPr>
            </w:pPr>
            <w:r>
              <w:rPr>
                <w:rFonts w:hint="eastAsia" w:ascii="宋体" w:hAnsi="宋体" w:cs="宋体"/>
                <w:kern w:val="0"/>
                <w:sz w:val="21"/>
                <w:szCs w:val="21"/>
              </w:rPr>
              <w:t>8</w:t>
            </w:r>
          </w:p>
        </w:tc>
        <w:tc>
          <w:tcPr>
            <w:tcW w:w="2269" w:type="dxa"/>
            <w:tcBorders>
              <w:top w:val="nil"/>
              <w:left w:val="nil"/>
              <w:bottom w:val="single" w:color="auto" w:sz="4" w:space="0"/>
              <w:right w:val="single" w:color="auto" w:sz="4" w:space="0"/>
            </w:tcBorders>
            <w:shd w:val="clear" w:color="000000" w:fill="FFFFFF"/>
            <w:vAlign w:val="center"/>
          </w:tcPr>
          <w:p w14:paraId="51468BF8">
            <w:pPr>
              <w:widowControl/>
              <w:spacing w:line="240" w:lineRule="exact"/>
              <w:jc w:val="center"/>
              <w:rPr>
                <w:rFonts w:ascii="宋体" w:hAnsi="宋体" w:cs="宋体"/>
                <w:kern w:val="0"/>
                <w:sz w:val="21"/>
                <w:szCs w:val="21"/>
              </w:rPr>
            </w:pPr>
            <w:r>
              <w:rPr>
                <w:rFonts w:hint="eastAsia" w:ascii="宋体" w:hAnsi="宋体" w:cs="宋体"/>
                <w:kern w:val="0"/>
                <w:sz w:val="21"/>
                <w:szCs w:val="21"/>
              </w:rPr>
              <w:t>温州市燃气供应一体化及安全提升工程—瑞安市LPG储配站</w:t>
            </w:r>
          </w:p>
        </w:tc>
        <w:tc>
          <w:tcPr>
            <w:tcW w:w="1276" w:type="dxa"/>
            <w:tcBorders>
              <w:top w:val="nil"/>
              <w:left w:val="nil"/>
              <w:bottom w:val="single" w:color="auto" w:sz="4" w:space="0"/>
              <w:right w:val="single" w:color="auto" w:sz="4" w:space="0"/>
            </w:tcBorders>
            <w:shd w:val="clear" w:color="000000" w:fill="FFFFFF"/>
            <w:vAlign w:val="center"/>
          </w:tcPr>
          <w:p w14:paraId="2A99FAA9">
            <w:pPr>
              <w:widowControl/>
              <w:spacing w:line="240" w:lineRule="exact"/>
              <w:jc w:val="center"/>
              <w:rPr>
                <w:rFonts w:ascii="宋体" w:hAnsi="宋体" w:cs="宋体"/>
                <w:kern w:val="0"/>
                <w:sz w:val="21"/>
                <w:szCs w:val="21"/>
              </w:rPr>
            </w:pPr>
            <w:r>
              <w:rPr>
                <w:rFonts w:hint="eastAsia" w:ascii="宋体" w:hAnsi="宋体" w:cs="宋体"/>
                <w:kern w:val="0"/>
                <w:sz w:val="21"/>
                <w:szCs w:val="21"/>
              </w:rPr>
              <w:t>2023-2026</w:t>
            </w:r>
          </w:p>
        </w:tc>
        <w:tc>
          <w:tcPr>
            <w:tcW w:w="6520" w:type="dxa"/>
            <w:tcBorders>
              <w:top w:val="nil"/>
              <w:left w:val="nil"/>
              <w:bottom w:val="single" w:color="auto" w:sz="4" w:space="0"/>
              <w:right w:val="single" w:color="auto" w:sz="4" w:space="0"/>
            </w:tcBorders>
            <w:shd w:val="clear" w:color="000000" w:fill="FFFFFF"/>
            <w:vAlign w:val="center"/>
          </w:tcPr>
          <w:p w14:paraId="448E7211">
            <w:pPr>
              <w:widowControl/>
              <w:spacing w:line="240" w:lineRule="exact"/>
              <w:rPr>
                <w:rFonts w:ascii="宋体" w:hAnsi="宋体" w:cs="宋体"/>
                <w:kern w:val="0"/>
                <w:sz w:val="21"/>
                <w:szCs w:val="21"/>
              </w:rPr>
            </w:pPr>
            <w:r>
              <w:rPr>
                <w:rFonts w:hint="eastAsia" w:ascii="宋体" w:hAnsi="宋体" w:cs="宋体"/>
                <w:kern w:val="0"/>
                <w:sz w:val="21"/>
                <w:szCs w:val="21"/>
              </w:rPr>
              <w:t>选址桐浦镇，总用地面积约54亩，建设1500立方米燃气储配站。</w:t>
            </w:r>
          </w:p>
        </w:tc>
        <w:tc>
          <w:tcPr>
            <w:tcW w:w="992" w:type="dxa"/>
            <w:tcBorders>
              <w:top w:val="nil"/>
              <w:left w:val="nil"/>
              <w:bottom w:val="single" w:color="auto" w:sz="4" w:space="0"/>
              <w:right w:val="single" w:color="auto" w:sz="4" w:space="0"/>
            </w:tcBorders>
            <w:shd w:val="clear" w:color="000000" w:fill="FFFFFF"/>
            <w:noWrap/>
            <w:vAlign w:val="center"/>
          </w:tcPr>
          <w:p w14:paraId="0137EB53">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2.70 </w:t>
            </w:r>
          </w:p>
        </w:tc>
        <w:tc>
          <w:tcPr>
            <w:tcW w:w="2552" w:type="dxa"/>
            <w:tcBorders>
              <w:top w:val="nil"/>
              <w:left w:val="nil"/>
              <w:bottom w:val="single" w:color="auto" w:sz="4" w:space="0"/>
              <w:right w:val="single" w:color="auto" w:sz="4" w:space="0"/>
            </w:tcBorders>
            <w:shd w:val="clear" w:color="000000" w:fill="FFFFFF"/>
            <w:vAlign w:val="center"/>
          </w:tcPr>
          <w:p w14:paraId="7923E4BD">
            <w:pPr>
              <w:widowControl/>
              <w:spacing w:line="240" w:lineRule="exact"/>
              <w:jc w:val="center"/>
              <w:rPr>
                <w:rFonts w:ascii="宋体" w:hAnsi="宋体" w:cs="宋体"/>
                <w:kern w:val="0"/>
                <w:sz w:val="21"/>
                <w:szCs w:val="21"/>
              </w:rPr>
            </w:pPr>
            <w:r>
              <w:rPr>
                <w:rFonts w:hint="eastAsia" w:ascii="宋体" w:hAnsi="宋体" w:cs="宋体"/>
                <w:kern w:val="0"/>
                <w:sz w:val="21"/>
                <w:szCs w:val="21"/>
              </w:rPr>
              <w:t>桐浦镇政府</w:t>
            </w:r>
          </w:p>
        </w:tc>
      </w:tr>
      <w:tr w14:paraId="4E99768B">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832C50B">
            <w:pPr>
              <w:widowControl/>
              <w:spacing w:line="240" w:lineRule="exact"/>
              <w:jc w:val="center"/>
              <w:rPr>
                <w:rFonts w:ascii="宋体" w:hAnsi="宋体" w:cs="宋体"/>
                <w:kern w:val="0"/>
                <w:sz w:val="21"/>
                <w:szCs w:val="21"/>
              </w:rPr>
            </w:pPr>
            <w:r>
              <w:rPr>
                <w:rFonts w:hint="eastAsia" w:ascii="宋体" w:hAnsi="宋体" w:cs="宋体"/>
                <w:kern w:val="0"/>
                <w:sz w:val="21"/>
                <w:szCs w:val="21"/>
              </w:rPr>
              <w:t>9</w:t>
            </w:r>
          </w:p>
        </w:tc>
        <w:tc>
          <w:tcPr>
            <w:tcW w:w="2269" w:type="dxa"/>
            <w:tcBorders>
              <w:top w:val="nil"/>
              <w:left w:val="nil"/>
              <w:bottom w:val="single" w:color="auto" w:sz="4" w:space="0"/>
              <w:right w:val="single" w:color="auto" w:sz="4" w:space="0"/>
            </w:tcBorders>
            <w:shd w:val="clear" w:color="000000" w:fill="FFFFFF"/>
            <w:vAlign w:val="center"/>
          </w:tcPr>
          <w:p w14:paraId="715D62D3">
            <w:pPr>
              <w:widowControl/>
              <w:spacing w:line="240" w:lineRule="exact"/>
              <w:jc w:val="center"/>
              <w:rPr>
                <w:rFonts w:ascii="宋体" w:hAnsi="宋体" w:cs="宋体"/>
                <w:kern w:val="0"/>
                <w:sz w:val="21"/>
                <w:szCs w:val="21"/>
              </w:rPr>
            </w:pPr>
            <w:r>
              <w:rPr>
                <w:rFonts w:hint="eastAsia" w:ascii="宋体" w:hAnsi="宋体" w:cs="宋体"/>
                <w:kern w:val="0"/>
                <w:sz w:val="21"/>
                <w:szCs w:val="21"/>
              </w:rPr>
              <w:t>陶桐220千伏输变电工程</w:t>
            </w:r>
          </w:p>
        </w:tc>
        <w:tc>
          <w:tcPr>
            <w:tcW w:w="1276" w:type="dxa"/>
            <w:tcBorders>
              <w:top w:val="nil"/>
              <w:left w:val="nil"/>
              <w:bottom w:val="single" w:color="auto" w:sz="4" w:space="0"/>
              <w:right w:val="single" w:color="auto" w:sz="4" w:space="0"/>
            </w:tcBorders>
            <w:shd w:val="clear" w:color="000000" w:fill="FFFFFF"/>
            <w:vAlign w:val="center"/>
          </w:tcPr>
          <w:p w14:paraId="7573DECB">
            <w:pPr>
              <w:widowControl/>
              <w:spacing w:line="240" w:lineRule="exact"/>
              <w:jc w:val="center"/>
              <w:rPr>
                <w:rFonts w:ascii="宋体" w:hAnsi="宋体" w:cs="宋体"/>
                <w:kern w:val="0"/>
                <w:sz w:val="21"/>
                <w:szCs w:val="21"/>
              </w:rPr>
            </w:pPr>
            <w:r>
              <w:rPr>
                <w:rFonts w:hint="eastAsia" w:ascii="宋体" w:hAnsi="宋体" w:cs="宋体"/>
                <w:kern w:val="0"/>
                <w:sz w:val="21"/>
                <w:szCs w:val="21"/>
              </w:rPr>
              <w:t>2023-2026</w:t>
            </w:r>
          </w:p>
        </w:tc>
        <w:tc>
          <w:tcPr>
            <w:tcW w:w="6520" w:type="dxa"/>
            <w:tcBorders>
              <w:top w:val="nil"/>
              <w:left w:val="nil"/>
              <w:bottom w:val="single" w:color="auto" w:sz="4" w:space="0"/>
              <w:right w:val="single" w:color="auto" w:sz="4" w:space="0"/>
            </w:tcBorders>
            <w:shd w:val="clear" w:color="000000" w:fill="FFFFFF"/>
            <w:vAlign w:val="center"/>
          </w:tcPr>
          <w:p w14:paraId="63B31EAE">
            <w:pPr>
              <w:widowControl/>
              <w:spacing w:line="240" w:lineRule="exact"/>
              <w:rPr>
                <w:rFonts w:ascii="宋体" w:hAnsi="宋体" w:cs="宋体"/>
                <w:kern w:val="0"/>
                <w:sz w:val="21"/>
                <w:szCs w:val="21"/>
              </w:rPr>
            </w:pPr>
            <w:r>
              <w:rPr>
                <w:rFonts w:hint="eastAsia" w:ascii="宋体" w:hAnsi="宋体" w:cs="宋体"/>
                <w:kern w:val="0"/>
                <w:sz w:val="21"/>
                <w:szCs w:val="21"/>
              </w:rPr>
              <w:t>为提高全市供电可靠性，满足瑞安市陶山镇、桐浦镇快速增长的用电需求，为保障陶山、桐浦片用电安全。经研究，启动浙江温州陶桐220千伏输变电工程，总用地面积12.18亩。</w:t>
            </w:r>
          </w:p>
        </w:tc>
        <w:tc>
          <w:tcPr>
            <w:tcW w:w="992" w:type="dxa"/>
            <w:tcBorders>
              <w:top w:val="nil"/>
              <w:left w:val="nil"/>
              <w:bottom w:val="single" w:color="auto" w:sz="4" w:space="0"/>
              <w:right w:val="single" w:color="auto" w:sz="4" w:space="0"/>
            </w:tcBorders>
            <w:shd w:val="clear" w:color="000000" w:fill="FFFFFF"/>
            <w:noWrap/>
            <w:vAlign w:val="center"/>
          </w:tcPr>
          <w:p w14:paraId="345550F7">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3.65 </w:t>
            </w:r>
          </w:p>
        </w:tc>
        <w:tc>
          <w:tcPr>
            <w:tcW w:w="2552" w:type="dxa"/>
            <w:tcBorders>
              <w:top w:val="nil"/>
              <w:left w:val="nil"/>
              <w:bottom w:val="single" w:color="auto" w:sz="4" w:space="0"/>
              <w:right w:val="single" w:color="auto" w:sz="4" w:space="0"/>
            </w:tcBorders>
            <w:shd w:val="clear" w:color="000000" w:fill="FFFFFF"/>
            <w:vAlign w:val="center"/>
          </w:tcPr>
          <w:p w14:paraId="5348C0D4">
            <w:pPr>
              <w:widowControl/>
              <w:spacing w:line="240" w:lineRule="exact"/>
              <w:jc w:val="center"/>
              <w:rPr>
                <w:rFonts w:ascii="宋体" w:hAnsi="宋体" w:cs="宋体"/>
                <w:kern w:val="0"/>
                <w:sz w:val="21"/>
                <w:szCs w:val="21"/>
              </w:rPr>
            </w:pPr>
            <w:r>
              <w:rPr>
                <w:rFonts w:hint="eastAsia" w:ascii="宋体" w:hAnsi="宋体" w:cs="宋体"/>
                <w:kern w:val="0"/>
                <w:sz w:val="21"/>
                <w:szCs w:val="21"/>
              </w:rPr>
              <w:t>桐浦镇政府</w:t>
            </w:r>
          </w:p>
        </w:tc>
      </w:tr>
      <w:tr w14:paraId="5419C897">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0A5779AA">
            <w:pPr>
              <w:widowControl/>
              <w:spacing w:line="240" w:lineRule="exact"/>
              <w:jc w:val="center"/>
              <w:rPr>
                <w:rFonts w:ascii="宋体" w:hAnsi="宋体" w:cs="宋体"/>
                <w:kern w:val="0"/>
                <w:sz w:val="21"/>
                <w:szCs w:val="21"/>
              </w:rPr>
            </w:pPr>
            <w:r>
              <w:rPr>
                <w:rFonts w:hint="eastAsia" w:ascii="宋体" w:hAnsi="宋体" w:cs="宋体"/>
                <w:kern w:val="0"/>
                <w:sz w:val="21"/>
                <w:szCs w:val="21"/>
              </w:rPr>
              <w:t>10</w:t>
            </w:r>
          </w:p>
        </w:tc>
        <w:tc>
          <w:tcPr>
            <w:tcW w:w="2269" w:type="dxa"/>
            <w:tcBorders>
              <w:top w:val="nil"/>
              <w:left w:val="nil"/>
              <w:bottom w:val="single" w:color="auto" w:sz="4" w:space="0"/>
              <w:right w:val="single" w:color="auto" w:sz="4" w:space="0"/>
            </w:tcBorders>
            <w:shd w:val="clear" w:color="000000" w:fill="FFFFFF"/>
            <w:vAlign w:val="center"/>
          </w:tcPr>
          <w:p w14:paraId="68AE7365">
            <w:pPr>
              <w:widowControl/>
              <w:spacing w:line="240" w:lineRule="exact"/>
              <w:jc w:val="center"/>
              <w:rPr>
                <w:rFonts w:ascii="宋体" w:hAnsi="宋体" w:cs="宋体"/>
                <w:kern w:val="0"/>
                <w:sz w:val="21"/>
                <w:szCs w:val="21"/>
              </w:rPr>
            </w:pPr>
            <w:r>
              <w:rPr>
                <w:rFonts w:hint="eastAsia" w:ascii="宋体" w:hAnsi="宋体" w:cs="宋体"/>
                <w:kern w:val="0"/>
                <w:sz w:val="21"/>
                <w:szCs w:val="21"/>
              </w:rPr>
              <w:t>规划海罗线丁山三期至228国道段工程</w:t>
            </w:r>
          </w:p>
        </w:tc>
        <w:tc>
          <w:tcPr>
            <w:tcW w:w="1276" w:type="dxa"/>
            <w:tcBorders>
              <w:top w:val="nil"/>
              <w:left w:val="nil"/>
              <w:bottom w:val="single" w:color="auto" w:sz="4" w:space="0"/>
              <w:right w:val="single" w:color="auto" w:sz="4" w:space="0"/>
            </w:tcBorders>
            <w:shd w:val="clear" w:color="000000" w:fill="FFFFFF"/>
            <w:vAlign w:val="center"/>
          </w:tcPr>
          <w:p w14:paraId="73BE3431">
            <w:pPr>
              <w:widowControl/>
              <w:spacing w:line="240" w:lineRule="exact"/>
              <w:jc w:val="center"/>
              <w:rPr>
                <w:rFonts w:ascii="宋体" w:hAnsi="宋体" w:cs="宋体"/>
                <w:kern w:val="0"/>
                <w:sz w:val="21"/>
                <w:szCs w:val="21"/>
              </w:rPr>
            </w:pPr>
            <w:r>
              <w:rPr>
                <w:rFonts w:hint="eastAsia" w:ascii="宋体" w:hAnsi="宋体" w:cs="宋体"/>
                <w:kern w:val="0"/>
                <w:sz w:val="21"/>
                <w:szCs w:val="21"/>
              </w:rPr>
              <w:t>2026-2028</w:t>
            </w:r>
          </w:p>
        </w:tc>
        <w:tc>
          <w:tcPr>
            <w:tcW w:w="6520" w:type="dxa"/>
            <w:tcBorders>
              <w:top w:val="nil"/>
              <w:left w:val="nil"/>
              <w:bottom w:val="single" w:color="auto" w:sz="4" w:space="0"/>
              <w:right w:val="single" w:color="auto" w:sz="4" w:space="0"/>
            </w:tcBorders>
            <w:shd w:val="clear" w:color="000000" w:fill="FFFFFF"/>
            <w:vAlign w:val="center"/>
          </w:tcPr>
          <w:p w14:paraId="56C72EB4">
            <w:pPr>
              <w:widowControl/>
              <w:spacing w:line="240" w:lineRule="exact"/>
              <w:rPr>
                <w:rFonts w:ascii="仿宋_GB2312" w:hAnsi="宋体" w:cs="宋体"/>
                <w:kern w:val="0"/>
                <w:sz w:val="21"/>
                <w:szCs w:val="21"/>
              </w:rPr>
            </w:pPr>
            <w:r>
              <w:rPr>
                <w:rFonts w:hint="eastAsia" w:ascii="宋体" w:hAnsi="宋体" w:cs="宋体"/>
                <w:kern w:val="0"/>
                <w:sz w:val="21"/>
                <w:szCs w:val="21"/>
              </w:rPr>
              <w:t>全长2.021公里，路基宽度32m，设桥梁126m/1座。</w:t>
            </w:r>
          </w:p>
        </w:tc>
        <w:tc>
          <w:tcPr>
            <w:tcW w:w="992" w:type="dxa"/>
            <w:tcBorders>
              <w:top w:val="nil"/>
              <w:left w:val="nil"/>
              <w:bottom w:val="single" w:color="auto" w:sz="4" w:space="0"/>
              <w:right w:val="single" w:color="auto" w:sz="4" w:space="0"/>
            </w:tcBorders>
            <w:shd w:val="clear" w:color="000000" w:fill="FFFFFF"/>
            <w:vAlign w:val="center"/>
          </w:tcPr>
          <w:p w14:paraId="1C9AE845">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4.97 </w:t>
            </w:r>
          </w:p>
        </w:tc>
        <w:tc>
          <w:tcPr>
            <w:tcW w:w="2552" w:type="dxa"/>
            <w:tcBorders>
              <w:top w:val="nil"/>
              <w:left w:val="nil"/>
              <w:bottom w:val="single" w:color="auto" w:sz="4" w:space="0"/>
              <w:right w:val="single" w:color="auto" w:sz="4" w:space="0"/>
            </w:tcBorders>
            <w:shd w:val="clear" w:color="000000" w:fill="FFFFFF"/>
            <w:vAlign w:val="center"/>
          </w:tcPr>
          <w:p w14:paraId="0B5AC7FB">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塘下镇政府、市瓯飞开发建设管理中心</w:t>
            </w:r>
          </w:p>
        </w:tc>
      </w:tr>
      <w:tr w14:paraId="6DEB60FE">
        <w:tblPrEx>
          <w:tblCellMar>
            <w:top w:w="0" w:type="dxa"/>
            <w:left w:w="108" w:type="dxa"/>
            <w:bottom w:w="0" w:type="dxa"/>
            <w:right w:w="108" w:type="dxa"/>
          </w:tblCellMar>
        </w:tblPrEx>
        <w:trPr>
          <w:trHeight w:val="20" w:hRule="atLeast"/>
        </w:trPr>
        <w:tc>
          <w:tcPr>
            <w:tcW w:w="28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9F7EBA">
            <w:pPr>
              <w:widowControl/>
              <w:spacing w:line="240" w:lineRule="exact"/>
              <w:jc w:val="left"/>
              <w:rPr>
                <w:rFonts w:ascii="宋体" w:hAnsi="宋体" w:cs="宋体"/>
                <w:b/>
                <w:bCs/>
                <w:kern w:val="0"/>
                <w:sz w:val="21"/>
                <w:szCs w:val="21"/>
              </w:rPr>
            </w:pPr>
            <w:r>
              <w:rPr>
                <w:rFonts w:hint="eastAsia" w:ascii="宋体" w:hAnsi="宋体" w:cs="宋体"/>
                <w:b/>
                <w:bCs/>
                <w:kern w:val="0"/>
                <w:sz w:val="21"/>
                <w:szCs w:val="21"/>
              </w:rPr>
              <w:t>2、农林水利项目（6个）</w:t>
            </w:r>
          </w:p>
        </w:tc>
        <w:tc>
          <w:tcPr>
            <w:tcW w:w="1276" w:type="dxa"/>
            <w:tcBorders>
              <w:top w:val="nil"/>
              <w:left w:val="nil"/>
              <w:bottom w:val="single" w:color="auto" w:sz="4" w:space="0"/>
              <w:right w:val="single" w:color="auto" w:sz="4" w:space="0"/>
            </w:tcBorders>
            <w:shd w:val="clear" w:color="auto" w:fill="auto"/>
            <w:vAlign w:val="center"/>
          </w:tcPr>
          <w:p w14:paraId="49F80CDC">
            <w:pPr>
              <w:widowControl/>
              <w:spacing w:line="240" w:lineRule="exact"/>
              <w:jc w:val="center"/>
              <w:rPr>
                <w:rFonts w:ascii="宋体" w:hAnsi="宋体" w:cs="宋体"/>
                <w:b/>
                <w:bCs/>
                <w:color w:val="000000"/>
                <w:kern w:val="0"/>
                <w:sz w:val="21"/>
                <w:szCs w:val="21"/>
              </w:rPr>
            </w:pPr>
          </w:p>
        </w:tc>
        <w:tc>
          <w:tcPr>
            <w:tcW w:w="6520" w:type="dxa"/>
            <w:tcBorders>
              <w:top w:val="nil"/>
              <w:left w:val="nil"/>
              <w:bottom w:val="single" w:color="auto" w:sz="4" w:space="0"/>
              <w:right w:val="single" w:color="auto" w:sz="4" w:space="0"/>
            </w:tcBorders>
            <w:shd w:val="clear" w:color="auto" w:fill="auto"/>
            <w:vAlign w:val="center"/>
          </w:tcPr>
          <w:p w14:paraId="5C9389CF">
            <w:pPr>
              <w:widowControl/>
              <w:spacing w:line="240" w:lineRule="exact"/>
              <w:rPr>
                <w:rFonts w:ascii="宋体" w:hAnsi="宋体" w:cs="宋体"/>
                <w:b/>
                <w:bCs/>
                <w:color w:val="000000"/>
                <w:kern w:val="0"/>
                <w:sz w:val="21"/>
                <w:szCs w:val="21"/>
              </w:rPr>
            </w:pPr>
            <w:r>
              <w:rPr>
                <w:rFonts w:hint="eastAsia" w:ascii="宋体" w:hAnsi="宋体" w:cs="宋体"/>
                <w:b/>
                <w:bCs/>
                <w:color w:val="000000"/>
                <w:kern w:val="0"/>
                <w:sz w:val="21"/>
                <w:szCs w:val="21"/>
              </w:rPr>
              <w:t>　</w:t>
            </w:r>
          </w:p>
        </w:tc>
        <w:tc>
          <w:tcPr>
            <w:tcW w:w="992" w:type="dxa"/>
            <w:tcBorders>
              <w:top w:val="nil"/>
              <w:left w:val="nil"/>
              <w:bottom w:val="single" w:color="auto" w:sz="4" w:space="0"/>
              <w:right w:val="single" w:color="auto" w:sz="4" w:space="0"/>
            </w:tcBorders>
            <w:shd w:val="clear" w:color="auto" w:fill="auto"/>
            <w:vAlign w:val="center"/>
          </w:tcPr>
          <w:p w14:paraId="2B3961D5">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 xml:space="preserve">63.30 </w:t>
            </w:r>
          </w:p>
        </w:tc>
        <w:tc>
          <w:tcPr>
            <w:tcW w:w="2552" w:type="dxa"/>
            <w:tcBorders>
              <w:top w:val="nil"/>
              <w:left w:val="nil"/>
              <w:bottom w:val="single" w:color="auto" w:sz="4" w:space="0"/>
              <w:right w:val="single" w:color="auto" w:sz="4" w:space="0"/>
            </w:tcBorders>
            <w:shd w:val="clear" w:color="auto" w:fill="auto"/>
            <w:vAlign w:val="center"/>
          </w:tcPr>
          <w:p w14:paraId="3C32CCBA">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　</w:t>
            </w:r>
          </w:p>
        </w:tc>
      </w:tr>
      <w:tr w14:paraId="5B88DB49">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E4F15CB">
            <w:pPr>
              <w:widowControl/>
              <w:spacing w:line="240" w:lineRule="exact"/>
              <w:jc w:val="center"/>
              <w:rPr>
                <w:rFonts w:ascii="宋体" w:hAnsi="宋体" w:cs="宋体"/>
                <w:kern w:val="0"/>
                <w:sz w:val="21"/>
                <w:szCs w:val="21"/>
              </w:rPr>
            </w:pPr>
            <w:r>
              <w:rPr>
                <w:rFonts w:hint="eastAsia" w:ascii="宋体" w:hAnsi="宋体" w:cs="宋体"/>
                <w:kern w:val="0"/>
                <w:sz w:val="21"/>
                <w:szCs w:val="21"/>
              </w:rPr>
              <w:t>11</w:t>
            </w:r>
          </w:p>
        </w:tc>
        <w:tc>
          <w:tcPr>
            <w:tcW w:w="2269" w:type="dxa"/>
            <w:tcBorders>
              <w:top w:val="nil"/>
              <w:left w:val="nil"/>
              <w:bottom w:val="single" w:color="auto" w:sz="4" w:space="0"/>
              <w:right w:val="single" w:color="auto" w:sz="4" w:space="0"/>
            </w:tcBorders>
            <w:shd w:val="clear" w:color="000000" w:fill="FFFFFF"/>
            <w:noWrap/>
            <w:vAlign w:val="center"/>
          </w:tcPr>
          <w:p w14:paraId="41951541">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曹村全域未来乡村项目</w:t>
            </w:r>
          </w:p>
        </w:tc>
        <w:tc>
          <w:tcPr>
            <w:tcW w:w="1276" w:type="dxa"/>
            <w:tcBorders>
              <w:top w:val="nil"/>
              <w:left w:val="nil"/>
              <w:bottom w:val="single" w:color="auto" w:sz="4" w:space="0"/>
              <w:right w:val="single" w:color="auto" w:sz="4" w:space="0"/>
            </w:tcBorders>
            <w:shd w:val="clear" w:color="auto" w:fill="auto"/>
            <w:noWrap/>
            <w:vAlign w:val="center"/>
          </w:tcPr>
          <w:p w14:paraId="45938D92">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2024-2028</w:t>
            </w:r>
          </w:p>
        </w:tc>
        <w:tc>
          <w:tcPr>
            <w:tcW w:w="6520" w:type="dxa"/>
            <w:tcBorders>
              <w:top w:val="nil"/>
              <w:left w:val="nil"/>
              <w:bottom w:val="single" w:color="auto" w:sz="4" w:space="0"/>
              <w:right w:val="single" w:color="auto" w:sz="4" w:space="0"/>
            </w:tcBorders>
            <w:shd w:val="clear" w:color="000000" w:fill="FFFFFF"/>
            <w:vAlign w:val="center"/>
          </w:tcPr>
          <w:p w14:paraId="44278C5E">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包括：1.曹村镇公园路-新东路公路工程，新建规划从曹北垃圾中转站到西前村的曹道路新东路及公园路道路；2.曹村农智谷项目，选址西至曹村工业区，东至曹东溪尾宫，北至曹西机耕路，南至曹东解困房；3.“最忆梅龙溪”梅龙溪综合开发项目一期，选址许岙村梅龙溪风景区，面积12.43平方公里，；4.中华进士文化产业园核心区提升项目及周边配套工程，选址西至曹南村登山步道，东至四村联网公路，北至曹豳公园，南至进士纪念馆；5.曹村镇安置点，选址曹北解困房边空地，原西前娇洋农业观光园。涉及西前村、上都村、南岙村、南堡村、碗窑村、曹南村、曹北村、曹西村村民的住房安置；6.曹村镇集镇片地块改造工程，拟选址集镇片建设居住小区；7.曹村镇康养建设工程，拟选址孔家岭地块650亩；8.曹村镇生态社区，选址西至曹圣线，东至新西路，北至叔远路，南至曹豳公园；9.曹村加油站：选址北至集散中心，南至曹北粮站，西至钱马线，东至垃圾主题公园。</w:t>
            </w:r>
          </w:p>
        </w:tc>
        <w:tc>
          <w:tcPr>
            <w:tcW w:w="992" w:type="dxa"/>
            <w:tcBorders>
              <w:top w:val="nil"/>
              <w:left w:val="nil"/>
              <w:bottom w:val="single" w:color="auto" w:sz="4" w:space="0"/>
              <w:right w:val="single" w:color="auto" w:sz="4" w:space="0"/>
            </w:tcBorders>
            <w:shd w:val="clear" w:color="000000" w:fill="FFFFFF"/>
            <w:noWrap/>
            <w:vAlign w:val="center"/>
          </w:tcPr>
          <w:p w14:paraId="477D39C6">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32.80 </w:t>
            </w:r>
          </w:p>
        </w:tc>
        <w:tc>
          <w:tcPr>
            <w:tcW w:w="2552" w:type="dxa"/>
            <w:tcBorders>
              <w:top w:val="nil"/>
              <w:left w:val="nil"/>
              <w:bottom w:val="single" w:color="auto" w:sz="4" w:space="0"/>
              <w:right w:val="single" w:color="auto" w:sz="4" w:space="0"/>
            </w:tcBorders>
            <w:shd w:val="clear" w:color="000000" w:fill="FFFFFF"/>
            <w:vAlign w:val="center"/>
          </w:tcPr>
          <w:p w14:paraId="3438FD84">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曹村镇政府</w:t>
            </w:r>
          </w:p>
        </w:tc>
      </w:tr>
      <w:tr w14:paraId="2E6EA712">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70E8C4A">
            <w:pPr>
              <w:widowControl/>
              <w:spacing w:line="240" w:lineRule="exact"/>
              <w:jc w:val="center"/>
              <w:rPr>
                <w:rFonts w:ascii="宋体" w:hAnsi="宋体" w:cs="宋体"/>
                <w:kern w:val="0"/>
                <w:sz w:val="21"/>
                <w:szCs w:val="21"/>
              </w:rPr>
            </w:pPr>
            <w:r>
              <w:rPr>
                <w:rFonts w:hint="eastAsia" w:ascii="宋体" w:hAnsi="宋体" w:cs="宋体"/>
                <w:kern w:val="0"/>
                <w:sz w:val="21"/>
                <w:szCs w:val="21"/>
              </w:rPr>
              <w:t>12</w:t>
            </w:r>
          </w:p>
        </w:tc>
        <w:tc>
          <w:tcPr>
            <w:tcW w:w="2269" w:type="dxa"/>
            <w:tcBorders>
              <w:top w:val="nil"/>
              <w:left w:val="nil"/>
              <w:bottom w:val="single" w:color="auto" w:sz="4" w:space="0"/>
              <w:right w:val="single" w:color="auto" w:sz="4" w:space="0"/>
            </w:tcBorders>
            <w:shd w:val="clear" w:color="000000" w:fill="FFFFFF"/>
            <w:vAlign w:val="center"/>
          </w:tcPr>
          <w:p w14:paraId="6EAF976C">
            <w:pPr>
              <w:widowControl/>
              <w:spacing w:line="240" w:lineRule="exact"/>
              <w:jc w:val="center"/>
              <w:rPr>
                <w:rFonts w:ascii="宋体" w:hAnsi="宋体" w:cs="宋体"/>
                <w:kern w:val="0"/>
                <w:sz w:val="21"/>
                <w:szCs w:val="21"/>
              </w:rPr>
            </w:pPr>
            <w:r>
              <w:rPr>
                <w:rFonts w:hint="eastAsia" w:ascii="宋体" w:hAnsi="宋体" w:cs="宋体"/>
                <w:kern w:val="0"/>
                <w:sz w:val="21"/>
                <w:szCs w:val="21"/>
              </w:rPr>
              <w:t>金潮港分洪隧洞工程</w:t>
            </w:r>
          </w:p>
        </w:tc>
        <w:tc>
          <w:tcPr>
            <w:tcW w:w="1276" w:type="dxa"/>
            <w:tcBorders>
              <w:top w:val="nil"/>
              <w:left w:val="nil"/>
              <w:bottom w:val="single" w:color="auto" w:sz="4" w:space="0"/>
              <w:right w:val="single" w:color="auto" w:sz="4" w:space="0"/>
            </w:tcBorders>
            <w:shd w:val="clear" w:color="000000" w:fill="FFFFFF"/>
            <w:vAlign w:val="center"/>
          </w:tcPr>
          <w:p w14:paraId="1041B9F8">
            <w:pPr>
              <w:widowControl/>
              <w:spacing w:line="240" w:lineRule="exact"/>
              <w:jc w:val="center"/>
              <w:rPr>
                <w:rFonts w:ascii="Times New Roman" w:hAnsi="Times New Roman"/>
                <w:kern w:val="0"/>
                <w:sz w:val="21"/>
                <w:szCs w:val="21"/>
              </w:rPr>
            </w:pPr>
            <w:r>
              <w:rPr>
                <w:rFonts w:ascii="Times New Roman" w:hAnsi="Times New Roman"/>
                <w:kern w:val="0"/>
                <w:sz w:val="21"/>
                <w:szCs w:val="21"/>
              </w:rPr>
              <w:t>2026-2029</w:t>
            </w:r>
          </w:p>
        </w:tc>
        <w:tc>
          <w:tcPr>
            <w:tcW w:w="6520" w:type="dxa"/>
            <w:tcBorders>
              <w:top w:val="nil"/>
              <w:left w:val="nil"/>
              <w:bottom w:val="single" w:color="auto" w:sz="4" w:space="0"/>
              <w:right w:val="single" w:color="auto" w:sz="4" w:space="0"/>
            </w:tcBorders>
            <w:shd w:val="clear" w:color="000000" w:fill="FFFFFF"/>
            <w:vAlign w:val="center"/>
          </w:tcPr>
          <w:p w14:paraId="10B6B770">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拟新建分洪隧洞工程2条，洞径10×15米，长约为7.6公里/条，总分洪流量约680方/秒。</w:t>
            </w:r>
          </w:p>
        </w:tc>
        <w:tc>
          <w:tcPr>
            <w:tcW w:w="992" w:type="dxa"/>
            <w:tcBorders>
              <w:top w:val="nil"/>
              <w:left w:val="nil"/>
              <w:bottom w:val="single" w:color="auto" w:sz="4" w:space="0"/>
              <w:right w:val="single" w:color="auto" w:sz="4" w:space="0"/>
            </w:tcBorders>
            <w:shd w:val="clear" w:color="000000" w:fill="FFFFFF"/>
            <w:vAlign w:val="center"/>
          </w:tcPr>
          <w:p w14:paraId="792ED329">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13.00 </w:t>
            </w:r>
          </w:p>
        </w:tc>
        <w:tc>
          <w:tcPr>
            <w:tcW w:w="2552" w:type="dxa"/>
            <w:tcBorders>
              <w:top w:val="nil"/>
              <w:left w:val="nil"/>
              <w:bottom w:val="single" w:color="auto" w:sz="4" w:space="0"/>
              <w:right w:val="single" w:color="auto" w:sz="4" w:space="0"/>
            </w:tcBorders>
            <w:shd w:val="clear" w:color="000000" w:fill="FFFFFF"/>
            <w:vAlign w:val="center"/>
          </w:tcPr>
          <w:p w14:paraId="69993946">
            <w:pPr>
              <w:widowControl/>
              <w:spacing w:line="240" w:lineRule="exact"/>
              <w:jc w:val="center"/>
              <w:rPr>
                <w:rFonts w:ascii="仿宋_GB2312" w:hAnsi="宋体" w:cs="宋体"/>
                <w:kern w:val="0"/>
                <w:sz w:val="21"/>
                <w:szCs w:val="21"/>
              </w:rPr>
            </w:pPr>
            <w:r>
              <w:rPr>
                <w:rFonts w:hint="eastAsia" w:ascii="仿宋_GB2312" w:hAnsi="宋体" w:cs="宋体"/>
                <w:kern w:val="0"/>
                <w:sz w:val="21"/>
                <w:szCs w:val="21"/>
              </w:rPr>
              <w:t>市水利局</w:t>
            </w:r>
          </w:p>
        </w:tc>
      </w:tr>
      <w:tr w14:paraId="7EEF41FA">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B9A6F17">
            <w:pPr>
              <w:widowControl/>
              <w:spacing w:line="240" w:lineRule="exact"/>
              <w:jc w:val="center"/>
              <w:rPr>
                <w:rFonts w:ascii="宋体" w:hAnsi="宋体" w:cs="宋体"/>
                <w:kern w:val="0"/>
                <w:sz w:val="21"/>
                <w:szCs w:val="21"/>
              </w:rPr>
            </w:pPr>
            <w:r>
              <w:rPr>
                <w:rFonts w:hint="eastAsia" w:ascii="宋体" w:hAnsi="宋体" w:cs="宋体"/>
                <w:kern w:val="0"/>
                <w:sz w:val="21"/>
                <w:szCs w:val="21"/>
              </w:rPr>
              <w:t>13</w:t>
            </w:r>
          </w:p>
        </w:tc>
        <w:tc>
          <w:tcPr>
            <w:tcW w:w="2269" w:type="dxa"/>
            <w:tcBorders>
              <w:top w:val="nil"/>
              <w:left w:val="nil"/>
              <w:bottom w:val="single" w:color="auto" w:sz="4" w:space="0"/>
              <w:right w:val="single" w:color="auto" w:sz="4" w:space="0"/>
            </w:tcBorders>
            <w:shd w:val="clear" w:color="000000" w:fill="FFFFFF"/>
            <w:vAlign w:val="center"/>
          </w:tcPr>
          <w:p w14:paraId="029F0DD5">
            <w:pPr>
              <w:widowControl/>
              <w:spacing w:line="240" w:lineRule="exact"/>
              <w:jc w:val="center"/>
              <w:rPr>
                <w:rFonts w:ascii="宋体" w:hAnsi="宋体" w:cs="宋体"/>
                <w:kern w:val="0"/>
                <w:sz w:val="21"/>
                <w:szCs w:val="21"/>
              </w:rPr>
            </w:pPr>
            <w:r>
              <w:rPr>
                <w:rFonts w:hint="eastAsia" w:ascii="宋体" w:hAnsi="宋体" w:cs="宋体"/>
                <w:kern w:val="0"/>
                <w:sz w:val="21"/>
                <w:szCs w:val="21"/>
              </w:rPr>
              <w:t>陶山平原防洪排涝工程</w:t>
            </w:r>
          </w:p>
        </w:tc>
        <w:tc>
          <w:tcPr>
            <w:tcW w:w="1276" w:type="dxa"/>
            <w:tcBorders>
              <w:top w:val="nil"/>
              <w:left w:val="nil"/>
              <w:bottom w:val="single" w:color="auto" w:sz="4" w:space="0"/>
              <w:right w:val="single" w:color="auto" w:sz="4" w:space="0"/>
            </w:tcBorders>
            <w:shd w:val="clear" w:color="000000" w:fill="FFFFFF"/>
            <w:vAlign w:val="center"/>
          </w:tcPr>
          <w:p w14:paraId="1F6BB601">
            <w:pPr>
              <w:widowControl/>
              <w:spacing w:line="240" w:lineRule="exact"/>
              <w:jc w:val="center"/>
              <w:rPr>
                <w:rFonts w:ascii="Times New Roman" w:hAnsi="Times New Roman"/>
                <w:kern w:val="0"/>
                <w:sz w:val="21"/>
                <w:szCs w:val="21"/>
              </w:rPr>
            </w:pPr>
            <w:r>
              <w:rPr>
                <w:rFonts w:ascii="Times New Roman" w:hAnsi="Times New Roman"/>
                <w:kern w:val="0"/>
                <w:sz w:val="21"/>
                <w:szCs w:val="21"/>
              </w:rPr>
              <w:t>2026-2030</w:t>
            </w:r>
          </w:p>
        </w:tc>
        <w:tc>
          <w:tcPr>
            <w:tcW w:w="6520" w:type="dxa"/>
            <w:tcBorders>
              <w:top w:val="nil"/>
              <w:left w:val="nil"/>
              <w:bottom w:val="single" w:color="auto" w:sz="4" w:space="0"/>
              <w:right w:val="single" w:color="auto" w:sz="4" w:space="0"/>
            </w:tcBorders>
            <w:shd w:val="clear" w:color="000000" w:fill="FFFFFF"/>
            <w:vAlign w:val="center"/>
          </w:tcPr>
          <w:p w14:paraId="7A520C85">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河道治理27.3公里，修建护岸49.5公里。</w:t>
            </w:r>
          </w:p>
        </w:tc>
        <w:tc>
          <w:tcPr>
            <w:tcW w:w="992" w:type="dxa"/>
            <w:tcBorders>
              <w:top w:val="nil"/>
              <w:left w:val="nil"/>
              <w:bottom w:val="single" w:color="auto" w:sz="4" w:space="0"/>
              <w:right w:val="single" w:color="auto" w:sz="4" w:space="0"/>
            </w:tcBorders>
            <w:shd w:val="clear" w:color="000000" w:fill="FFFFFF"/>
            <w:vAlign w:val="center"/>
          </w:tcPr>
          <w:p w14:paraId="23BE7B03">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10.00 </w:t>
            </w:r>
          </w:p>
        </w:tc>
        <w:tc>
          <w:tcPr>
            <w:tcW w:w="2552" w:type="dxa"/>
            <w:tcBorders>
              <w:top w:val="nil"/>
              <w:left w:val="nil"/>
              <w:bottom w:val="single" w:color="auto" w:sz="4" w:space="0"/>
              <w:right w:val="single" w:color="auto" w:sz="4" w:space="0"/>
            </w:tcBorders>
            <w:shd w:val="clear" w:color="000000" w:fill="FFFFFF"/>
            <w:vAlign w:val="center"/>
          </w:tcPr>
          <w:p w14:paraId="3FA69B80">
            <w:pPr>
              <w:widowControl/>
              <w:spacing w:line="240" w:lineRule="exact"/>
              <w:jc w:val="center"/>
              <w:rPr>
                <w:rFonts w:ascii="仿宋_GB2312" w:hAnsi="宋体" w:cs="宋体"/>
                <w:kern w:val="0"/>
                <w:sz w:val="21"/>
                <w:szCs w:val="21"/>
              </w:rPr>
            </w:pPr>
            <w:r>
              <w:rPr>
                <w:rFonts w:hint="eastAsia" w:ascii="仿宋_GB2312" w:hAnsi="宋体" w:cs="宋体"/>
                <w:kern w:val="0"/>
                <w:sz w:val="21"/>
                <w:szCs w:val="21"/>
              </w:rPr>
              <w:t>市水利局</w:t>
            </w:r>
          </w:p>
        </w:tc>
      </w:tr>
      <w:tr w14:paraId="6683A42E">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2F6A435">
            <w:pPr>
              <w:widowControl/>
              <w:spacing w:line="240" w:lineRule="exact"/>
              <w:jc w:val="center"/>
              <w:rPr>
                <w:rFonts w:ascii="宋体" w:hAnsi="宋体" w:cs="宋体"/>
                <w:kern w:val="0"/>
                <w:sz w:val="21"/>
                <w:szCs w:val="21"/>
              </w:rPr>
            </w:pPr>
            <w:r>
              <w:rPr>
                <w:rFonts w:hint="eastAsia" w:ascii="宋体" w:hAnsi="宋体" w:cs="宋体"/>
                <w:kern w:val="0"/>
                <w:sz w:val="21"/>
                <w:szCs w:val="21"/>
              </w:rPr>
              <w:t>14</w:t>
            </w:r>
          </w:p>
        </w:tc>
        <w:tc>
          <w:tcPr>
            <w:tcW w:w="2269" w:type="dxa"/>
            <w:tcBorders>
              <w:top w:val="nil"/>
              <w:left w:val="nil"/>
              <w:bottom w:val="single" w:color="auto" w:sz="4" w:space="0"/>
              <w:right w:val="single" w:color="auto" w:sz="4" w:space="0"/>
            </w:tcBorders>
            <w:shd w:val="clear" w:color="000000" w:fill="FFFFFF"/>
            <w:vAlign w:val="center"/>
          </w:tcPr>
          <w:p w14:paraId="11CC3E7B">
            <w:pPr>
              <w:widowControl/>
              <w:spacing w:line="240" w:lineRule="exact"/>
              <w:jc w:val="center"/>
              <w:rPr>
                <w:rFonts w:ascii="宋体" w:hAnsi="宋体" w:cs="宋体"/>
                <w:kern w:val="0"/>
                <w:sz w:val="21"/>
                <w:szCs w:val="21"/>
              </w:rPr>
            </w:pPr>
            <w:r>
              <w:rPr>
                <w:rFonts w:hint="eastAsia" w:ascii="宋体" w:hAnsi="宋体" w:cs="宋体"/>
                <w:kern w:val="0"/>
                <w:sz w:val="21"/>
                <w:szCs w:val="21"/>
              </w:rPr>
              <w:t>瓯江引水延伸工程</w:t>
            </w:r>
          </w:p>
        </w:tc>
        <w:tc>
          <w:tcPr>
            <w:tcW w:w="1276" w:type="dxa"/>
            <w:tcBorders>
              <w:top w:val="nil"/>
              <w:left w:val="nil"/>
              <w:bottom w:val="single" w:color="auto" w:sz="4" w:space="0"/>
              <w:right w:val="single" w:color="auto" w:sz="4" w:space="0"/>
            </w:tcBorders>
            <w:shd w:val="clear" w:color="000000" w:fill="FFFFFF"/>
            <w:vAlign w:val="center"/>
          </w:tcPr>
          <w:p w14:paraId="4AA2ED0C">
            <w:pPr>
              <w:widowControl/>
              <w:spacing w:line="240" w:lineRule="exact"/>
              <w:jc w:val="center"/>
              <w:rPr>
                <w:rFonts w:ascii="Times New Roman" w:hAnsi="Times New Roman"/>
                <w:kern w:val="0"/>
                <w:sz w:val="21"/>
                <w:szCs w:val="21"/>
              </w:rPr>
            </w:pPr>
            <w:r>
              <w:rPr>
                <w:rFonts w:ascii="Times New Roman" w:hAnsi="Times New Roman"/>
                <w:kern w:val="0"/>
                <w:sz w:val="21"/>
                <w:szCs w:val="21"/>
              </w:rPr>
              <w:t>2026-2029</w:t>
            </w:r>
          </w:p>
        </w:tc>
        <w:tc>
          <w:tcPr>
            <w:tcW w:w="6520" w:type="dxa"/>
            <w:tcBorders>
              <w:top w:val="nil"/>
              <w:left w:val="nil"/>
              <w:bottom w:val="single" w:color="auto" w:sz="4" w:space="0"/>
              <w:right w:val="single" w:color="auto" w:sz="4" w:space="0"/>
            </w:tcBorders>
            <w:shd w:val="clear" w:color="000000" w:fill="FFFFFF"/>
            <w:vAlign w:val="center"/>
          </w:tcPr>
          <w:p w14:paraId="3A4F3C30">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 xml:space="preserve"> 该配水工程拟起始于瓯江引水工程瓯海陈岙加压泵站，终点于瑞安市赵山渡瑞北分渠塘下镇凤山原水提升泵站，路线长约11km，设计引水流量4m3/S。</w:t>
            </w:r>
          </w:p>
        </w:tc>
        <w:tc>
          <w:tcPr>
            <w:tcW w:w="992" w:type="dxa"/>
            <w:tcBorders>
              <w:top w:val="nil"/>
              <w:left w:val="nil"/>
              <w:bottom w:val="single" w:color="auto" w:sz="4" w:space="0"/>
              <w:right w:val="single" w:color="auto" w:sz="4" w:space="0"/>
            </w:tcBorders>
            <w:shd w:val="clear" w:color="000000" w:fill="FFFFFF"/>
            <w:vAlign w:val="center"/>
          </w:tcPr>
          <w:p w14:paraId="15D210C8">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4.00 </w:t>
            </w:r>
          </w:p>
        </w:tc>
        <w:tc>
          <w:tcPr>
            <w:tcW w:w="2552" w:type="dxa"/>
            <w:tcBorders>
              <w:top w:val="nil"/>
              <w:left w:val="nil"/>
              <w:bottom w:val="single" w:color="auto" w:sz="4" w:space="0"/>
              <w:right w:val="single" w:color="auto" w:sz="4" w:space="0"/>
            </w:tcBorders>
            <w:shd w:val="clear" w:color="000000" w:fill="FFFFFF"/>
            <w:vAlign w:val="center"/>
          </w:tcPr>
          <w:p w14:paraId="2DA4A4C8">
            <w:pPr>
              <w:widowControl/>
              <w:spacing w:line="240" w:lineRule="exact"/>
              <w:jc w:val="center"/>
              <w:rPr>
                <w:rFonts w:ascii="仿宋_GB2312" w:hAnsi="宋体" w:cs="宋体"/>
                <w:kern w:val="0"/>
                <w:sz w:val="21"/>
                <w:szCs w:val="21"/>
              </w:rPr>
            </w:pPr>
            <w:r>
              <w:rPr>
                <w:rFonts w:hint="eastAsia" w:ascii="仿宋_GB2312" w:hAnsi="宋体" w:cs="宋体"/>
                <w:kern w:val="0"/>
                <w:sz w:val="21"/>
                <w:szCs w:val="21"/>
              </w:rPr>
              <w:t>市水利局</w:t>
            </w:r>
          </w:p>
        </w:tc>
      </w:tr>
      <w:tr w14:paraId="17B46FF1">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103E820">
            <w:pPr>
              <w:widowControl/>
              <w:spacing w:line="240" w:lineRule="exact"/>
              <w:jc w:val="center"/>
              <w:rPr>
                <w:rFonts w:ascii="宋体" w:hAnsi="宋体" w:cs="宋体"/>
                <w:kern w:val="0"/>
                <w:sz w:val="21"/>
                <w:szCs w:val="21"/>
              </w:rPr>
            </w:pPr>
            <w:r>
              <w:rPr>
                <w:rFonts w:hint="eastAsia" w:ascii="宋体" w:hAnsi="宋体" w:cs="宋体"/>
                <w:kern w:val="0"/>
                <w:sz w:val="21"/>
                <w:szCs w:val="21"/>
              </w:rPr>
              <w:t>15</w:t>
            </w:r>
          </w:p>
        </w:tc>
        <w:tc>
          <w:tcPr>
            <w:tcW w:w="2269" w:type="dxa"/>
            <w:tcBorders>
              <w:top w:val="nil"/>
              <w:left w:val="nil"/>
              <w:bottom w:val="single" w:color="auto" w:sz="4" w:space="0"/>
              <w:right w:val="single" w:color="auto" w:sz="4" w:space="0"/>
            </w:tcBorders>
            <w:shd w:val="clear" w:color="000000" w:fill="FFFFFF"/>
            <w:vAlign w:val="center"/>
          </w:tcPr>
          <w:p w14:paraId="2990023A">
            <w:pPr>
              <w:widowControl/>
              <w:spacing w:line="240" w:lineRule="exact"/>
              <w:jc w:val="center"/>
              <w:rPr>
                <w:rFonts w:ascii="宋体" w:hAnsi="宋体" w:cs="宋体"/>
                <w:kern w:val="0"/>
                <w:sz w:val="21"/>
                <w:szCs w:val="21"/>
              </w:rPr>
            </w:pPr>
            <w:r>
              <w:rPr>
                <w:rFonts w:hint="eastAsia" w:ascii="宋体" w:hAnsi="宋体" w:cs="宋体"/>
                <w:kern w:val="0"/>
                <w:sz w:val="21"/>
                <w:szCs w:val="21"/>
              </w:rPr>
              <w:t>林宅—潘山渠道引水工程</w:t>
            </w:r>
          </w:p>
        </w:tc>
        <w:tc>
          <w:tcPr>
            <w:tcW w:w="1276" w:type="dxa"/>
            <w:tcBorders>
              <w:top w:val="nil"/>
              <w:left w:val="nil"/>
              <w:bottom w:val="single" w:color="auto" w:sz="4" w:space="0"/>
              <w:right w:val="single" w:color="auto" w:sz="4" w:space="0"/>
            </w:tcBorders>
            <w:shd w:val="clear" w:color="000000" w:fill="FFFFFF"/>
            <w:vAlign w:val="center"/>
          </w:tcPr>
          <w:p w14:paraId="213F9519">
            <w:pPr>
              <w:widowControl/>
              <w:spacing w:line="240" w:lineRule="exact"/>
              <w:jc w:val="center"/>
              <w:rPr>
                <w:rFonts w:ascii="Times New Roman" w:hAnsi="Times New Roman"/>
                <w:kern w:val="0"/>
                <w:sz w:val="21"/>
                <w:szCs w:val="21"/>
              </w:rPr>
            </w:pPr>
            <w:r>
              <w:rPr>
                <w:rFonts w:ascii="Times New Roman" w:hAnsi="Times New Roman"/>
                <w:kern w:val="0"/>
                <w:sz w:val="21"/>
                <w:szCs w:val="21"/>
              </w:rPr>
              <w:t>2026-2028</w:t>
            </w:r>
          </w:p>
        </w:tc>
        <w:tc>
          <w:tcPr>
            <w:tcW w:w="6520" w:type="dxa"/>
            <w:tcBorders>
              <w:top w:val="nil"/>
              <w:left w:val="nil"/>
              <w:bottom w:val="single" w:color="auto" w:sz="4" w:space="0"/>
              <w:right w:val="single" w:color="auto" w:sz="4" w:space="0"/>
            </w:tcBorders>
            <w:shd w:val="clear" w:color="000000" w:fill="FFFFFF"/>
            <w:vAlign w:val="center"/>
          </w:tcPr>
          <w:p w14:paraId="6880DEF1">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该引水工程拟从赵山渡引水渠道林宅分水口开始引水至潘山翻水站，跨越飞云江，线路总长度4.53km，设计引水流量1.5m3/S。</w:t>
            </w:r>
          </w:p>
        </w:tc>
        <w:tc>
          <w:tcPr>
            <w:tcW w:w="992" w:type="dxa"/>
            <w:tcBorders>
              <w:top w:val="nil"/>
              <w:left w:val="nil"/>
              <w:bottom w:val="single" w:color="auto" w:sz="4" w:space="0"/>
              <w:right w:val="single" w:color="auto" w:sz="4" w:space="0"/>
            </w:tcBorders>
            <w:shd w:val="clear" w:color="000000" w:fill="FFFFFF"/>
            <w:vAlign w:val="center"/>
          </w:tcPr>
          <w:p w14:paraId="2E795B13">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2.00 </w:t>
            </w:r>
          </w:p>
        </w:tc>
        <w:tc>
          <w:tcPr>
            <w:tcW w:w="2552" w:type="dxa"/>
            <w:tcBorders>
              <w:top w:val="nil"/>
              <w:left w:val="nil"/>
              <w:bottom w:val="single" w:color="auto" w:sz="4" w:space="0"/>
              <w:right w:val="single" w:color="auto" w:sz="4" w:space="0"/>
            </w:tcBorders>
            <w:shd w:val="clear" w:color="000000" w:fill="FFFFFF"/>
            <w:vAlign w:val="center"/>
          </w:tcPr>
          <w:p w14:paraId="1F713F2B">
            <w:pPr>
              <w:widowControl/>
              <w:spacing w:line="240" w:lineRule="exact"/>
              <w:jc w:val="center"/>
              <w:rPr>
                <w:rFonts w:ascii="仿宋_GB2312" w:hAnsi="宋体" w:cs="宋体"/>
                <w:kern w:val="0"/>
                <w:sz w:val="21"/>
                <w:szCs w:val="21"/>
              </w:rPr>
            </w:pPr>
            <w:r>
              <w:rPr>
                <w:rFonts w:hint="eastAsia" w:ascii="仿宋_GB2312" w:hAnsi="宋体" w:cs="宋体"/>
                <w:kern w:val="0"/>
                <w:sz w:val="21"/>
                <w:szCs w:val="21"/>
              </w:rPr>
              <w:t>市水利局</w:t>
            </w:r>
          </w:p>
        </w:tc>
      </w:tr>
      <w:tr w14:paraId="6C5E7C2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25EFDB6B">
            <w:pPr>
              <w:widowControl/>
              <w:spacing w:line="240" w:lineRule="exact"/>
              <w:jc w:val="center"/>
              <w:rPr>
                <w:rFonts w:ascii="宋体" w:hAnsi="宋体" w:cs="宋体"/>
                <w:kern w:val="0"/>
                <w:sz w:val="21"/>
                <w:szCs w:val="21"/>
              </w:rPr>
            </w:pPr>
            <w:r>
              <w:rPr>
                <w:rFonts w:hint="eastAsia" w:ascii="宋体" w:hAnsi="宋体" w:cs="宋体"/>
                <w:kern w:val="0"/>
                <w:sz w:val="21"/>
                <w:szCs w:val="21"/>
              </w:rPr>
              <w:t>16</w:t>
            </w:r>
          </w:p>
        </w:tc>
        <w:tc>
          <w:tcPr>
            <w:tcW w:w="2269" w:type="dxa"/>
            <w:tcBorders>
              <w:top w:val="nil"/>
              <w:left w:val="nil"/>
              <w:bottom w:val="single" w:color="auto" w:sz="4" w:space="0"/>
              <w:right w:val="single" w:color="auto" w:sz="4" w:space="0"/>
            </w:tcBorders>
            <w:shd w:val="clear" w:color="000000" w:fill="FFFFFF"/>
            <w:vAlign w:val="center"/>
          </w:tcPr>
          <w:p w14:paraId="12EBFEC0">
            <w:pPr>
              <w:widowControl/>
              <w:spacing w:line="240" w:lineRule="exact"/>
              <w:jc w:val="center"/>
              <w:rPr>
                <w:rFonts w:ascii="宋体" w:hAnsi="宋体" w:cs="宋体"/>
                <w:kern w:val="0"/>
                <w:sz w:val="21"/>
                <w:szCs w:val="21"/>
              </w:rPr>
            </w:pPr>
            <w:r>
              <w:rPr>
                <w:rFonts w:hint="eastAsia" w:ascii="宋体" w:hAnsi="宋体" w:cs="宋体"/>
                <w:kern w:val="0"/>
                <w:sz w:val="21"/>
                <w:szCs w:val="21"/>
              </w:rPr>
              <w:t>金潮港生态堰坝工程</w:t>
            </w:r>
          </w:p>
        </w:tc>
        <w:tc>
          <w:tcPr>
            <w:tcW w:w="1276" w:type="dxa"/>
            <w:tcBorders>
              <w:top w:val="nil"/>
              <w:left w:val="nil"/>
              <w:bottom w:val="single" w:color="auto" w:sz="4" w:space="0"/>
              <w:right w:val="single" w:color="auto" w:sz="4" w:space="0"/>
            </w:tcBorders>
            <w:shd w:val="clear" w:color="000000" w:fill="FFFFFF"/>
            <w:vAlign w:val="center"/>
          </w:tcPr>
          <w:p w14:paraId="5901A517">
            <w:pPr>
              <w:widowControl/>
              <w:spacing w:line="240" w:lineRule="exact"/>
              <w:jc w:val="center"/>
              <w:rPr>
                <w:rFonts w:ascii="Times New Roman" w:hAnsi="Times New Roman"/>
                <w:kern w:val="0"/>
                <w:sz w:val="21"/>
                <w:szCs w:val="21"/>
              </w:rPr>
            </w:pPr>
            <w:r>
              <w:rPr>
                <w:rFonts w:ascii="Times New Roman" w:hAnsi="Times New Roman"/>
                <w:kern w:val="0"/>
                <w:sz w:val="21"/>
                <w:szCs w:val="21"/>
              </w:rPr>
              <w:t>2026-2028</w:t>
            </w:r>
          </w:p>
        </w:tc>
        <w:tc>
          <w:tcPr>
            <w:tcW w:w="6520" w:type="dxa"/>
            <w:tcBorders>
              <w:top w:val="nil"/>
              <w:left w:val="nil"/>
              <w:bottom w:val="single" w:color="auto" w:sz="4" w:space="0"/>
              <w:right w:val="single" w:color="auto" w:sz="4" w:space="0"/>
            </w:tcBorders>
            <w:shd w:val="clear" w:color="000000" w:fill="FFFFFF"/>
            <w:vAlign w:val="center"/>
          </w:tcPr>
          <w:p w14:paraId="46877B9C">
            <w:pPr>
              <w:widowControl/>
              <w:spacing w:line="240" w:lineRule="exact"/>
              <w:rPr>
                <w:rFonts w:ascii="仿宋_GB2312" w:hAnsi="宋体" w:cs="宋体"/>
                <w:kern w:val="0"/>
                <w:sz w:val="21"/>
                <w:szCs w:val="21"/>
              </w:rPr>
            </w:pPr>
            <w:r>
              <w:rPr>
                <w:rFonts w:hint="eastAsia" w:ascii="宋体" w:hAnsi="宋体" w:cs="宋体"/>
                <w:color w:val="000000"/>
                <w:kern w:val="0"/>
                <w:sz w:val="21"/>
                <w:szCs w:val="21"/>
              </w:rPr>
              <w:t>拟在金潮港入江口新建一座生态挡潮蓄水堰坝（初步推荐充气橡胶堰坝），堰长约70m高4.5米，上下游局部护岸。</w:t>
            </w:r>
          </w:p>
        </w:tc>
        <w:tc>
          <w:tcPr>
            <w:tcW w:w="992" w:type="dxa"/>
            <w:tcBorders>
              <w:top w:val="nil"/>
              <w:left w:val="nil"/>
              <w:bottom w:val="single" w:color="auto" w:sz="4" w:space="0"/>
              <w:right w:val="single" w:color="auto" w:sz="4" w:space="0"/>
            </w:tcBorders>
            <w:shd w:val="clear" w:color="000000" w:fill="FFFFFF"/>
            <w:vAlign w:val="center"/>
          </w:tcPr>
          <w:p w14:paraId="4AC2DFD7">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1.50 </w:t>
            </w:r>
          </w:p>
        </w:tc>
        <w:tc>
          <w:tcPr>
            <w:tcW w:w="2552" w:type="dxa"/>
            <w:tcBorders>
              <w:top w:val="nil"/>
              <w:left w:val="nil"/>
              <w:bottom w:val="single" w:color="auto" w:sz="4" w:space="0"/>
              <w:right w:val="single" w:color="auto" w:sz="4" w:space="0"/>
            </w:tcBorders>
            <w:shd w:val="clear" w:color="000000" w:fill="FFFFFF"/>
            <w:vAlign w:val="center"/>
          </w:tcPr>
          <w:p w14:paraId="4124A120">
            <w:pPr>
              <w:widowControl/>
              <w:spacing w:line="240" w:lineRule="exact"/>
              <w:jc w:val="center"/>
              <w:rPr>
                <w:rFonts w:ascii="仿宋_GB2312" w:hAnsi="宋体" w:cs="宋体"/>
                <w:kern w:val="0"/>
                <w:sz w:val="21"/>
                <w:szCs w:val="21"/>
              </w:rPr>
            </w:pPr>
            <w:r>
              <w:rPr>
                <w:rFonts w:hint="eastAsia" w:ascii="仿宋_GB2312" w:hAnsi="宋体" w:cs="宋体"/>
                <w:kern w:val="0"/>
                <w:sz w:val="21"/>
                <w:szCs w:val="21"/>
              </w:rPr>
              <w:t>市水利局</w:t>
            </w:r>
          </w:p>
        </w:tc>
      </w:tr>
      <w:tr w14:paraId="6EC04E53">
        <w:tblPrEx>
          <w:tblCellMar>
            <w:top w:w="0" w:type="dxa"/>
            <w:left w:w="108" w:type="dxa"/>
            <w:bottom w:w="0" w:type="dxa"/>
            <w:right w:w="108" w:type="dxa"/>
          </w:tblCellMar>
        </w:tblPrEx>
        <w:trPr>
          <w:trHeight w:val="20" w:hRule="atLeast"/>
        </w:trPr>
        <w:tc>
          <w:tcPr>
            <w:tcW w:w="28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19549C">
            <w:pPr>
              <w:widowControl/>
              <w:spacing w:line="240" w:lineRule="exact"/>
              <w:jc w:val="left"/>
              <w:rPr>
                <w:rFonts w:ascii="宋体" w:hAnsi="宋体" w:cs="宋体"/>
                <w:b/>
                <w:bCs/>
                <w:kern w:val="0"/>
                <w:sz w:val="21"/>
                <w:szCs w:val="21"/>
              </w:rPr>
            </w:pPr>
            <w:r>
              <w:rPr>
                <w:rFonts w:hint="eastAsia" w:ascii="宋体" w:hAnsi="宋体" w:cs="宋体"/>
                <w:b/>
                <w:bCs/>
                <w:kern w:val="0"/>
                <w:sz w:val="21"/>
                <w:szCs w:val="21"/>
              </w:rPr>
              <w:t>3、社会发展项目（7个）</w:t>
            </w:r>
          </w:p>
        </w:tc>
        <w:tc>
          <w:tcPr>
            <w:tcW w:w="1276" w:type="dxa"/>
            <w:tcBorders>
              <w:top w:val="nil"/>
              <w:left w:val="nil"/>
              <w:bottom w:val="single" w:color="auto" w:sz="4" w:space="0"/>
              <w:right w:val="single" w:color="auto" w:sz="4" w:space="0"/>
            </w:tcBorders>
            <w:shd w:val="clear" w:color="auto" w:fill="auto"/>
            <w:noWrap/>
            <w:vAlign w:val="center"/>
          </w:tcPr>
          <w:p w14:paraId="0C76B46A">
            <w:pPr>
              <w:widowControl/>
              <w:spacing w:line="240" w:lineRule="exact"/>
              <w:jc w:val="center"/>
              <w:rPr>
                <w:rFonts w:ascii="宋体" w:hAnsi="宋体" w:cs="宋体"/>
                <w:b/>
                <w:bCs/>
                <w:color w:val="000000"/>
                <w:kern w:val="0"/>
                <w:sz w:val="21"/>
                <w:szCs w:val="21"/>
              </w:rPr>
            </w:pPr>
          </w:p>
        </w:tc>
        <w:tc>
          <w:tcPr>
            <w:tcW w:w="6520" w:type="dxa"/>
            <w:tcBorders>
              <w:top w:val="nil"/>
              <w:left w:val="nil"/>
              <w:bottom w:val="single" w:color="auto" w:sz="4" w:space="0"/>
              <w:right w:val="single" w:color="auto" w:sz="4" w:space="0"/>
            </w:tcBorders>
            <w:shd w:val="clear" w:color="000000" w:fill="FFFFFF"/>
            <w:vAlign w:val="center"/>
          </w:tcPr>
          <w:p w14:paraId="55BA11D5">
            <w:pPr>
              <w:widowControl/>
              <w:spacing w:line="240" w:lineRule="exact"/>
              <w:rPr>
                <w:rFonts w:ascii="宋体" w:hAnsi="宋体" w:cs="宋体"/>
                <w:b/>
                <w:bCs/>
                <w:color w:val="000000"/>
                <w:kern w:val="0"/>
                <w:sz w:val="21"/>
                <w:szCs w:val="21"/>
              </w:rPr>
            </w:pPr>
            <w:r>
              <w:rPr>
                <w:rFonts w:hint="eastAsia" w:ascii="宋体" w:hAnsi="宋体" w:cs="宋体"/>
                <w:b/>
                <w:bCs/>
                <w:color w:val="000000"/>
                <w:kern w:val="0"/>
                <w:sz w:val="21"/>
                <w:szCs w:val="21"/>
              </w:rPr>
              <w:t>　</w:t>
            </w:r>
          </w:p>
        </w:tc>
        <w:tc>
          <w:tcPr>
            <w:tcW w:w="992" w:type="dxa"/>
            <w:tcBorders>
              <w:top w:val="nil"/>
              <w:left w:val="nil"/>
              <w:bottom w:val="single" w:color="auto" w:sz="4" w:space="0"/>
              <w:right w:val="single" w:color="auto" w:sz="4" w:space="0"/>
            </w:tcBorders>
            <w:shd w:val="clear" w:color="000000" w:fill="FFFFFF"/>
            <w:noWrap/>
            <w:vAlign w:val="center"/>
          </w:tcPr>
          <w:p w14:paraId="2E141675">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 xml:space="preserve">45.89 </w:t>
            </w:r>
          </w:p>
        </w:tc>
        <w:tc>
          <w:tcPr>
            <w:tcW w:w="2552" w:type="dxa"/>
            <w:tcBorders>
              <w:top w:val="nil"/>
              <w:left w:val="nil"/>
              <w:bottom w:val="single" w:color="auto" w:sz="4" w:space="0"/>
              <w:right w:val="single" w:color="auto" w:sz="4" w:space="0"/>
            </w:tcBorders>
            <w:shd w:val="clear" w:color="000000" w:fill="FFFFFF"/>
            <w:vAlign w:val="center"/>
          </w:tcPr>
          <w:p w14:paraId="402D1FCD">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　</w:t>
            </w:r>
          </w:p>
        </w:tc>
      </w:tr>
      <w:tr w14:paraId="0AE2244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4A5D6450">
            <w:pPr>
              <w:widowControl/>
              <w:spacing w:line="240" w:lineRule="exact"/>
              <w:jc w:val="center"/>
              <w:rPr>
                <w:rFonts w:ascii="宋体" w:hAnsi="宋体" w:cs="宋体"/>
                <w:kern w:val="0"/>
                <w:sz w:val="21"/>
                <w:szCs w:val="21"/>
              </w:rPr>
            </w:pPr>
            <w:r>
              <w:rPr>
                <w:rFonts w:hint="eastAsia" w:ascii="宋体" w:hAnsi="宋体" w:cs="宋体"/>
                <w:kern w:val="0"/>
                <w:sz w:val="21"/>
                <w:szCs w:val="21"/>
              </w:rPr>
              <w:t>17</w:t>
            </w:r>
          </w:p>
        </w:tc>
        <w:tc>
          <w:tcPr>
            <w:tcW w:w="2269" w:type="dxa"/>
            <w:tcBorders>
              <w:top w:val="nil"/>
              <w:left w:val="nil"/>
              <w:bottom w:val="single" w:color="auto" w:sz="4" w:space="0"/>
              <w:right w:val="single" w:color="auto" w:sz="4" w:space="0"/>
            </w:tcBorders>
            <w:shd w:val="clear" w:color="000000" w:fill="FFFFFF"/>
            <w:vAlign w:val="center"/>
          </w:tcPr>
          <w:p w14:paraId="090101F3">
            <w:pPr>
              <w:widowControl/>
              <w:spacing w:line="240" w:lineRule="exact"/>
              <w:jc w:val="center"/>
              <w:rPr>
                <w:rFonts w:ascii="宋体" w:hAnsi="宋体" w:cs="宋体"/>
                <w:kern w:val="0"/>
                <w:sz w:val="21"/>
                <w:szCs w:val="21"/>
              </w:rPr>
            </w:pPr>
            <w:r>
              <w:rPr>
                <w:rFonts w:hint="eastAsia" w:ascii="宋体" w:hAnsi="宋体" w:cs="宋体"/>
                <w:kern w:val="0"/>
                <w:sz w:val="21"/>
                <w:szCs w:val="21"/>
              </w:rPr>
              <w:t>市农业技术学校（市第三职业技术学校）建设工程</w:t>
            </w:r>
          </w:p>
        </w:tc>
        <w:tc>
          <w:tcPr>
            <w:tcW w:w="1276" w:type="dxa"/>
            <w:tcBorders>
              <w:top w:val="nil"/>
              <w:left w:val="nil"/>
              <w:bottom w:val="single" w:color="auto" w:sz="4" w:space="0"/>
              <w:right w:val="single" w:color="auto" w:sz="4" w:space="0"/>
            </w:tcBorders>
            <w:shd w:val="clear" w:color="000000" w:fill="FFFFFF"/>
            <w:vAlign w:val="center"/>
          </w:tcPr>
          <w:p w14:paraId="147D31D4">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57B92A30">
            <w:pPr>
              <w:widowControl/>
              <w:spacing w:line="240" w:lineRule="exact"/>
              <w:rPr>
                <w:rFonts w:ascii="Times New Roman" w:hAnsi="Times New Roman"/>
                <w:kern w:val="0"/>
                <w:sz w:val="21"/>
                <w:szCs w:val="21"/>
              </w:rPr>
            </w:pPr>
            <w:r>
              <w:rPr>
                <w:rFonts w:hint="eastAsia" w:ascii="宋体" w:hAnsi="宋体"/>
                <w:kern w:val="0"/>
                <w:sz w:val="21"/>
                <w:szCs w:val="21"/>
              </w:rPr>
              <w:t>项目分两期实施，一期位于马屿镇篁社村雷公山团块，总建筑面积</w:t>
            </w:r>
            <w:r>
              <w:rPr>
                <w:rFonts w:ascii="Times New Roman" w:hAnsi="Times New Roman"/>
                <w:kern w:val="0"/>
                <w:sz w:val="21"/>
                <w:szCs w:val="21"/>
              </w:rPr>
              <w:t>77901</w:t>
            </w:r>
            <w:r>
              <w:rPr>
                <w:rFonts w:hint="eastAsia" w:ascii="宋体" w:hAnsi="宋体"/>
                <w:kern w:val="0"/>
                <w:sz w:val="21"/>
                <w:szCs w:val="21"/>
              </w:rPr>
              <w:t>㎡；</w:t>
            </w:r>
            <w:r>
              <w:rPr>
                <w:rFonts w:hint="eastAsia" w:ascii="宋体" w:hAnsi="宋体"/>
                <w:kern w:val="0"/>
                <w:sz w:val="21"/>
                <w:szCs w:val="21"/>
              </w:rPr>
              <w:br w:type="textWrapping"/>
            </w:r>
            <w:r>
              <w:rPr>
                <w:rFonts w:hint="eastAsia" w:ascii="宋体" w:hAnsi="宋体"/>
                <w:kern w:val="0"/>
                <w:sz w:val="21"/>
                <w:szCs w:val="21"/>
              </w:rPr>
              <w:t>二期总用地面积约</w:t>
            </w:r>
            <w:r>
              <w:rPr>
                <w:rFonts w:ascii="Times New Roman" w:hAnsi="Times New Roman"/>
                <w:kern w:val="0"/>
                <w:sz w:val="21"/>
                <w:szCs w:val="21"/>
              </w:rPr>
              <w:t>74.71</w:t>
            </w:r>
            <w:r>
              <w:rPr>
                <w:rFonts w:hint="eastAsia" w:ascii="宋体" w:hAnsi="宋体"/>
                <w:kern w:val="0"/>
                <w:sz w:val="21"/>
                <w:szCs w:val="21"/>
              </w:rPr>
              <w:t>亩，地上建筑面积约</w:t>
            </w:r>
            <w:r>
              <w:rPr>
                <w:rFonts w:ascii="Times New Roman" w:hAnsi="Times New Roman"/>
                <w:kern w:val="0"/>
                <w:sz w:val="21"/>
                <w:szCs w:val="21"/>
              </w:rPr>
              <w:t>48000</w:t>
            </w:r>
            <w:r>
              <w:rPr>
                <w:rFonts w:hint="eastAsia" w:ascii="宋体" w:hAnsi="宋体"/>
                <w:kern w:val="0"/>
                <w:sz w:val="21"/>
                <w:szCs w:val="21"/>
              </w:rPr>
              <w:t>㎡，地下建筑面积约</w:t>
            </w:r>
            <w:r>
              <w:rPr>
                <w:rFonts w:ascii="Times New Roman" w:hAnsi="Times New Roman"/>
                <w:kern w:val="0"/>
                <w:sz w:val="21"/>
                <w:szCs w:val="21"/>
              </w:rPr>
              <w:t>12000</w:t>
            </w:r>
            <w:r>
              <w:rPr>
                <w:rFonts w:hint="eastAsia" w:ascii="宋体" w:hAnsi="宋体"/>
                <w:kern w:val="0"/>
                <w:sz w:val="21"/>
                <w:szCs w:val="21"/>
              </w:rPr>
              <w:t>㎡，主要建设教学楼、宿舍、办公楼等多层建筑、室外附属配套设施、道路等。</w:t>
            </w:r>
          </w:p>
        </w:tc>
        <w:tc>
          <w:tcPr>
            <w:tcW w:w="992" w:type="dxa"/>
            <w:tcBorders>
              <w:top w:val="nil"/>
              <w:left w:val="nil"/>
              <w:bottom w:val="single" w:color="auto" w:sz="4" w:space="0"/>
              <w:right w:val="single" w:color="auto" w:sz="4" w:space="0"/>
            </w:tcBorders>
            <w:shd w:val="clear" w:color="000000" w:fill="FFFFFF"/>
            <w:vAlign w:val="center"/>
          </w:tcPr>
          <w:p w14:paraId="0EEEF8FB">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11.40 </w:t>
            </w:r>
          </w:p>
        </w:tc>
        <w:tc>
          <w:tcPr>
            <w:tcW w:w="2552" w:type="dxa"/>
            <w:tcBorders>
              <w:top w:val="nil"/>
              <w:left w:val="nil"/>
              <w:bottom w:val="single" w:color="auto" w:sz="4" w:space="0"/>
              <w:right w:val="single" w:color="auto" w:sz="4" w:space="0"/>
            </w:tcBorders>
            <w:shd w:val="clear" w:color="000000" w:fill="FFFFFF"/>
            <w:vAlign w:val="center"/>
          </w:tcPr>
          <w:p w14:paraId="55AB281F">
            <w:pPr>
              <w:widowControl/>
              <w:spacing w:line="240" w:lineRule="exact"/>
              <w:jc w:val="center"/>
              <w:rPr>
                <w:rFonts w:ascii="宋体" w:hAnsi="宋体" w:cs="宋体"/>
                <w:kern w:val="0"/>
                <w:sz w:val="21"/>
                <w:szCs w:val="21"/>
              </w:rPr>
            </w:pPr>
            <w:r>
              <w:rPr>
                <w:rFonts w:hint="eastAsia" w:ascii="宋体" w:hAnsi="宋体" w:cs="宋体"/>
                <w:kern w:val="0"/>
                <w:sz w:val="21"/>
                <w:szCs w:val="21"/>
              </w:rPr>
              <w:t>市教育局、马屿镇政府</w:t>
            </w:r>
          </w:p>
        </w:tc>
      </w:tr>
      <w:tr w14:paraId="2B9C6720">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B3C3E65">
            <w:pPr>
              <w:widowControl/>
              <w:spacing w:line="240" w:lineRule="exact"/>
              <w:jc w:val="center"/>
              <w:rPr>
                <w:rFonts w:ascii="宋体" w:hAnsi="宋体" w:cs="宋体"/>
                <w:kern w:val="0"/>
                <w:sz w:val="21"/>
                <w:szCs w:val="21"/>
              </w:rPr>
            </w:pPr>
            <w:r>
              <w:rPr>
                <w:rFonts w:hint="eastAsia" w:ascii="宋体" w:hAnsi="宋体" w:cs="宋体"/>
                <w:kern w:val="0"/>
                <w:sz w:val="21"/>
                <w:szCs w:val="21"/>
              </w:rPr>
              <w:t>18</w:t>
            </w:r>
          </w:p>
        </w:tc>
        <w:tc>
          <w:tcPr>
            <w:tcW w:w="2269" w:type="dxa"/>
            <w:tcBorders>
              <w:top w:val="nil"/>
              <w:left w:val="nil"/>
              <w:bottom w:val="single" w:color="auto" w:sz="4" w:space="0"/>
              <w:right w:val="single" w:color="auto" w:sz="4" w:space="0"/>
            </w:tcBorders>
            <w:shd w:val="clear" w:color="000000" w:fill="FFFFFF"/>
            <w:vAlign w:val="center"/>
          </w:tcPr>
          <w:p w14:paraId="7D3E6C2B">
            <w:pPr>
              <w:widowControl/>
              <w:spacing w:line="240" w:lineRule="exact"/>
              <w:jc w:val="center"/>
              <w:rPr>
                <w:rFonts w:ascii="宋体" w:hAnsi="宋体" w:cs="宋体"/>
                <w:kern w:val="0"/>
                <w:sz w:val="21"/>
                <w:szCs w:val="21"/>
              </w:rPr>
            </w:pPr>
            <w:r>
              <w:rPr>
                <w:rFonts w:hint="eastAsia" w:ascii="宋体" w:hAnsi="宋体" w:cs="宋体"/>
                <w:kern w:val="0"/>
                <w:sz w:val="21"/>
                <w:szCs w:val="21"/>
              </w:rPr>
              <w:t>温州职业技术学院扩建工程</w:t>
            </w:r>
          </w:p>
        </w:tc>
        <w:tc>
          <w:tcPr>
            <w:tcW w:w="1276" w:type="dxa"/>
            <w:tcBorders>
              <w:top w:val="nil"/>
              <w:left w:val="nil"/>
              <w:bottom w:val="single" w:color="auto" w:sz="4" w:space="0"/>
              <w:right w:val="single" w:color="auto" w:sz="4" w:space="0"/>
            </w:tcBorders>
            <w:shd w:val="clear" w:color="000000" w:fill="FFFFFF"/>
            <w:vAlign w:val="center"/>
          </w:tcPr>
          <w:p w14:paraId="6958270B">
            <w:pPr>
              <w:widowControl/>
              <w:spacing w:line="240" w:lineRule="exact"/>
              <w:jc w:val="center"/>
              <w:rPr>
                <w:rFonts w:ascii="宋体" w:hAnsi="宋体" w:cs="宋体"/>
                <w:kern w:val="0"/>
                <w:sz w:val="21"/>
                <w:szCs w:val="21"/>
              </w:rPr>
            </w:pPr>
            <w:r>
              <w:rPr>
                <w:rFonts w:hint="eastAsia" w:ascii="宋体" w:hAnsi="宋体" w:cs="宋体"/>
                <w:kern w:val="0"/>
                <w:sz w:val="21"/>
                <w:szCs w:val="21"/>
              </w:rPr>
              <w:t>2024-2028</w:t>
            </w:r>
          </w:p>
        </w:tc>
        <w:tc>
          <w:tcPr>
            <w:tcW w:w="6520" w:type="dxa"/>
            <w:tcBorders>
              <w:top w:val="nil"/>
              <w:left w:val="nil"/>
              <w:bottom w:val="single" w:color="auto" w:sz="4" w:space="0"/>
              <w:right w:val="single" w:color="auto" w:sz="4" w:space="0"/>
            </w:tcBorders>
            <w:shd w:val="clear" w:color="000000" w:fill="FFFFFF"/>
            <w:vAlign w:val="center"/>
          </w:tcPr>
          <w:p w14:paraId="46E17031">
            <w:pPr>
              <w:widowControl/>
              <w:spacing w:line="240" w:lineRule="exact"/>
              <w:rPr>
                <w:rFonts w:ascii="宋体" w:hAnsi="宋体" w:cs="宋体"/>
                <w:kern w:val="0"/>
                <w:sz w:val="21"/>
                <w:szCs w:val="21"/>
              </w:rPr>
            </w:pPr>
            <w:r>
              <w:rPr>
                <w:rFonts w:hint="eastAsia" w:ascii="宋体" w:hAnsi="宋体" w:cs="宋体"/>
                <w:kern w:val="0"/>
                <w:sz w:val="21"/>
                <w:szCs w:val="21"/>
              </w:rPr>
              <w:t xml:space="preserve"> 扩建总面积约150亩，建筑面积约9.8万平方米，其中：公寓楼扩建工程用地16.15亩，总建筑面积约1.9万平方米，建设学生宿舍楼2幢、生活保障用房1幢；二期生活区扩建项目（与公寓楼相邻）用地面积约44亩，总建筑面积约6.5万平方米，建设学生宿舍楼、生活保障用房、运动场馆、食堂公用建筑及地下室、室内游泳池等；综合实训楼礼堂装修工程总建筑面积1166平方米，主要包括土建工程、安装工程及舞台工程等。</w:t>
            </w:r>
          </w:p>
        </w:tc>
        <w:tc>
          <w:tcPr>
            <w:tcW w:w="992" w:type="dxa"/>
            <w:tcBorders>
              <w:top w:val="nil"/>
              <w:left w:val="nil"/>
              <w:bottom w:val="single" w:color="auto" w:sz="4" w:space="0"/>
              <w:right w:val="single" w:color="auto" w:sz="4" w:space="0"/>
            </w:tcBorders>
            <w:shd w:val="clear" w:color="000000" w:fill="FFFFFF"/>
            <w:vAlign w:val="center"/>
          </w:tcPr>
          <w:p w14:paraId="4504A708">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6.00 </w:t>
            </w:r>
          </w:p>
        </w:tc>
        <w:tc>
          <w:tcPr>
            <w:tcW w:w="2552" w:type="dxa"/>
            <w:tcBorders>
              <w:top w:val="nil"/>
              <w:left w:val="nil"/>
              <w:bottom w:val="single" w:color="auto" w:sz="4" w:space="0"/>
              <w:right w:val="single" w:color="auto" w:sz="4" w:space="0"/>
            </w:tcBorders>
            <w:shd w:val="clear" w:color="000000" w:fill="FFFFFF"/>
            <w:vAlign w:val="center"/>
          </w:tcPr>
          <w:p w14:paraId="2D73CC6D">
            <w:pPr>
              <w:widowControl/>
              <w:spacing w:line="240" w:lineRule="exact"/>
              <w:jc w:val="center"/>
              <w:rPr>
                <w:rFonts w:ascii="宋体" w:hAnsi="宋体" w:cs="宋体"/>
                <w:kern w:val="0"/>
                <w:sz w:val="21"/>
                <w:szCs w:val="21"/>
              </w:rPr>
            </w:pPr>
            <w:r>
              <w:rPr>
                <w:rFonts w:hint="eastAsia" w:ascii="宋体" w:hAnsi="宋体" w:cs="宋体"/>
                <w:kern w:val="0"/>
                <w:sz w:val="21"/>
                <w:szCs w:val="21"/>
              </w:rPr>
              <w:t>温州职业技术学院、瑞安江南新区管委会</w:t>
            </w:r>
          </w:p>
        </w:tc>
      </w:tr>
      <w:tr w14:paraId="2823D151">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D3C975A">
            <w:pPr>
              <w:widowControl/>
              <w:spacing w:line="240" w:lineRule="exact"/>
              <w:jc w:val="center"/>
              <w:rPr>
                <w:rFonts w:ascii="宋体" w:hAnsi="宋体" w:cs="宋体"/>
                <w:kern w:val="0"/>
                <w:sz w:val="21"/>
                <w:szCs w:val="21"/>
              </w:rPr>
            </w:pPr>
            <w:r>
              <w:rPr>
                <w:rFonts w:hint="eastAsia" w:ascii="宋体" w:hAnsi="宋体" w:cs="宋体"/>
                <w:kern w:val="0"/>
                <w:sz w:val="21"/>
                <w:szCs w:val="21"/>
              </w:rPr>
              <w:t>19</w:t>
            </w:r>
          </w:p>
        </w:tc>
        <w:tc>
          <w:tcPr>
            <w:tcW w:w="2269" w:type="dxa"/>
            <w:tcBorders>
              <w:top w:val="nil"/>
              <w:left w:val="nil"/>
              <w:bottom w:val="single" w:color="auto" w:sz="4" w:space="0"/>
              <w:right w:val="single" w:color="auto" w:sz="4" w:space="0"/>
            </w:tcBorders>
            <w:shd w:val="clear" w:color="000000" w:fill="FFFFFF"/>
            <w:vAlign w:val="center"/>
          </w:tcPr>
          <w:p w14:paraId="3B1F69BF">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江南卓越职业中学新建项目</w:t>
            </w:r>
          </w:p>
        </w:tc>
        <w:tc>
          <w:tcPr>
            <w:tcW w:w="1276" w:type="dxa"/>
            <w:tcBorders>
              <w:top w:val="nil"/>
              <w:left w:val="nil"/>
              <w:bottom w:val="single" w:color="auto" w:sz="4" w:space="0"/>
              <w:right w:val="single" w:color="auto" w:sz="4" w:space="0"/>
            </w:tcBorders>
            <w:shd w:val="clear" w:color="auto" w:fill="auto"/>
            <w:vAlign w:val="center"/>
          </w:tcPr>
          <w:p w14:paraId="2D18FD9C">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2024-2026</w:t>
            </w:r>
          </w:p>
        </w:tc>
        <w:tc>
          <w:tcPr>
            <w:tcW w:w="6520" w:type="dxa"/>
            <w:tcBorders>
              <w:top w:val="nil"/>
              <w:left w:val="nil"/>
              <w:bottom w:val="single" w:color="auto" w:sz="4" w:space="0"/>
              <w:right w:val="single" w:color="auto" w:sz="4" w:space="0"/>
            </w:tcBorders>
            <w:shd w:val="clear" w:color="auto" w:fill="auto"/>
            <w:vAlign w:val="center"/>
          </w:tcPr>
          <w:p w14:paraId="5AE1CDA1">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位于云周街道站西社区卓岙山边，预计占地面积88亩，拟采用订单式专业设置培养模式开设符合当地经济社会发展和用工需求课程。</w:t>
            </w:r>
          </w:p>
        </w:tc>
        <w:tc>
          <w:tcPr>
            <w:tcW w:w="992" w:type="dxa"/>
            <w:tcBorders>
              <w:top w:val="nil"/>
              <w:left w:val="nil"/>
              <w:bottom w:val="single" w:color="auto" w:sz="4" w:space="0"/>
              <w:right w:val="single" w:color="auto" w:sz="4" w:space="0"/>
            </w:tcBorders>
            <w:shd w:val="clear" w:color="auto" w:fill="auto"/>
            <w:vAlign w:val="center"/>
          </w:tcPr>
          <w:p w14:paraId="1A8B70EB">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4.50 </w:t>
            </w:r>
          </w:p>
        </w:tc>
        <w:tc>
          <w:tcPr>
            <w:tcW w:w="2552" w:type="dxa"/>
            <w:tcBorders>
              <w:top w:val="nil"/>
              <w:left w:val="nil"/>
              <w:bottom w:val="single" w:color="auto" w:sz="4" w:space="0"/>
              <w:right w:val="single" w:color="auto" w:sz="4" w:space="0"/>
            </w:tcBorders>
            <w:shd w:val="clear" w:color="auto" w:fill="auto"/>
            <w:vAlign w:val="center"/>
          </w:tcPr>
          <w:p w14:paraId="1F67A1B3">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市教育局、云周街道办事处</w:t>
            </w:r>
          </w:p>
        </w:tc>
      </w:tr>
      <w:tr w14:paraId="016037B0">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AC7E6C1">
            <w:pPr>
              <w:widowControl/>
              <w:spacing w:line="240" w:lineRule="exact"/>
              <w:jc w:val="center"/>
              <w:rPr>
                <w:rFonts w:ascii="宋体" w:hAnsi="宋体" w:cs="宋体"/>
                <w:kern w:val="0"/>
                <w:sz w:val="21"/>
                <w:szCs w:val="21"/>
              </w:rPr>
            </w:pPr>
            <w:r>
              <w:rPr>
                <w:rFonts w:hint="eastAsia" w:ascii="宋体" w:hAnsi="宋体" w:cs="宋体"/>
                <w:kern w:val="0"/>
                <w:sz w:val="21"/>
                <w:szCs w:val="21"/>
              </w:rPr>
              <w:t>20</w:t>
            </w:r>
          </w:p>
        </w:tc>
        <w:tc>
          <w:tcPr>
            <w:tcW w:w="2269" w:type="dxa"/>
            <w:tcBorders>
              <w:top w:val="nil"/>
              <w:left w:val="nil"/>
              <w:bottom w:val="single" w:color="auto" w:sz="4" w:space="0"/>
              <w:right w:val="single" w:color="auto" w:sz="4" w:space="0"/>
            </w:tcBorders>
            <w:shd w:val="clear" w:color="000000" w:fill="FFFFFF"/>
            <w:vAlign w:val="center"/>
          </w:tcPr>
          <w:p w14:paraId="3CC92846">
            <w:pPr>
              <w:widowControl/>
              <w:spacing w:line="240" w:lineRule="exact"/>
              <w:jc w:val="center"/>
              <w:rPr>
                <w:rFonts w:ascii="宋体" w:hAnsi="宋体" w:cs="宋体"/>
                <w:kern w:val="0"/>
                <w:sz w:val="21"/>
                <w:szCs w:val="21"/>
              </w:rPr>
            </w:pPr>
            <w:r>
              <w:rPr>
                <w:rFonts w:hint="eastAsia" w:ascii="宋体" w:hAnsi="宋体" w:cs="宋体"/>
                <w:kern w:val="0"/>
                <w:sz w:val="21"/>
                <w:szCs w:val="21"/>
              </w:rPr>
              <w:t>市公安局基层派出所业务用房建设工程</w:t>
            </w:r>
          </w:p>
        </w:tc>
        <w:tc>
          <w:tcPr>
            <w:tcW w:w="1276" w:type="dxa"/>
            <w:tcBorders>
              <w:top w:val="nil"/>
              <w:left w:val="nil"/>
              <w:bottom w:val="single" w:color="auto" w:sz="4" w:space="0"/>
              <w:right w:val="single" w:color="auto" w:sz="4" w:space="0"/>
            </w:tcBorders>
            <w:shd w:val="clear" w:color="000000" w:fill="FFFFFF"/>
            <w:noWrap/>
            <w:vAlign w:val="center"/>
          </w:tcPr>
          <w:p w14:paraId="2B71545A">
            <w:pPr>
              <w:widowControl/>
              <w:spacing w:line="240" w:lineRule="exact"/>
              <w:jc w:val="center"/>
              <w:rPr>
                <w:rFonts w:ascii="宋体" w:hAnsi="宋体" w:cs="宋体"/>
                <w:kern w:val="0"/>
                <w:sz w:val="21"/>
                <w:szCs w:val="21"/>
              </w:rPr>
            </w:pPr>
            <w:r>
              <w:rPr>
                <w:rFonts w:hint="eastAsia" w:ascii="宋体" w:hAnsi="宋体" w:cs="宋体"/>
                <w:kern w:val="0"/>
                <w:sz w:val="21"/>
                <w:szCs w:val="21"/>
              </w:rPr>
              <w:t>2024-2029</w:t>
            </w:r>
          </w:p>
        </w:tc>
        <w:tc>
          <w:tcPr>
            <w:tcW w:w="6520" w:type="dxa"/>
            <w:tcBorders>
              <w:top w:val="nil"/>
              <w:left w:val="nil"/>
              <w:bottom w:val="single" w:color="auto" w:sz="4" w:space="0"/>
              <w:right w:val="single" w:color="auto" w:sz="4" w:space="0"/>
            </w:tcBorders>
            <w:shd w:val="clear" w:color="000000" w:fill="FFFFFF"/>
            <w:vAlign w:val="center"/>
          </w:tcPr>
          <w:p w14:paraId="638CAE46">
            <w:pPr>
              <w:widowControl/>
              <w:spacing w:line="240" w:lineRule="exact"/>
              <w:rPr>
                <w:rFonts w:ascii="宋体" w:hAnsi="宋体" w:cs="宋体"/>
                <w:kern w:val="0"/>
                <w:sz w:val="21"/>
                <w:szCs w:val="21"/>
              </w:rPr>
            </w:pPr>
            <w:r>
              <w:rPr>
                <w:rFonts w:hint="eastAsia" w:ascii="宋体" w:hAnsi="宋体" w:cs="宋体"/>
                <w:kern w:val="0"/>
                <w:sz w:val="21"/>
                <w:szCs w:val="21"/>
              </w:rPr>
              <w:t xml:space="preserve">包括：飞云派出所业务技术用房，南滨派出所项目，湖岭派出所及交警中队业务用房，曹村派出所业务用房。                 </w:t>
            </w:r>
          </w:p>
        </w:tc>
        <w:tc>
          <w:tcPr>
            <w:tcW w:w="992" w:type="dxa"/>
            <w:tcBorders>
              <w:top w:val="nil"/>
              <w:left w:val="nil"/>
              <w:bottom w:val="single" w:color="auto" w:sz="4" w:space="0"/>
              <w:right w:val="single" w:color="auto" w:sz="4" w:space="0"/>
            </w:tcBorders>
            <w:shd w:val="clear" w:color="000000" w:fill="FFFFFF"/>
            <w:noWrap/>
            <w:vAlign w:val="center"/>
          </w:tcPr>
          <w:p w14:paraId="09565C0B">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2.19 </w:t>
            </w:r>
          </w:p>
        </w:tc>
        <w:tc>
          <w:tcPr>
            <w:tcW w:w="2552" w:type="dxa"/>
            <w:tcBorders>
              <w:top w:val="nil"/>
              <w:left w:val="nil"/>
              <w:bottom w:val="single" w:color="auto" w:sz="4" w:space="0"/>
              <w:right w:val="single" w:color="auto" w:sz="4" w:space="0"/>
            </w:tcBorders>
            <w:shd w:val="clear" w:color="000000" w:fill="FFFFFF"/>
            <w:vAlign w:val="center"/>
          </w:tcPr>
          <w:p w14:paraId="1F721885">
            <w:pPr>
              <w:widowControl/>
              <w:spacing w:line="240" w:lineRule="exact"/>
              <w:jc w:val="center"/>
              <w:rPr>
                <w:rFonts w:ascii="宋体" w:hAnsi="宋体" w:cs="宋体"/>
                <w:kern w:val="0"/>
                <w:sz w:val="21"/>
                <w:szCs w:val="21"/>
              </w:rPr>
            </w:pPr>
            <w:r>
              <w:rPr>
                <w:rFonts w:hint="eastAsia" w:ascii="宋体" w:hAnsi="宋体" w:cs="宋体"/>
                <w:kern w:val="0"/>
                <w:sz w:val="21"/>
                <w:szCs w:val="21"/>
              </w:rPr>
              <w:t>市公安局</w:t>
            </w:r>
          </w:p>
        </w:tc>
      </w:tr>
      <w:tr w14:paraId="5D68A89B">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D92268D">
            <w:pPr>
              <w:widowControl/>
              <w:spacing w:line="240" w:lineRule="exact"/>
              <w:jc w:val="center"/>
              <w:rPr>
                <w:rFonts w:ascii="宋体" w:hAnsi="宋体" w:cs="宋体"/>
                <w:kern w:val="0"/>
                <w:sz w:val="21"/>
                <w:szCs w:val="21"/>
              </w:rPr>
            </w:pPr>
            <w:r>
              <w:rPr>
                <w:rFonts w:hint="eastAsia" w:ascii="宋体" w:hAnsi="宋体" w:cs="宋体"/>
                <w:kern w:val="0"/>
                <w:sz w:val="21"/>
                <w:szCs w:val="21"/>
              </w:rPr>
              <w:t>21</w:t>
            </w:r>
          </w:p>
        </w:tc>
        <w:tc>
          <w:tcPr>
            <w:tcW w:w="2269" w:type="dxa"/>
            <w:tcBorders>
              <w:top w:val="nil"/>
              <w:left w:val="nil"/>
              <w:bottom w:val="single" w:color="auto" w:sz="4" w:space="0"/>
              <w:right w:val="single" w:color="auto" w:sz="4" w:space="0"/>
            </w:tcBorders>
            <w:shd w:val="clear" w:color="000000" w:fill="FFFFFF"/>
            <w:vAlign w:val="center"/>
          </w:tcPr>
          <w:p w14:paraId="12AF2AE3">
            <w:pPr>
              <w:widowControl/>
              <w:spacing w:line="240" w:lineRule="exact"/>
              <w:jc w:val="center"/>
              <w:rPr>
                <w:rFonts w:ascii="宋体" w:hAnsi="宋体" w:cs="宋体"/>
                <w:kern w:val="0"/>
                <w:sz w:val="21"/>
                <w:szCs w:val="21"/>
              </w:rPr>
            </w:pPr>
            <w:r>
              <w:rPr>
                <w:rFonts w:hint="eastAsia" w:ascii="宋体" w:hAnsi="宋体" w:cs="宋体"/>
                <w:kern w:val="0"/>
                <w:sz w:val="21"/>
                <w:szCs w:val="21"/>
              </w:rPr>
              <w:t>南滨江中学配套路网工程</w:t>
            </w:r>
          </w:p>
        </w:tc>
        <w:tc>
          <w:tcPr>
            <w:tcW w:w="1276" w:type="dxa"/>
            <w:tcBorders>
              <w:top w:val="nil"/>
              <w:left w:val="nil"/>
              <w:bottom w:val="single" w:color="auto" w:sz="4" w:space="0"/>
              <w:right w:val="single" w:color="auto" w:sz="4" w:space="0"/>
            </w:tcBorders>
            <w:shd w:val="clear" w:color="000000" w:fill="FFFFFF"/>
            <w:vAlign w:val="center"/>
          </w:tcPr>
          <w:p w14:paraId="1166E91E">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6C8C5295">
            <w:pPr>
              <w:widowControl/>
              <w:spacing w:line="240" w:lineRule="exact"/>
              <w:rPr>
                <w:rFonts w:ascii="宋体" w:hAnsi="宋体" w:cs="宋体"/>
                <w:kern w:val="0"/>
                <w:sz w:val="21"/>
                <w:szCs w:val="21"/>
              </w:rPr>
            </w:pPr>
            <w:r>
              <w:rPr>
                <w:rFonts w:hint="eastAsia" w:ascii="宋体" w:hAnsi="宋体" w:cs="宋体"/>
                <w:kern w:val="0"/>
                <w:sz w:val="21"/>
                <w:szCs w:val="21"/>
              </w:rPr>
              <w:t>支经卅一路（次纬五路至飞鳌路段）宽15米，全长390米；支纬卅一路（支经卅一路至322国道段）宽24米，全长450米，总用地面积约25亩</w:t>
            </w:r>
          </w:p>
        </w:tc>
        <w:tc>
          <w:tcPr>
            <w:tcW w:w="992" w:type="dxa"/>
            <w:tcBorders>
              <w:top w:val="nil"/>
              <w:left w:val="nil"/>
              <w:bottom w:val="single" w:color="auto" w:sz="4" w:space="0"/>
              <w:right w:val="single" w:color="auto" w:sz="4" w:space="0"/>
            </w:tcBorders>
            <w:shd w:val="clear" w:color="000000" w:fill="FFFFFF"/>
            <w:vAlign w:val="center"/>
          </w:tcPr>
          <w:p w14:paraId="059BFE5E">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1.50 </w:t>
            </w:r>
          </w:p>
        </w:tc>
        <w:tc>
          <w:tcPr>
            <w:tcW w:w="2552" w:type="dxa"/>
            <w:tcBorders>
              <w:top w:val="nil"/>
              <w:left w:val="nil"/>
              <w:bottom w:val="single" w:color="auto" w:sz="4" w:space="0"/>
              <w:right w:val="single" w:color="auto" w:sz="4" w:space="0"/>
            </w:tcBorders>
            <w:shd w:val="clear" w:color="000000" w:fill="FFFFFF"/>
            <w:vAlign w:val="center"/>
          </w:tcPr>
          <w:p w14:paraId="7C3B0989">
            <w:pPr>
              <w:widowControl/>
              <w:spacing w:line="240" w:lineRule="exact"/>
              <w:jc w:val="center"/>
              <w:rPr>
                <w:rFonts w:ascii="宋体" w:hAnsi="宋体" w:cs="宋体"/>
                <w:kern w:val="0"/>
                <w:sz w:val="21"/>
                <w:szCs w:val="21"/>
              </w:rPr>
            </w:pPr>
            <w:r>
              <w:rPr>
                <w:rFonts w:hint="eastAsia" w:ascii="宋体" w:hAnsi="宋体" w:cs="宋体"/>
                <w:kern w:val="0"/>
                <w:sz w:val="21"/>
                <w:szCs w:val="21"/>
              </w:rPr>
              <w:t>瑞安江南新区管委会、飞云街道办事处</w:t>
            </w:r>
          </w:p>
        </w:tc>
      </w:tr>
      <w:tr w14:paraId="569E2F80">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59778823">
            <w:pPr>
              <w:widowControl/>
              <w:spacing w:line="240" w:lineRule="exact"/>
              <w:jc w:val="center"/>
              <w:rPr>
                <w:rFonts w:ascii="宋体" w:hAnsi="宋体" w:cs="宋体"/>
                <w:kern w:val="0"/>
                <w:sz w:val="21"/>
                <w:szCs w:val="21"/>
              </w:rPr>
            </w:pPr>
            <w:r>
              <w:rPr>
                <w:rFonts w:hint="eastAsia" w:ascii="宋体" w:hAnsi="宋体" w:cs="宋体"/>
                <w:kern w:val="0"/>
                <w:sz w:val="21"/>
                <w:szCs w:val="21"/>
              </w:rPr>
              <w:t>22</w:t>
            </w:r>
          </w:p>
        </w:tc>
        <w:tc>
          <w:tcPr>
            <w:tcW w:w="2269" w:type="dxa"/>
            <w:tcBorders>
              <w:top w:val="nil"/>
              <w:left w:val="nil"/>
              <w:bottom w:val="single" w:color="auto" w:sz="4" w:space="0"/>
              <w:right w:val="single" w:color="auto" w:sz="4" w:space="0"/>
            </w:tcBorders>
            <w:shd w:val="clear" w:color="000000" w:fill="FFFFFF"/>
            <w:vAlign w:val="center"/>
          </w:tcPr>
          <w:p w14:paraId="49D07116">
            <w:pPr>
              <w:widowControl/>
              <w:spacing w:line="240" w:lineRule="exact"/>
              <w:jc w:val="center"/>
              <w:rPr>
                <w:rFonts w:ascii="宋体" w:hAnsi="宋体" w:cs="宋体"/>
                <w:kern w:val="0"/>
                <w:sz w:val="21"/>
                <w:szCs w:val="21"/>
              </w:rPr>
            </w:pPr>
            <w:r>
              <w:rPr>
                <w:rFonts w:hint="eastAsia" w:ascii="宋体" w:hAnsi="宋体" w:cs="宋体"/>
                <w:kern w:val="0"/>
                <w:sz w:val="21"/>
                <w:szCs w:val="21"/>
              </w:rPr>
              <w:t>云江研学中心</w:t>
            </w:r>
          </w:p>
        </w:tc>
        <w:tc>
          <w:tcPr>
            <w:tcW w:w="1276" w:type="dxa"/>
            <w:tcBorders>
              <w:top w:val="nil"/>
              <w:left w:val="nil"/>
              <w:bottom w:val="single" w:color="auto" w:sz="4" w:space="0"/>
              <w:right w:val="single" w:color="auto" w:sz="4" w:space="0"/>
            </w:tcBorders>
            <w:shd w:val="clear" w:color="000000" w:fill="FFFFFF"/>
            <w:vAlign w:val="center"/>
          </w:tcPr>
          <w:p w14:paraId="06479CBB">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41807661">
            <w:pPr>
              <w:widowControl/>
              <w:spacing w:line="240" w:lineRule="exact"/>
              <w:rPr>
                <w:rFonts w:ascii="宋体" w:hAnsi="宋体" w:cs="宋体"/>
                <w:kern w:val="0"/>
                <w:sz w:val="21"/>
                <w:szCs w:val="21"/>
              </w:rPr>
            </w:pPr>
            <w:r>
              <w:rPr>
                <w:rFonts w:hint="eastAsia" w:ascii="宋体" w:hAnsi="宋体" w:cs="宋体"/>
                <w:kern w:val="0"/>
                <w:sz w:val="21"/>
                <w:szCs w:val="21"/>
              </w:rPr>
              <w:t>位于陶山镇荆谷乡，荆谷山西侧山上，总用地约198亩，总建筑面积2.9万平方米，分两期建设，一期总建筑面积约1.95万平方米，功能由民兵训练基地、特警训练基地、国防教育基地、陶山镇应急物资储备库、夏令营基地及较大型拓展基地等组成。</w:t>
            </w:r>
          </w:p>
        </w:tc>
        <w:tc>
          <w:tcPr>
            <w:tcW w:w="992" w:type="dxa"/>
            <w:tcBorders>
              <w:top w:val="nil"/>
              <w:left w:val="nil"/>
              <w:bottom w:val="single" w:color="auto" w:sz="4" w:space="0"/>
              <w:right w:val="single" w:color="auto" w:sz="4" w:space="0"/>
            </w:tcBorders>
            <w:shd w:val="clear" w:color="000000" w:fill="FFFFFF"/>
            <w:vAlign w:val="center"/>
          </w:tcPr>
          <w:p w14:paraId="259C2C4E">
            <w:pPr>
              <w:widowControl/>
              <w:spacing w:line="240" w:lineRule="exact"/>
              <w:jc w:val="center"/>
              <w:rPr>
                <w:rFonts w:ascii="宋体" w:hAnsi="宋体" w:cs="宋体"/>
                <w:kern w:val="0"/>
                <w:sz w:val="21"/>
                <w:szCs w:val="21"/>
              </w:rPr>
            </w:pPr>
            <w:r>
              <w:rPr>
                <w:rFonts w:hint="eastAsia" w:ascii="宋体" w:hAnsi="宋体" w:cs="宋体"/>
                <w:kern w:val="0"/>
                <w:sz w:val="21"/>
                <w:szCs w:val="21"/>
              </w:rPr>
              <w:t>5.30</w:t>
            </w:r>
          </w:p>
        </w:tc>
        <w:tc>
          <w:tcPr>
            <w:tcW w:w="2552" w:type="dxa"/>
            <w:tcBorders>
              <w:top w:val="nil"/>
              <w:left w:val="nil"/>
              <w:bottom w:val="single" w:color="auto" w:sz="4" w:space="0"/>
              <w:right w:val="single" w:color="auto" w:sz="4" w:space="0"/>
            </w:tcBorders>
            <w:shd w:val="clear" w:color="000000" w:fill="FFFFFF"/>
            <w:vAlign w:val="center"/>
          </w:tcPr>
          <w:p w14:paraId="42853A5A">
            <w:pPr>
              <w:widowControl/>
              <w:spacing w:line="240" w:lineRule="exact"/>
              <w:jc w:val="center"/>
              <w:rPr>
                <w:rFonts w:ascii="宋体" w:hAnsi="宋体" w:cs="宋体"/>
                <w:kern w:val="0"/>
                <w:sz w:val="21"/>
                <w:szCs w:val="21"/>
              </w:rPr>
            </w:pPr>
            <w:r>
              <w:rPr>
                <w:rFonts w:hint="eastAsia" w:ascii="宋体" w:hAnsi="宋体" w:cs="宋体"/>
                <w:kern w:val="0"/>
                <w:sz w:val="21"/>
                <w:szCs w:val="21"/>
              </w:rPr>
              <w:t>市城发集团</w:t>
            </w:r>
          </w:p>
          <w:p w14:paraId="57CE8750">
            <w:pPr>
              <w:widowControl/>
              <w:spacing w:line="240" w:lineRule="exact"/>
              <w:jc w:val="center"/>
              <w:rPr>
                <w:rFonts w:ascii="宋体" w:hAnsi="宋体" w:cs="宋体"/>
                <w:kern w:val="0"/>
                <w:sz w:val="21"/>
                <w:szCs w:val="21"/>
              </w:rPr>
            </w:pPr>
            <w:r>
              <w:rPr>
                <w:rFonts w:hint="eastAsia" w:ascii="宋体" w:hAnsi="宋体" w:cs="宋体"/>
                <w:kern w:val="0"/>
                <w:sz w:val="21"/>
                <w:szCs w:val="21"/>
              </w:rPr>
              <w:t>市政府投资工程建设中心</w:t>
            </w:r>
          </w:p>
          <w:p w14:paraId="7E7FC6E1">
            <w:pPr>
              <w:widowControl/>
              <w:spacing w:line="240" w:lineRule="exact"/>
              <w:jc w:val="center"/>
              <w:rPr>
                <w:rFonts w:ascii="宋体" w:hAnsi="宋体" w:cs="宋体"/>
                <w:kern w:val="0"/>
                <w:sz w:val="21"/>
                <w:szCs w:val="21"/>
              </w:rPr>
            </w:pPr>
            <w:r>
              <w:rPr>
                <w:rFonts w:hint="eastAsia" w:ascii="宋体" w:hAnsi="宋体" w:cs="宋体"/>
                <w:kern w:val="0"/>
                <w:sz w:val="21"/>
                <w:szCs w:val="21"/>
              </w:rPr>
              <w:t>陶山镇政府</w:t>
            </w:r>
          </w:p>
        </w:tc>
      </w:tr>
      <w:tr w14:paraId="76F8EE2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7151E02">
            <w:pPr>
              <w:widowControl/>
              <w:spacing w:line="240" w:lineRule="exact"/>
              <w:jc w:val="center"/>
              <w:rPr>
                <w:rFonts w:ascii="宋体" w:hAnsi="宋体" w:cs="宋体"/>
                <w:kern w:val="0"/>
                <w:sz w:val="21"/>
                <w:szCs w:val="21"/>
              </w:rPr>
            </w:pPr>
            <w:r>
              <w:rPr>
                <w:rFonts w:hint="eastAsia" w:ascii="宋体" w:hAnsi="宋体" w:cs="宋体"/>
                <w:kern w:val="0"/>
                <w:sz w:val="21"/>
                <w:szCs w:val="21"/>
              </w:rPr>
              <w:t>23</w:t>
            </w:r>
          </w:p>
        </w:tc>
        <w:tc>
          <w:tcPr>
            <w:tcW w:w="2269" w:type="dxa"/>
            <w:tcBorders>
              <w:top w:val="nil"/>
              <w:left w:val="nil"/>
              <w:bottom w:val="single" w:color="auto" w:sz="4" w:space="0"/>
              <w:right w:val="single" w:color="auto" w:sz="4" w:space="0"/>
            </w:tcBorders>
            <w:shd w:val="clear" w:color="000000" w:fill="FFFFFF"/>
            <w:vAlign w:val="center"/>
          </w:tcPr>
          <w:p w14:paraId="03311231">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塘下镇教育学校新建项目</w:t>
            </w:r>
          </w:p>
        </w:tc>
        <w:tc>
          <w:tcPr>
            <w:tcW w:w="1276" w:type="dxa"/>
            <w:tcBorders>
              <w:top w:val="nil"/>
              <w:left w:val="nil"/>
              <w:bottom w:val="single" w:color="auto" w:sz="4" w:space="0"/>
              <w:right w:val="single" w:color="auto" w:sz="4" w:space="0"/>
            </w:tcBorders>
            <w:shd w:val="clear" w:color="000000" w:fill="FFFFFF"/>
            <w:noWrap/>
            <w:vAlign w:val="center"/>
          </w:tcPr>
          <w:p w14:paraId="11DADF28">
            <w:pPr>
              <w:widowControl/>
              <w:spacing w:line="240" w:lineRule="exact"/>
              <w:jc w:val="center"/>
              <w:rPr>
                <w:rFonts w:ascii="宋体" w:hAnsi="宋体" w:cs="宋体"/>
                <w:kern w:val="0"/>
                <w:sz w:val="21"/>
                <w:szCs w:val="21"/>
              </w:rPr>
            </w:pPr>
            <w:r>
              <w:rPr>
                <w:rFonts w:hint="eastAsia" w:ascii="宋体" w:hAnsi="宋体" w:cs="宋体"/>
                <w:kern w:val="0"/>
                <w:sz w:val="21"/>
                <w:szCs w:val="21"/>
              </w:rPr>
              <w:t>2026-2029</w:t>
            </w:r>
          </w:p>
        </w:tc>
        <w:tc>
          <w:tcPr>
            <w:tcW w:w="6520" w:type="dxa"/>
            <w:tcBorders>
              <w:top w:val="nil"/>
              <w:left w:val="nil"/>
              <w:bottom w:val="single" w:color="auto" w:sz="4" w:space="0"/>
              <w:right w:val="single" w:color="auto" w:sz="4" w:space="0"/>
            </w:tcBorders>
            <w:shd w:val="clear" w:color="000000" w:fill="FFFFFF"/>
            <w:vAlign w:val="center"/>
          </w:tcPr>
          <w:p w14:paraId="3F4B3B65">
            <w:pPr>
              <w:widowControl/>
              <w:spacing w:line="240" w:lineRule="exact"/>
              <w:rPr>
                <w:rFonts w:ascii="宋体" w:hAnsi="宋体" w:cs="宋体"/>
                <w:kern w:val="0"/>
                <w:sz w:val="21"/>
                <w:szCs w:val="21"/>
              </w:rPr>
            </w:pPr>
            <w:r>
              <w:rPr>
                <w:rFonts w:hint="eastAsia" w:ascii="宋体" w:hAnsi="宋体" w:cs="宋体"/>
                <w:kern w:val="0"/>
                <w:sz w:val="21"/>
                <w:szCs w:val="21"/>
              </w:rPr>
              <w:t>包括塘下二小改扩建项目（位置位于凤秀路与清泉路交叉口东北侧，总用地面积为43.5亩。）、塘下镇塘河小学新建项目（拟选址上马、后朱地块，占地面积约63亩，建筑面积约50000㎡，拟建设一所54班九年一贯制学校。）、塘河新城初中新建项目（建筑面积约60000㎡，占地100亩，轻工业学校（塘下二职）改初中项目，占地约100亩、塘河新城高中新建项目（用地面积约200亩，建筑面积330000㎡。）、任岩松中学新建项目（用地150亩，拟建18个班，建筑面积240000㎡。）、鲍田中心幼儿园、场桥幼儿园、鲍田中学改扩建等。</w:t>
            </w:r>
          </w:p>
        </w:tc>
        <w:tc>
          <w:tcPr>
            <w:tcW w:w="992" w:type="dxa"/>
            <w:tcBorders>
              <w:top w:val="nil"/>
              <w:left w:val="nil"/>
              <w:bottom w:val="single" w:color="auto" w:sz="4" w:space="0"/>
              <w:right w:val="single" w:color="auto" w:sz="4" w:space="0"/>
            </w:tcBorders>
            <w:shd w:val="clear" w:color="000000" w:fill="FFFFFF"/>
            <w:noWrap/>
            <w:vAlign w:val="center"/>
          </w:tcPr>
          <w:p w14:paraId="055F766A">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15.00 </w:t>
            </w:r>
          </w:p>
        </w:tc>
        <w:tc>
          <w:tcPr>
            <w:tcW w:w="2552" w:type="dxa"/>
            <w:tcBorders>
              <w:top w:val="nil"/>
              <w:left w:val="nil"/>
              <w:bottom w:val="single" w:color="auto" w:sz="4" w:space="0"/>
              <w:right w:val="single" w:color="auto" w:sz="4" w:space="0"/>
            </w:tcBorders>
            <w:shd w:val="clear" w:color="000000" w:fill="FFFFFF"/>
            <w:vAlign w:val="center"/>
          </w:tcPr>
          <w:p w14:paraId="68FCF623">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塘下镇政府、市教育局</w:t>
            </w:r>
          </w:p>
        </w:tc>
      </w:tr>
      <w:tr w14:paraId="74B7B57B">
        <w:tblPrEx>
          <w:tblCellMar>
            <w:top w:w="0" w:type="dxa"/>
            <w:left w:w="108" w:type="dxa"/>
            <w:bottom w:w="0" w:type="dxa"/>
            <w:right w:w="108" w:type="dxa"/>
          </w:tblCellMar>
        </w:tblPrEx>
        <w:trPr>
          <w:trHeight w:val="20" w:hRule="atLeast"/>
        </w:trPr>
        <w:tc>
          <w:tcPr>
            <w:tcW w:w="283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96BCCD7">
            <w:pPr>
              <w:widowControl/>
              <w:spacing w:line="240" w:lineRule="exact"/>
              <w:jc w:val="left"/>
              <w:rPr>
                <w:rFonts w:ascii="宋体" w:hAnsi="宋体" w:cs="宋体"/>
                <w:b/>
                <w:bCs/>
                <w:kern w:val="0"/>
                <w:sz w:val="21"/>
                <w:szCs w:val="21"/>
              </w:rPr>
            </w:pPr>
            <w:r>
              <w:rPr>
                <w:rFonts w:hint="eastAsia" w:ascii="宋体" w:hAnsi="宋体" w:cs="宋体"/>
                <w:b/>
                <w:bCs/>
                <w:kern w:val="0"/>
                <w:sz w:val="21"/>
                <w:szCs w:val="21"/>
              </w:rPr>
              <w:t>4、城市建设及基础设施项目（24个）</w:t>
            </w:r>
          </w:p>
        </w:tc>
        <w:tc>
          <w:tcPr>
            <w:tcW w:w="1276" w:type="dxa"/>
            <w:tcBorders>
              <w:top w:val="nil"/>
              <w:left w:val="nil"/>
              <w:bottom w:val="single" w:color="auto" w:sz="4" w:space="0"/>
              <w:right w:val="single" w:color="auto" w:sz="4" w:space="0"/>
            </w:tcBorders>
            <w:shd w:val="clear" w:color="auto" w:fill="auto"/>
            <w:vAlign w:val="center"/>
          </w:tcPr>
          <w:p w14:paraId="68753D29">
            <w:pPr>
              <w:widowControl/>
              <w:spacing w:line="240" w:lineRule="exact"/>
              <w:jc w:val="center"/>
              <w:rPr>
                <w:rFonts w:ascii="宋体" w:hAnsi="宋体" w:cs="宋体"/>
                <w:color w:val="000000"/>
                <w:kern w:val="0"/>
                <w:sz w:val="21"/>
                <w:szCs w:val="21"/>
              </w:rPr>
            </w:pPr>
          </w:p>
        </w:tc>
        <w:tc>
          <w:tcPr>
            <w:tcW w:w="6520" w:type="dxa"/>
            <w:tcBorders>
              <w:top w:val="nil"/>
              <w:left w:val="nil"/>
              <w:bottom w:val="single" w:color="auto" w:sz="4" w:space="0"/>
              <w:right w:val="single" w:color="auto" w:sz="4" w:space="0"/>
            </w:tcBorders>
            <w:shd w:val="clear" w:color="auto" w:fill="auto"/>
            <w:vAlign w:val="center"/>
          </w:tcPr>
          <w:p w14:paraId="3D8EABDC">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　</w:t>
            </w:r>
          </w:p>
        </w:tc>
        <w:tc>
          <w:tcPr>
            <w:tcW w:w="992" w:type="dxa"/>
            <w:tcBorders>
              <w:top w:val="nil"/>
              <w:left w:val="nil"/>
              <w:bottom w:val="single" w:color="auto" w:sz="4" w:space="0"/>
              <w:right w:val="single" w:color="auto" w:sz="4" w:space="0"/>
            </w:tcBorders>
            <w:shd w:val="clear" w:color="auto" w:fill="auto"/>
            <w:vAlign w:val="center"/>
          </w:tcPr>
          <w:p w14:paraId="264E609E">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 xml:space="preserve">667.47 </w:t>
            </w:r>
          </w:p>
        </w:tc>
        <w:tc>
          <w:tcPr>
            <w:tcW w:w="2552" w:type="dxa"/>
            <w:tcBorders>
              <w:top w:val="nil"/>
              <w:left w:val="nil"/>
              <w:bottom w:val="single" w:color="auto" w:sz="4" w:space="0"/>
              <w:right w:val="single" w:color="auto" w:sz="4" w:space="0"/>
            </w:tcBorders>
            <w:shd w:val="clear" w:color="auto" w:fill="auto"/>
            <w:vAlign w:val="center"/>
          </w:tcPr>
          <w:p w14:paraId="0EBD19CB">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000149FC">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C0C8A4A">
            <w:pPr>
              <w:widowControl/>
              <w:spacing w:line="240" w:lineRule="exact"/>
              <w:jc w:val="center"/>
              <w:rPr>
                <w:rFonts w:ascii="宋体" w:hAnsi="宋体" w:cs="宋体"/>
                <w:kern w:val="0"/>
                <w:sz w:val="21"/>
                <w:szCs w:val="21"/>
              </w:rPr>
            </w:pPr>
            <w:r>
              <w:rPr>
                <w:rFonts w:hint="eastAsia" w:ascii="宋体" w:hAnsi="宋体" w:cs="宋体"/>
                <w:kern w:val="0"/>
                <w:sz w:val="21"/>
                <w:szCs w:val="21"/>
              </w:rPr>
              <w:t>24</w:t>
            </w:r>
          </w:p>
        </w:tc>
        <w:tc>
          <w:tcPr>
            <w:tcW w:w="2269" w:type="dxa"/>
            <w:tcBorders>
              <w:top w:val="nil"/>
              <w:left w:val="nil"/>
              <w:bottom w:val="single" w:color="auto" w:sz="4" w:space="0"/>
              <w:right w:val="single" w:color="auto" w:sz="4" w:space="0"/>
            </w:tcBorders>
            <w:shd w:val="clear" w:color="000000" w:fill="FFFFFF"/>
            <w:vAlign w:val="center"/>
          </w:tcPr>
          <w:p w14:paraId="59D0C553">
            <w:pPr>
              <w:widowControl/>
              <w:spacing w:line="240" w:lineRule="exact"/>
              <w:jc w:val="center"/>
              <w:rPr>
                <w:rFonts w:ascii="宋体" w:hAnsi="宋体" w:cs="宋体"/>
                <w:kern w:val="0"/>
                <w:sz w:val="21"/>
                <w:szCs w:val="21"/>
              </w:rPr>
            </w:pPr>
            <w:r>
              <w:rPr>
                <w:rFonts w:hint="eastAsia" w:ascii="宋体" w:hAnsi="宋体" w:cs="宋体"/>
                <w:kern w:val="0"/>
                <w:sz w:val="21"/>
                <w:szCs w:val="21"/>
              </w:rPr>
              <w:t>南滨江公建配套项目</w:t>
            </w:r>
          </w:p>
        </w:tc>
        <w:tc>
          <w:tcPr>
            <w:tcW w:w="1276" w:type="dxa"/>
            <w:tcBorders>
              <w:top w:val="nil"/>
              <w:left w:val="nil"/>
              <w:bottom w:val="single" w:color="auto" w:sz="4" w:space="0"/>
              <w:right w:val="single" w:color="auto" w:sz="4" w:space="0"/>
            </w:tcBorders>
            <w:shd w:val="clear" w:color="000000" w:fill="FFFFFF"/>
            <w:vAlign w:val="center"/>
          </w:tcPr>
          <w:p w14:paraId="35FBC27D">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58E86A4A">
            <w:pPr>
              <w:widowControl/>
              <w:spacing w:line="240" w:lineRule="exact"/>
              <w:rPr>
                <w:rFonts w:ascii="宋体" w:hAnsi="宋体" w:cs="宋体"/>
                <w:kern w:val="0"/>
                <w:sz w:val="21"/>
                <w:szCs w:val="21"/>
              </w:rPr>
            </w:pPr>
            <w:r>
              <w:rPr>
                <w:rFonts w:hint="eastAsia" w:ascii="宋体" w:hAnsi="宋体" w:cs="宋体"/>
                <w:kern w:val="0"/>
                <w:sz w:val="21"/>
                <w:szCs w:val="21"/>
              </w:rPr>
              <w:t>包括：1、马鞍山小学南滨江校区改造提升工程，位于飞云街道老五中地块；2、海警用房项目，北至孙鳌路、南为江南外国语小学、西侧河流、东侧为永定路；3、南港三产地块项目，位于孙鳌路南侧，与新教堂相邻；4、南港教堂代建及配套绿化项目，位于飞云街道，杨福庙河和桥里套河交汇处；5、孙鳌路（次纬五路至锦飞路段）道路工程，西起次纬五路，东至锦飞路；6、南滨江幼儿园，位于孙桥03-04地块；7、瑞南220KV变电站，位于南滨街道，东至斗门河滨河绿地，南至322国道，西至规划消防用地，北至蔡竹林河滨河绿地；8、322国道边沥青搅拌站，位于南滨街道，东至经22#路，南至322国道，东、北至东阁河和蔡竹林河滨河绿地；9、南滨江大道（次纬五路至锦飞路），西起次纬五路，东至锦飞路；10、南滨派出所技术用房建设项目，位于南滨街道，南滨卫生院南侧；11、飞云人民法庭建设工程，项目位于飞云街道南滨江单元06-14地块，马龙路以北，上埠河以南；12、飞云派出所业务技术用房工程，项目位于飞云街道南滨江单元06-14地块，马龙路以北，上埠河以南所；13、站前单元02-45地块（人才公寓）工程，位于侨贸小镇范围内，北至云栖路、南至云江医院、西至河流、东至侨贸大道（瑞高线）。</w:t>
            </w:r>
          </w:p>
        </w:tc>
        <w:tc>
          <w:tcPr>
            <w:tcW w:w="992" w:type="dxa"/>
            <w:tcBorders>
              <w:top w:val="nil"/>
              <w:left w:val="nil"/>
              <w:bottom w:val="single" w:color="auto" w:sz="4" w:space="0"/>
              <w:right w:val="single" w:color="auto" w:sz="4" w:space="0"/>
            </w:tcBorders>
            <w:shd w:val="clear" w:color="000000" w:fill="FFFFFF"/>
            <w:vAlign w:val="center"/>
          </w:tcPr>
          <w:p w14:paraId="4F27DC8C">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10.70 </w:t>
            </w:r>
          </w:p>
        </w:tc>
        <w:tc>
          <w:tcPr>
            <w:tcW w:w="2552" w:type="dxa"/>
            <w:tcBorders>
              <w:top w:val="nil"/>
              <w:left w:val="nil"/>
              <w:bottom w:val="single" w:color="auto" w:sz="4" w:space="0"/>
              <w:right w:val="single" w:color="auto" w:sz="4" w:space="0"/>
            </w:tcBorders>
            <w:shd w:val="clear" w:color="000000" w:fill="FFFFFF"/>
            <w:vAlign w:val="center"/>
          </w:tcPr>
          <w:p w14:paraId="61732455">
            <w:pPr>
              <w:widowControl/>
              <w:spacing w:line="240" w:lineRule="exact"/>
              <w:jc w:val="center"/>
              <w:rPr>
                <w:rFonts w:ascii="宋体" w:hAnsi="宋体" w:cs="宋体"/>
                <w:kern w:val="0"/>
                <w:sz w:val="21"/>
                <w:szCs w:val="21"/>
              </w:rPr>
            </w:pPr>
            <w:r>
              <w:rPr>
                <w:rFonts w:hint="eastAsia" w:ascii="宋体" w:hAnsi="宋体" w:cs="宋体"/>
                <w:kern w:val="0"/>
                <w:sz w:val="21"/>
                <w:szCs w:val="21"/>
              </w:rPr>
              <w:t>瑞安江南新区管委会、市教育局、市民宗局、市供电局、市公安局、市人民法院、温州海警局瑞安工作站、市交通运输局、飞云街道办事处、云周街道办事处、南滨街道办事处</w:t>
            </w:r>
          </w:p>
        </w:tc>
      </w:tr>
      <w:tr w14:paraId="219C5E13">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4C822AAC">
            <w:pPr>
              <w:widowControl/>
              <w:spacing w:line="240" w:lineRule="exact"/>
              <w:jc w:val="center"/>
              <w:rPr>
                <w:rFonts w:ascii="宋体" w:hAnsi="宋体" w:cs="宋体"/>
                <w:kern w:val="0"/>
                <w:sz w:val="21"/>
                <w:szCs w:val="21"/>
              </w:rPr>
            </w:pPr>
            <w:r>
              <w:rPr>
                <w:rFonts w:hint="eastAsia" w:ascii="宋体" w:hAnsi="宋体" w:cs="宋体"/>
                <w:kern w:val="0"/>
                <w:sz w:val="21"/>
                <w:szCs w:val="21"/>
              </w:rPr>
              <w:t>25</w:t>
            </w:r>
          </w:p>
        </w:tc>
        <w:tc>
          <w:tcPr>
            <w:tcW w:w="2269" w:type="dxa"/>
            <w:tcBorders>
              <w:top w:val="nil"/>
              <w:left w:val="nil"/>
              <w:bottom w:val="single" w:color="auto" w:sz="4" w:space="0"/>
              <w:right w:val="single" w:color="auto" w:sz="4" w:space="0"/>
            </w:tcBorders>
            <w:shd w:val="clear" w:color="000000" w:fill="FFFFFF"/>
            <w:vAlign w:val="center"/>
          </w:tcPr>
          <w:p w14:paraId="37C32B75">
            <w:pPr>
              <w:widowControl/>
              <w:spacing w:line="240" w:lineRule="exact"/>
              <w:jc w:val="center"/>
              <w:rPr>
                <w:rFonts w:ascii="宋体" w:hAnsi="宋体" w:cs="宋体"/>
                <w:kern w:val="0"/>
                <w:sz w:val="21"/>
                <w:szCs w:val="21"/>
              </w:rPr>
            </w:pPr>
            <w:r>
              <w:rPr>
                <w:rFonts w:hint="eastAsia" w:ascii="宋体" w:hAnsi="宋体" w:cs="宋体"/>
                <w:kern w:val="0"/>
                <w:sz w:val="21"/>
                <w:szCs w:val="21"/>
              </w:rPr>
              <w:t>锦湖街道礁石社区团块综合开发项目</w:t>
            </w:r>
          </w:p>
        </w:tc>
        <w:tc>
          <w:tcPr>
            <w:tcW w:w="1276" w:type="dxa"/>
            <w:tcBorders>
              <w:top w:val="nil"/>
              <w:left w:val="nil"/>
              <w:bottom w:val="single" w:color="auto" w:sz="4" w:space="0"/>
              <w:right w:val="single" w:color="auto" w:sz="4" w:space="0"/>
            </w:tcBorders>
            <w:shd w:val="clear" w:color="000000" w:fill="FFFFFF"/>
            <w:vAlign w:val="center"/>
          </w:tcPr>
          <w:p w14:paraId="01FC7E7B">
            <w:pPr>
              <w:widowControl/>
              <w:spacing w:line="240" w:lineRule="exact"/>
              <w:jc w:val="center"/>
              <w:rPr>
                <w:rFonts w:ascii="Times New Roman" w:hAnsi="Times New Roman"/>
                <w:kern w:val="0"/>
                <w:sz w:val="21"/>
                <w:szCs w:val="21"/>
              </w:rPr>
            </w:pPr>
            <w:r>
              <w:rPr>
                <w:rFonts w:ascii="Times New Roman" w:hAnsi="Times New Roman"/>
                <w:kern w:val="0"/>
                <w:sz w:val="21"/>
                <w:szCs w:val="21"/>
              </w:rPr>
              <w:t>2024</w:t>
            </w:r>
            <w:r>
              <w:rPr>
                <w:rFonts w:hint="eastAsia" w:ascii="宋体" w:hAnsi="宋体"/>
                <w:kern w:val="0"/>
                <w:sz w:val="21"/>
                <w:szCs w:val="21"/>
              </w:rPr>
              <w:t>-2029</w:t>
            </w:r>
          </w:p>
        </w:tc>
        <w:tc>
          <w:tcPr>
            <w:tcW w:w="6520" w:type="dxa"/>
            <w:tcBorders>
              <w:top w:val="nil"/>
              <w:left w:val="nil"/>
              <w:bottom w:val="single" w:color="auto" w:sz="4" w:space="0"/>
              <w:right w:val="single" w:color="auto" w:sz="4" w:space="0"/>
            </w:tcBorders>
            <w:shd w:val="clear" w:color="000000" w:fill="FFFFFF"/>
            <w:vAlign w:val="center"/>
          </w:tcPr>
          <w:p w14:paraId="6515B972">
            <w:pPr>
              <w:widowControl/>
              <w:spacing w:line="240" w:lineRule="exact"/>
              <w:rPr>
                <w:rFonts w:ascii="仿宋_GB2312" w:hAnsi="宋体" w:cs="宋体"/>
                <w:kern w:val="0"/>
                <w:sz w:val="21"/>
                <w:szCs w:val="21"/>
              </w:rPr>
            </w:pPr>
            <w:r>
              <w:rPr>
                <w:rFonts w:hint="eastAsia" w:ascii="宋体" w:hAnsi="宋体" w:cs="宋体"/>
                <w:kern w:val="0"/>
                <w:sz w:val="21"/>
                <w:szCs w:val="21"/>
              </w:rPr>
              <w:t>该项目位于锦湖街道西部，东至双山、西至铁路桥，南临瑞枫公路、北靠甬台温高速复线联络线，包含部分小横山区块，涉及礁石旧村改造、安置房建设、教育设施（幼儿园）、社会福利、广场、宗教以及市政设施建设等；其中老城西单元04-01b、04-05b地块，共1.45亩，拟用于殡葬改革服务中心建设。</w:t>
            </w:r>
            <w:r>
              <w:rPr>
                <w:rFonts w:hint="eastAsia"/>
                <w:sz w:val="21"/>
                <w:szCs w:val="21"/>
              </w:rPr>
              <w:t>规划110kv锦湖变供电用地面积4718㎡，交通枢纽用地面积34632㎡，加油加气站用地面积约5977㎡ ，工业用地面积约21796㎡。</w:t>
            </w:r>
          </w:p>
        </w:tc>
        <w:tc>
          <w:tcPr>
            <w:tcW w:w="992" w:type="dxa"/>
            <w:tcBorders>
              <w:top w:val="nil"/>
              <w:left w:val="nil"/>
              <w:bottom w:val="single" w:color="auto" w:sz="4" w:space="0"/>
              <w:right w:val="single" w:color="auto" w:sz="4" w:space="0"/>
            </w:tcBorders>
            <w:shd w:val="clear" w:color="000000" w:fill="FFFFFF"/>
            <w:vAlign w:val="center"/>
          </w:tcPr>
          <w:p w14:paraId="586E295D">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10.65 </w:t>
            </w:r>
          </w:p>
        </w:tc>
        <w:tc>
          <w:tcPr>
            <w:tcW w:w="2552" w:type="dxa"/>
            <w:tcBorders>
              <w:top w:val="nil"/>
              <w:left w:val="nil"/>
              <w:bottom w:val="single" w:color="auto" w:sz="4" w:space="0"/>
              <w:right w:val="single" w:color="auto" w:sz="4" w:space="0"/>
            </w:tcBorders>
            <w:shd w:val="clear" w:color="000000" w:fill="FFFFFF"/>
            <w:vAlign w:val="center"/>
          </w:tcPr>
          <w:p w14:paraId="7D7F6662">
            <w:pPr>
              <w:widowControl/>
              <w:spacing w:line="240" w:lineRule="exact"/>
              <w:jc w:val="center"/>
              <w:rPr>
                <w:rFonts w:ascii="宋体" w:hAnsi="宋体" w:cs="宋体"/>
                <w:kern w:val="0"/>
                <w:sz w:val="21"/>
                <w:szCs w:val="21"/>
              </w:rPr>
            </w:pPr>
            <w:r>
              <w:rPr>
                <w:rFonts w:hint="eastAsia" w:ascii="宋体" w:hAnsi="宋体" w:cs="宋体"/>
                <w:kern w:val="0"/>
                <w:sz w:val="21"/>
                <w:szCs w:val="21"/>
              </w:rPr>
              <w:t>锦湖街道办事处、瑞安安阳中心城区开发建设中心等</w:t>
            </w:r>
          </w:p>
        </w:tc>
      </w:tr>
      <w:tr w14:paraId="3EDD005B">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4BF8A477">
            <w:pPr>
              <w:widowControl/>
              <w:spacing w:line="240" w:lineRule="exact"/>
              <w:jc w:val="center"/>
              <w:rPr>
                <w:rFonts w:ascii="宋体" w:hAnsi="宋体" w:cs="宋体"/>
                <w:kern w:val="0"/>
                <w:sz w:val="21"/>
                <w:szCs w:val="21"/>
              </w:rPr>
            </w:pPr>
            <w:r>
              <w:rPr>
                <w:rFonts w:hint="eastAsia" w:ascii="宋体" w:hAnsi="宋体" w:cs="宋体"/>
                <w:kern w:val="0"/>
                <w:sz w:val="21"/>
                <w:szCs w:val="21"/>
              </w:rPr>
              <w:t>26</w:t>
            </w:r>
          </w:p>
        </w:tc>
        <w:tc>
          <w:tcPr>
            <w:tcW w:w="2269" w:type="dxa"/>
            <w:tcBorders>
              <w:top w:val="nil"/>
              <w:left w:val="nil"/>
              <w:bottom w:val="single" w:color="auto" w:sz="4" w:space="0"/>
              <w:right w:val="single" w:color="auto" w:sz="4" w:space="0"/>
            </w:tcBorders>
            <w:shd w:val="clear" w:color="000000" w:fill="FFFFFF"/>
            <w:vAlign w:val="center"/>
          </w:tcPr>
          <w:p w14:paraId="4A0D2E3C">
            <w:pPr>
              <w:widowControl/>
              <w:spacing w:line="240" w:lineRule="exact"/>
              <w:jc w:val="center"/>
              <w:rPr>
                <w:rFonts w:ascii="宋体" w:hAnsi="宋体" w:cs="宋体"/>
                <w:kern w:val="0"/>
                <w:sz w:val="21"/>
                <w:szCs w:val="21"/>
              </w:rPr>
            </w:pPr>
            <w:r>
              <w:rPr>
                <w:rFonts w:hint="eastAsia" w:ascii="宋体" w:hAnsi="宋体" w:cs="宋体"/>
                <w:kern w:val="0"/>
                <w:sz w:val="21"/>
                <w:szCs w:val="21"/>
              </w:rPr>
              <w:t>塘下城市有机更新项目</w:t>
            </w:r>
          </w:p>
        </w:tc>
        <w:tc>
          <w:tcPr>
            <w:tcW w:w="1276" w:type="dxa"/>
            <w:tcBorders>
              <w:top w:val="nil"/>
              <w:left w:val="nil"/>
              <w:bottom w:val="single" w:color="auto" w:sz="4" w:space="0"/>
              <w:right w:val="single" w:color="auto" w:sz="4" w:space="0"/>
            </w:tcBorders>
            <w:shd w:val="clear" w:color="000000" w:fill="FFFFFF"/>
            <w:noWrap/>
            <w:vAlign w:val="center"/>
          </w:tcPr>
          <w:p w14:paraId="31D6303C">
            <w:pPr>
              <w:widowControl/>
              <w:spacing w:line="240" w:lineRule="exact"/>
              <w:jc w:val="center"/>
              <w:rPr>
                <w:rFonts w:ascii="宋体" w:hAnsi="宋体" w:cs="宋体"/>
                <w:kern w:val="0"/>
                <w:sz w:val="21"/>
                <w:szCs w:val="21"/>
              </w:rPr>
            </w:pPr>
            <w:r>
              <w:rPr>
                <w:rFonts w:hint="eastAsia" w:ascii="宋体" w:hAnsi="宋体" w:cs="宋体"/>
                <w:kern w:val="0"/>
                <w:sz w:val="21"/>
                <w:szCs w:val="21"/>
              </w:rPr>
              <w:t>2023-2028</w:t>
            </w:r>
          </w:p>
        </w:tc>
        <w:tc>
          <w:tcPr>
            <w:tcW w:w="6520" w:type="dxa"/>
            <w:tcBorders>
              <w:top w:val="nil"/>
              <w:left w:val="nil"/>
              <w:bottom w:val="single" w:color="auto" w:sz="4" w:space="0"/>
              <w:right w:val="single" w:color="auto" w:sz="4" w:space="0"/>
            </w:tcBorders>
            <w:shd w:val="clear" w:color="000000" w:fill="FFFFFF"/>
            <w:vAlign w:val="center"/>
          </w:tcPr>
          <w:p w14:paraId="54A7900B">
            <w:pPr>
              <w:widowControl/>
              <w:spacing w:line="240" w:lineRule="exact"/>
              <w:rPr>
                <w:rFonts w:ascii="宋体" w:hAnsi="宋体" w:cs="宋体"/>
                <w:kern w:val="0"/>
                <w:sz w:val="21"/>
                <w:szCs w:val="21"/>
              </w:rPr>
            </w:pPr>
            <w:r>
              <w:rPr>
                <w:rFonts w:hint="eastAsia" w:ascii="宋体" w:hAnsi="宋体" w:cs="宋体"/>
                <w:kern w:val="0"/>
                <w:sz w:val="21"/>
                <w:szCs w:val="21"/>
              </w:rPr>
              <w:t>包括：上马社区城中村改造项目、鲍三村城中村改造项目、新坊社区旧村改造项目、鲍四村J地块城中村改造项目、上灶村城中村改造工程、浦桥村中村改造工程、北堡村旧村改造工程、瑞安市塘下镇邵宅社区G地块改造工程、凤川村城中村改造项目、吴岙旧村改造项目、沙岙安置房建设项目、塘口村安置房、330 国道安置房（霞林村城市有机更新）项目、塘下镇鲍田片区综合开发项目、塘下中心区南拓片城市有机更新建设工程、塘下镇九龙社区JL-7-03地块建设工程、张宅社区C-7-3地块项目、罗凤西路拆迁安置工程、官渎社区文化中心。</w:t>
            </w:r>
          </w:p>
        </w:tc>
        <w:tc>
          <w:tcPr>
            <w:tcW w:w="992" w:type="dxa"/>
            <w:tcBorders>
              <w:top w:val="nil"/>
              <w:left w:val="nil"/>
              <w:bottom w:val="single" w:color="auto" w:sz="4" w:space="0"/>
              <w:right w:val="single" w:color="auto" w:sz="4" w:space="0"/>
            </w:tcBorders>
            <w:shd w:val="clear" w:color="000000" w:fill="FFFFFF"/>
            <w:noWrap/>
            <w:vAlign w:val="center"/>
          </w:tcPr>
          <w:p w14:paraId="620EF236">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40.00 </w:t>
            </w:r>
          </w:p>
        </w:tc>
        <w:tc>
          <w:tcPr>
            <w:tcW w:w="2552" w:type="dxa"/>
            <w:tcBorders>
              <w:top w:val="nil"/>
              <w:left w:val="nil"/>
              <w:bottom w:val="single" w:color="auto" w:sz="4" w:space="0"/>
              <w:right w:val="single" w:color="auto" w:sz="4" w:space="0"/>
            </w:tcBorders>
            <w:shd w:val="clear" w:color="000000" w:fill="FFFFFF"/>
            <w:vAlign w:val="center"/>
          </w:tcPr>
          <w:p w14:paraId="17CDF758">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61756760">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132B056">
            <w:pPr>
              <w:widowControl/>
              <w:spacing w:line="240" w:lineRule="exact"/>
              <w:jc w:val="center"/>
              <w:rPr>
                <w:rFonts w:ascii="宋体" w:hAnsi="宋体" w:cs="宋体"/>
                <w:kern w:val="0"/>
                <w:sz w:val="21"/>
                <w:szCs w:val="21"/>
              </w:rPr>
            </w:pPr>
            <w:r>
              <w:rPr>
                <w:rFonts w:hint="eastAsia" w:ascii="宋体" w:hAnsi="宋体" w:cs="宋体"/>
                <w:kern w:val="0"/>
                <w:sz w:val="21"/>
                <w:szCs w:val="21"/>
              </w:rPr>
              <w:t>27</w:t>
            </w:r>
          </w:p>
        </w:tc>
        <w:tc>
          <w:tcPr>
            <w:tcW w:w="2269" w:type="dxa"/>
            <w:tcBorders>
              <w:top w:val="nil"/>
              <w:left w:val="nil"/>
              <w:bottom w:val="single" w:color="auto" w:sz="4" w:space="0"/>
              <w:right w:val="single" w:color="auto" w:sz="4" w:space="0"/>
            </w:tcBorders>
            <w:shd w:val="clear" w:color="000000" w:fill="FFFFFF"/>
            <w:vAlign w:val="center"/>
          </w:tcPr>
          <w:p w14:paraId="2E3271D6">
            <w:pPr>
              <w:widowControl/>
              <w:spacing w:line="240" w:lineRule="exact"/>
              <w:jc w:val="center"/>
              <w:rPr>
                <w:rFonts w:ascii="宋体" w:hAnsi="宋体" w:cs="宋体"/>
                <w:kern w:val="0"/>
                <w:sz w:val="21"/>
                <w:szCs w:val="21"/>
              </w:rPr>
            </w:pPr>
            <w:r>
              <w:rPr>
                <w:rFonts w:hint="eastAsia" w:ascii="宋体" w:hAnsi="宋体" w:cs="宋体"/>
                <w:kern w:val="0"/>
                <w:sz w:val="21"/>
                <w:szCs w:val="21"/>
              </w:rPr>
              <w:t>万亩千亿产业城及配套项目</w:t>
            </w:r>
          </w:p>
        </w:tc>
        <w:tc>
          <w:tcPr>
            <w:tcW w:w="1276" w:type="dxa"/>
            <w:tcBorders>
              <w:top w:val="nil"/>
              <w:left w:val="nil"/>
              <w:bottom w:val="single" w:color="auto" w:sz="4" w:space="0"/>
              <w:right w:val="single" w:color="auto" w:sz="4" w:space="0"/>
            </w:tcBorders>
            <w:shd w:val="clear" w:color="000000" w:fill="FFFFFF"/>
            <w:noWrap/>
            <w:vAlign w:val="center"/>
          </w:tcPr>
          <w:p w14:paraId="1A48C689">
            <w:pPr>
              <w:widowControl/>
              <w:spacing w:line="240" w:lineRule="exact"/>
              <w:jc w:val="center"/>
              <w:rPr>
                <w:rFonts w:ascii="宋体" w:hAnsi="宋体" w:cs="宋体"/>
                <w:kern w:val="0"/>
                <w:sz w:val="21"/>
                <w:szCs w:val="21"/>
              </w:rPr>
            </w:pPr>
            <w:r>
              <w:rPr>
                <w:rFonts w:hint="eastAsia" w:ascii="宋体" w:hAnsi="宋体" w:cs="宋体"/>
                <w:kern w:val="0"/>
                <w:sz w:val="21"/>
                <w:szCs w:val="21"/>
              </w:rPr>
              <w:t>2024-2034</w:t>
            </w:r>
          </w:p>
        </w:tc>
        <w:tc>
          <w:tcPr>
            <w:tcW w:w="6520" w:type="dxa"/>
            <w:tcBorders>
              <w:top w:val="nil"/>
              <w:left w:val="nil"/>
              <w:bottom w:val="single" w:color="auto" w:sz="4" w:space="0"/>
              <w:right w:val="single" w:color="auto" w:sz="4" w:space="0"/>
            </w:tcBorders>
            <w:shd w:val="clear" w:color="000000" w:fill="FFFFFF"/>
            <w:vAlign w:val="center"/>
          </w:tcPr>
          <w:p w14:paraId="50DC9190">
            <w:pPr>
              <w:widowControl/>
              <w:spacing w:line="240" w:lineRule="exact"/>
              <w:rPr>
                <w:rFonts w:ascii="宋体" w:hAnsi="宋体" w:cs="宋体"/>
                <w:kern w:val="0"/>
                <w:sz w:val="21"/>
                <w:szCs w:val="21"/>
              </w:rPr>
            </w:pPr>
            <w:r>
              <w:rPr>
                <w:rFonts w:hint="eastAsia" w:ascii="宋体" w:hAnsi="宋体" w:cs="宋体"/>
                <w:kern w:val="0"/>
                <w:sz w:val="21"/>
                <w:szCs w:val="21"/>
              </w:rPr>
              <w:t>瑞安市万亩千亿产业城为瑞安市国际汽摩配产业基地(东区)整体范围，东至滨海大道，南至前池路，西至凤锦路，北至月塘路的配套项目，其中项目包括前池路（凤锦路-滨海大道）、华海路（凤锦路-中塘西路）、横九路（龙瑞公路-中塘西路）、横十四路、学前路、东湖路、横六路、横三路（龙瑞公路-中塘西路）、荷塘路（龙瑞公路-康兴路）、横二路（龙瑞公路-中塘西路）、横一路（塘梅路至万东路的一小段，龙瑞公路-中塘西路）、横八路、凤锦路（横一路-荷塘路）、万东路（华海路-横十路）、环湖路、纵五路、纵一路（横九路-横十路）、中塘西路（横一路-横十路）、中塘路（场桥浦-永盛路）、康兴路（场桥浦-永盛路），国泰路、创新路等重要道路。配套项目包含模具中心、物流中心、“万亩千亿”工业邻里中心等，另有区域内的河道水系工程、绿化工程等。</w:t>
            </w:r>
          </w:p>
        </w:tc>
        <w:tc>
          <w:tcPr>
            <w:tcW w:w="992" w:type="dxa"/>
            <w:tcBorders>
              <w:top w:val="nil"/>
              <w:left w:val="nil"/>
              <w:bottom w:val="single" w:color="auto" w:sz="4" w:space="0"/>
              <w:right w:val="single" w:color="auto" w:sz="4" w:space="0"/>
            </w:tcBorders>
            <w:shd w:val="clear" w:color="000000" w:fill="FFFFFF"/>
            <w:noWrap/>
            <w:vAlign w:val="center"/>
          </w:tcPr>
          <w:p w14:paraId="5CC7F687">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30.00 </w:t>
            </w:r>
          </w:p>
        </w:tc>
        <w:tc>
          <w:tcPr>
            <w:tcW w:w="2552" w:type="dxa"/>
            <w:tcBorders>
              <w:top w:val="nil"/>
              <w:left w:val="nil"/>
              <w:bottom w:val="single" w:color="auto" w:sz="4" w:space="0"/>
              <w:right w:val="single" w:color="auto" w:sz="4" w:space="0"/>
            </w:tcBorders>
            <w:shd w:val="clear" w:color="000000" w:fill="FFFFFF"/>
            <w:vAlign w:val="center"/>
          </w:tcPr>
          <w:p w14:paraId="2A5A5F11">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0129915A">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4500845F">
            <w:pPr>
              <w:widowControl/>
              <w:spacing w:line="240" w:lineRule="exact"/>
              <w:jc w:val="center"/>
              <w:rPr>
                <w:rFonts w:ascii="宋体" w:hAnsi="宋体" w:cs="宋体"/>
                <w:kern w:val="0"/>
                <w:sz w:val="21"/>
                <w:szCs w:val="21"/>
              </w:rPr>
            </w:pPr>
            <w:r>
              <w:rPr>
                <w:rFonts w:hint="eastAsia" w:ascii="宋体" w:hAnsi="宋体" w:cs="宋体"/>
                <w:kern w:val="0"/>
                <w:sz w:val="21"/>
                <w:szCs w:val="21"/>
              </w:rPr>
              <w:t>28</w:t>
            </w:r>
          </w:p>
        </w:tc>
        <w:tc>
          <w:tcPr>
            <w:tcW w:w="2269" w:type="dxa"/>
            <w:tcBorders>
              <w:top w:val="nil"/>
              <w:left w:val="nil"/>
              <w:bottom w:val="single" w:color="auto" w:sz="4" w:space="0"/>
              <w:right w:val="single" w:color="auto" w:sz="4" w:space="0"/>
            </w:tcBorders>
            <w:shd w:val="clear" w:color="000000" w:fill="FFFFFF"/>
            <w:vAlign w:val="center"/>
          </w:tcPr>
          <w:p w14:paraId="55C05782">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塘下镇中心区综合开发项目</w:t>
            </w:r>
          </w:p>
        </w:tc>
        <w:tc>
          <w:tcPr>
            <w:tcW w:w="1276" w:type="dxa"/>
            <w:tcBorders>
              <w:top w:val="nil"/>
              <w:left w:val="nil"/>
              <w:bottom w:val="single" w:color="auto" w:sz="4" w:space="0"/>
              <w:right w:val="single" w:color="auto" w:sz="4" w:space="0"/>
            </w:tcBorders>
            <w:shd w:val="clear" w:color="000000" w:fill="FFFFFF"/>
            <w:noWrap/>
            <w:vAlign w:val="center"/>
          </w:tcPr>
          <w:p w14:paraId="36066595">
            <w:pPr>
              <w:widowControl/>
              <w:spacing w:line="240" w:lineRule="exact"/>
              <w:jc w:val="center"/>
              <w:rPr>
                <w:rFonts w:ascii="宋体" w:hAnsi="宋体" w:cs="宋体"/>
                <w:kern w:val="0"/>
                <w:sz w:val="21"/>
                <w:szCs w:val="21"/>
              </w:rPr>
            </w:pPr>
            <w:r>
              <w:rPr>
                <w:rFonts w:hint="eastAsia" w:ascii="宋体" w:hAnsi="宋体" w:cs="宋体"/>
                <w:kern w:val="0"/>
                <w:sz w:val="21"/>
                <w:szCs w:val="21"/>
              </w:rPr>
              <w:t>2024-2030</w:t>
            </w:r>
          </w:p>
        </w:tc>
        <w:tc>
          <w:tcPr>
            <w:tcW w:w="6520" w:type="dxa"/>
            <w:tcBorders>
              <w:top w:val="nil"/>
              <w:left w:val="nil"/>
              <w:bottom w:val="single" w:color="auto" w:sz="4" w:space="0"/>
              <w:right w:val="single" w:color="auto" w:sz="4" w:space="0"/>
            </w:tcBorders>
            <w:shd w:val="clear" w:color="000000" w:fill="FFFFFF"/>
            <w:vAlign w:val="center"/>
          </w:tcPr>
          <w:p w14:paraId="027BE26B">
            <w:pPr>
              <w:widowControl/>
              <w:spacing w:line="240" w:lineRule="exact"/>
              <w:rPr>
                <w:rFonts w:ascii="宋体" w:hAnsi="宋体" w:cs="宋体"/>
                <w:kern w:val="0"/>
                <w:sz w:val="21"/>
                <w:szCs w:val="21"/>
              </w:rPr>
            </w:pPr>
            <w:r>
              <w:rPr>
                <w:rFonts w:hint="eastAsia" w:ascii="宋体" w:hAnsi="宋体" w:cs="宋体"/>
                <w:kern w:val="0"/>
                <w:sz w:val="21"/>
                <w:szCs w:val="21"/>
              </w:rPr>
              <w:t>塘下中心区北靠凤凰山，西至塘下大道，南到塘梅路，东以西大街为界，总面积约395.5公顷。该区块中包括赵宅未来社区建设项目、塘下中心区专科医院建设工程、塘下镇养老康复中心、塘下中心区F-3-10地块建设、塘下总部经济园片区开发项目、汽配总部大楼项目、中心区CBD地块综合开发项目、跨境电商园等项目，新中路等道路配套设施。</w:t>
            </w:r>
          </w:p>
        </w:tc>
        <w:tc>
          <w:tcPr>
            <w:tcW w:w="992" w:type="dxa"/>
            <w:tcBorders>
              <w:top w:val="nil"/>
              <w:left w:val="nil"/>
              <w:bottom w:val="single" w:color="auto" w:sz="4" w:space="0"/>
              <w:right w:val="single" w:color="auto" w:sz="4" w:space="0"/>
            </w:tcBorders>
            <w:shd w:val="clear" w:color="000000" w:fill="FFFFFF"/>
            <w:noWrap/>
            <w:vAlign w:val="center"/>
          </w:tcPr>
          <w:p w14:paraId="109514CB">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20.00 </w:t>
            </w:r>
          </w:p>
        </w:tc>
        <w:tc>
          <w:tcPr>
            <w:tcW w:w="2552" w:type="dxa"/>
            <w:tcBorders>
              <w:top w:val="nil"/>
              <w:left w:val="nil"/>
              <w:bottom w:val="single" w:color="auto" w:sz="4" w:space="0"/>
              <w:right w:val="single" w:color="auto" w:sz="4" w:space="0"/>
            </w:tcBorders>
            <w:shd w:val="clear" w:color="000000" w:fill="FFFFFF"/>
            <w:vAlign w:val="center"/>
          </w:tcPr>
          <w:p w14:paraId="14152E2E">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7580B056">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5AC99E75">
            <w:pPr>
              <w:widowControl/>
              <w:spacing w:line="240" w:lineRule="exact"/>
              <w:jc w:val="center"/>
              <w:rPr>
                <w:rFonts w:ascii="宋体" w:hAnsi="宋体" w:cs="宋体"/>
                <w:kern w:val="0"/>
                <w:sz w:val="21"/>
                <w:szCs w:val="21"/>
              </w:rPr>
            </w:pPr>
            <w:r>
              <w:rPr>
                <w:rFonts w:hint="eastAsia" w:ascii="宋体" w:hAnsi="宋体" w:cs="宋体"/>
                <w:kern w:val="0"/>
                <w:sz w:val="21"/>
                <w:szCs w:val="21"/>
              </w:rPr>
              <w:t>29</w:t>
            </w:r>
          </w:p>
        </w:tc>
        <w:tc>
          <w:tcPr>
            <w:tcW w:w="2269" w:type="dxa"/>
            <w:tcBorders>
              <w:top w:val="nil"/>
              <w:left w:val="nil"/>
              <w:bottom w:val="single" w:color="auto" w:sz="4" w:space="0"/>
              <w:right w:val="single" w:color="auto" w:sz="4" w:space="0"/>
            </w:tcBorders>
            <w:shd w:val="clear" w:color="000000" w:fill="FFFFFF"/>
            <w:vAlign w:val="center"/>
          </w:tcPr>
          <w:p w14:paraId="18E66338">
            <w:pPr>
              <w:widowControl/>
              <w:spacing w:line="240" w:lineRule="exact"/>
              <w:jc w:val="center"/>
              <w:rPr>
                <w:rFonts w:ascii="宋体" w:hAnsi="宋体" w:cs="宋体"/>
                <w:kern w:val="0"/>
                <w:sz w:val="21"/>
                <w:szCs w:val="21"/>
              </w:rPr>
            </w:pPr>
            <w:r>
              <w:rPr>
                <w:rFonts w:hint="eastAsia" w:ascii="宋体" w:hAnsi="宋体" w:cs="宋体"/>
                <w:kern w:val="0"/>
                <w:sz w:val="21"/>
                <w:szCs w:val="21"/>
              </w:rPr>
              <w:t>安阳段沿河基础设施综合建设</w:t>
            </w:r>
          </w:p>
        </w:tc>
        <w:tc>
          <w:tcPr>
            <w:tcW w:w="1276" w:type="dxa"/>
            <w:tcBorders>
              <w:top w:val="nil"/>
              <w:left w:val="nil"/>
              <w:bottom w:val="single" w:color="auto" w:sz="4" w:space="0"/>
              <w:right w:val="single" w:color="auto" w:sz="4" w:space="0"/>
            </w:tcBorders>
            <w:shd w:val="clear" w:color="000000" w:fill="FFFFFF"/>
            <w:noWrap/>
            <w:vAlign w:val="center"/>
          </w:tcPr>
          <w:p w14:paraId="46BE0DC2">
            <w:pPr>
              <w:widowControl/>
              <w:spacing w:line="240" w:lineRule="exact"/>
              <w:jc w:val="center"/>
              <w:rPr>
                <w:rFonts w:ascii="宋体" w:hAnsi="宋体" w:cs="宋体"/>
                <w:kern w:val="0"/>
                <w:sz w:val="21"/>
                <w:szCs w:val="21"/>
              </w:rPr>
            </w:pPr>
            <w:r>
              <w:rPr>
                <w:rFonts w:hint="eastAsia" w:ascii="宋体" w:hAnsi="宋体" w:cs="宋体"/>
                <w:kern w:val="0"/>
                <w:sz w:val="21"/>
                <w:szCs w:val="21"/>
              </w:rPr>
              <w:t>2023-2025</w:t>
            </w:r>
          </w:p>
        </w:tc>
        <w:tc>
          <w:tcPr>
            <w:tcW w:w="6520" w:type="dxa"/>
            <w:tcBorders>
              <w:top w:val="nil"/>
              <w:left w:val="nil"/>
              <w:bottom w:val="single" w:color="auto" w:sz="4" w:space="0"/>
              <w:right w:val="single" w:color="auto" w:sz="4" w:space="0"/>
            </w:tcBorders>
            <w:shd w:val="clear" w:color="000000" w:fill="FFFFFF"/>
            <w:vAlign w:val="center"/>
          </w:tcPr>
          <w:p w14:paraId="50EE2EA0">
            <w:pPr>
              <w:widowControl/>
              <w:spacing w:line="240" w:lineRule="exact"/>
              <w:rPr>
                <w:rFonts w:ascii="宋体" w:hAnsi="宋体" w:cs="宋体"/>
                <w:kern w:val="0"/>
                <w:sz w:val="21"/>
                <w:szCs w:val="21"/>
              </w:rPr>
            </w:pPr>
            <w:r>
              <w:rPr>
                <w:rFonts w:hint="eastAsia" w:ascii="宋体" w:hAnsi="宋体" w:cs="宋体"/>
                <w:kern w:val="0"/>
                <w:sz w:val="21"/>
                <w:szCs w:val="21"/>
              </w:rPr>
              <w:t>对温瑞塘河安阳段沿河道路交通优化，对基础设施进行改造，对沿线立面进行改造，对两岸夜游进行灯光提升。</w:t>
            </w:r>
          </w:p>
        </w:tc>
        <w:tc>
          <w:tcPr>
            <w:tcW w:w="992" w:type="dxa"/>
            <w:tcBorders>
              <w:top w:val="nil"/>
              <w:left w:val="nil"/>
              <w:bottom w:val="single" w:color="auto" w:sz="4" w:space="0"/>
              <w:right w:val="single" w:color="auto" w:sz="4" w:space="0"/>
            </w:tcBorders>
            <w:shd w:val="clear" w:color="000000" w:fill="FFFFFF"/>
            <w:noWrap/>
            <w:vAlign w:val="center"/>
          </w:tcPr>
          <w:p w14:paraId="704C7890">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1.00 </w:t>
            </w:r>
          </w:p>
        </w:tc>
        <w:tc>
          <w:tcPr>
            <w:tcW w:w="2552" w:type="dxa"/>
            <w:tcBorders>
              <w:top w:val="nil"/>
              <w:left w:val="nil"/>
              <w:bottom w:val="single" w:color="auto" w:sz="4" w:space="0"/>
              <w:right w:val="single" w:color="auto" w:sz="4" w:space="0"/>
            </w:tcBorders>
            <w:shd w:val="clear" w:color="000000" w:fill="FFFFFF"/>
            <w:vAlign w:val="center"/>
          </w:tcPr>
          <w:p w14:paraId="248CBB8E">
            <w:pPr>
              <w:widowControl/>
              <w:spacing w:line="240" w:lineRule="exact"/>
              <w:jc w:val="center"/>
              <w:rPr>
                <w:rFonts w:ascii="宋体" w:hAnsi="宋体" w:cs="宋体"/>
                <w:kern w:val="0"/>
                <w:sz w:val="21"/>
                <w:szCs w:val="21"/>
              </w:rPr>
            </w:pPr>
            <w:r>
              <w:rPr>
                <w:rFonts w:hint="eastAsia" w:ascii="宋体" w:hAnsi="宋体" w:cs="宋体"/>
                <w:kern w:val="0"/>
                <w:sz w:val="21"/>
                <w:szCs w:val="21"/>
              </w:rPr>
              <w:t>市温瑞塘河工程建设中心、安阳街道办事处。</w:t>
            </w:r>
          </w:p>
        </w:tc>
      </w:tr>
      <w:tr w14:paraId="45CEAF1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4E954CA">
            <w:pPr>
              <w:widowControl/>
              <w:spacing w:line="240" w:lineRule="exact"/>
              <w:jc w:val="center"/>
              <w:rPr>
                <w:rFonts w:ascii="宋体" w:hAnsi="宋体" w:cs="宋体"/>
                <w:kern w:val="0"/>
                <w:sz w:val="21"/>
                <w:szCs w:val="21"/>
              </w:rPr>
            </w:pPr>
            <w:r>
              <w:rPr>
                <w:rFonts w:hint="eastAsia" w:ascii="宋体" w:hAnsi="宋体" w:cs="宋体"/>
                <w:kern w:val="0"/>
                <w:sz w:val="21"/>
                <w:szCs w:val="21"/>
              </w:rPr>
              <w:t>30</w:t>
            </w:r>
          </w:p>
        </w:tc>
        <w:tc>
          <w:tcPr>
            <w:tcW w:w="2269" w:type="dxa"/>
            <w:tcBorders>
              <w:top w:val="nil"/>
              <w:left w:val="nil"/>
              <w:bottom w:val="single" w:color="auto" w:sz="4" w:space="0"/>
              <w:right w:val="single" w:color="auto" w:sz="4" w:space="0"/>
            </w:tcBorders>
            <w:shd w:val="clear" w:color="000000" w:fill="FFFFFF"/>
            <w:vAlign w:val="center"/>
          </w:tcPr>
          <w:p w14:paraId="3684D3A0">
            <w:pPr>
              <w:widowControl/>
              <w:spacing w:line="240" w:lineRule="exact"/>
              <w:jc w:val="center"/>
              <w:rPr>
                <w:rFonts w:ascii="宋体" w:hAnsi="宋体" w:cs="宋体"/>
                <w:kern w:val="0"/>
                <w:sz w:val="21"/>
                <w:szCs w:val="21"/>
              </w:rPr>
            </w:pPr>
            <w:r>
              <w:rPr>
                <w:rFonts w:hint="eastAsia" w:ascii="宋体" w:hAnsi="宋体" w:cs="宋体"/>
                <w:kern w:val="0"/>
                <w:sz w:val="21"/>
                <w:szCs w:val="21"/>
              </w:rPr>
              <w:t>莘塍东单元综合片区开发项目</w:t>
            </w:r>
          </w:p>
        </w:tc>
        <w:tc>
          <w:tcPr>
            <w:tcW w:w="1276" w:type="dxa"/>
            <w:tcBorders>
              <w:top w:val="nil"/>
              <w:left w:val="nil"/>
              <w:bottom w:val="single" w:color="auto" w:sz="4" w:space="0"/>
              <w:right w:val="single" w:color="auto" w:sz="4" w:space="0"/>
            </w:tcBorders>
            <w:shd w:val="clear" w:color="000000" w:fill="FFFFFF"/>
            <w:vAlign w:val="center"/>
          </w:tcPr>
          <w:p w14:paraId="456EE63E">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2024-2035</w:t>
            </w:r>
          </w:p>
        </w:tc>
        <w:tc>
          <w:tcPr>
            <w:tcW w:w="6520" w:type="dxa"/>
            <w:tcBorders>
              <w:top w:val="nil"/>
              <w:left w:val="nil"/>
              <w:bottom w:val="single" w:color="auto" w:sz="4" w:space="0"/>
              <w:right w:val="single" w:color="auto" w:sz="4" w:space="0"/>
            </w:tcBorders>
            <w:shd w:val="clear" w:color="000000" w:fill="FFFFFF"/>
            <w:vAlign w:val="center"/>
          </w:tcPr>
          <w:p w14:paraId="06FDD226">
            <w:pPr>
              <w:widowControl/>
              <w:spacing w:line="240" w:lineRule="exact"/>
              <w:rPr>
                <w:rFonts w:ascii="仿宋_GB2312" w:hAnsi="宋体" w:cs="宋体"/>
                <w:sz w:val="21"/>
                <w:szCs w:val="21"/>
              </w:rPr>
            </w:pPr>
            <w:r>
              <w:rPr>
                <w:rFonts w:hint="eastAsia" w:ascii="宋体" w:hAnsi="宋体" w:cs="宋体"/>
                <w:kern w:val="0"/>
                <w:sz w:val="21"/>
                <w:szCs w:val="21"/>
              </w:rPr>
              <w:t>位于莘塍街道，以滨海大道、莘塍浦、港口大道、瑞枫线围合区域，包括住宅、工业等经营性土地及教育、医院、文体中心、社区用房、公园绿地、河流、市政道路等基础配套设施。</w:t>
            </w:r>
          </w:p>
        </w:tc>
        <w:tc>
          <w:tcPr>
            <w:tcW w:w="992" w:type="dxa"/>
            <w:tcBorders>
              <w:top w:val="nil"/>
              <w:left w:val="nil"/>
              <w:bottom w:val="single" w:color="auto" w:sz="4" w:space="0"/>
              <w:right w:val="single" w:color="auto" w:sz="4" w:space="0"/>
            </w:tcBorders>
            <w:shd w:val="clear" w:color="000000" w:fill="FFFFFF"/>
            <w:vAlign w:val="center"/>
          </w:tcPr>
          <w:p w14:paraId="06441104">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50.00 </w:t>
            </w:r>
          </w:p>
        </w:tc>
        <w:tc>
          <w:tcPr>
            <w:tcW w:w="2552" w:type="dxa"/>
            <w:tcBorders>
              <w:top w:val="nil"/>
              <w:left w:val="nil"/>
              <w:bottom w:val="single" w:color="auto" w:sz="4" w:space="0"/>
              <w:right w:val="single" w:color="auto" w:sz="4" w:space="0"/>
            </w:tcBorders>
            <w:shd w:val="clear" w:color="000000" w:fill="FFFFFF"/>
            <w:vAlign w:val="center"/>
          </w:tcPr>
          <w:p w14:paraId="19EE289D">
            <w:pPr>
              <w:widowControl/>
              <w:spacing w:line="240" w:lineRule="exact"/>
              <w:jc w:val="center"/>
              <w:rPr>
                <w:rFonts w:ascii="宋体" w:hAnsi="宋体" w:cs="宋体"/>
                <w:kern w:val="0"/>
                <w:sz w:val="21"/>
                <w:szCs w:val="21"/>
              </w:rPr>
            </w:pPr>
            <w:r>
              <w:rPr>
                <w:rFonts w:hint="eastAsia" w:ascii="宋体" w:hAnsi="宋体" w:cs="宋体"/>
                <w:kern w:val="0"/>
                <w:sz w:val="21"/>
                <w:szCs w:val="21"/>
              </w:rPr>
              <w:t>▲瑞安滨海新区管委会、莘塍街道办事处</w:t>
            </w:r>
          </w:p>
        </w:tc>
      </w:tr>
      <w:tr w14:paraId="62992425">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0355B15">
            <w:pPr>
              <w:widowControl/>
              <w:spacing w:line="240" w:lineRule="exact"/>
              <w:jc w:val="center"/>
              <w:rPr>
                <w:rFonts w:ascii="宋体" w:hAnsi="宋体" w:cs="宋体"/>
                <w:kern w:val="0"/>
                <w:sz w:val="21"/>
                <w:szCs w:val="21"/>
              </w:rPr>
            </w:pPr>
            <w:r>
              <w:rPr>
                <w:rFonts w:hint="eastAsia" w:ascii="宋体" w:hAnsi="宋体" w:cs="宋体"/>
                <w:kern w:val="0"/>
                <w:sz w:val="21"/>
                <w:szCs w:val="21"/>
              </w:rPr>
              <w:t>31</w:t>
            </w:r>
          </w:p>
        </w:tc>
        <w:tc>
          <w:tcPr>
            <w:tcW w:w="2269" w:type="dxa"/>
            <w:tcBorders>
              <w:top w:val="nil"/>
              <w:left w:val="nil"/>
              <w:bottom w:val="single" w:color="auto" w:sz="4" w:space="0"/>
              <w:right w:val="single" w:color="auto" w:sz="4" w:space="0"/>
            </w:tcBorders>
            <w:shd w:val="clear" w:color="000000" w:fill="FFFFFF"/>
            <w:vAlign w:val="center"/>
          </w:tcPr>
          <w:p w14:paraId="5C5C0CC5">
            <w:pPr>
              <w:widowControl/>
              <w:spacing w:line="240" w:lineRule="exact"/>
              <w:jc w:val="center"/>
              <w:rPr>
                <w:rFonts w:ascii="宋体" w:hAnsi="宋体" w:cs="宋体"/>
                <w:kern w:val="0"/>
                <w:sz w:val="21"/>
                <w:szCs w:val="21"/>
              </w:rPr>
            </w:pPr>
            <w:r>
              <w:rPr>
                <w:rFonts w:hint="eastAsia" w:ascii="宋体" w:hAnsi="宋体" w:cs="宋体"/>
                <w:kern w:val="0"/>
                <w:sz w:val="21"/>
                <w:szCs w:val="21"/>
              </w:rPr>
              <w:t>莘塍西单元城市更新项目</w:t>
            </w:r>
          </w:p>
        </w:tc>
        <w:tc>
          <w:tcPr>
            <w:tcW w:w="1276" w:type="dxa"/>
            <w:tcBorders>
              <w:top w:val="nil"/>
              <w:left w:val="nil"/>
              <w:bottom w:val="single" w:color="auto" w:sz="4" w:space="0"/>
              <w:right w:val="single" w:color="auto" w:sz="4" w:space="0"/>
            </w:tcBorders>
            <w:shd w:val="clear" w:color="000000" w:fill="FFFFFF"/>
            <w:vAlign w:val="center"/>
          </w:tcPr>
          <w:p w14:paraId="583C0F89">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2024-2035</w:t>
            </w:r>
          </w:p>
        </w:tc>
        <w:tc>
          <w:tcPr>
            <w:tcW w:w="6520" w:type="dxa"/>
            <w:tcBorders>
              <w:top w:val="nil"/>
              <w:left w:val="nil"/>
              <w:bottom w:val="single" w:color="auto" w:sz="4" w:space="0"/>
              <w:right w:val="single" w:color="auto" w:sz="4" w:space="0"/>
            </w:tcBorders>
            <w:shd w:val="clear" w:color="000000" w:fill="FFFFFF"/>
            <w:vAlign w:val="center"/>
          </w:tcPr>
          <w:p w14:paraId="26091352">
            <w:pPr>
              <w:widowControl/>
              <w:spacing w:line="240" w:lineRule="exact"/>
              <w:rPr>
                <w:rFonts w:ascii="宋体" w:hAnsi="宋体" w:cs="宋体"/>
                <w:kern w:val="0"/>
                <w:sz w:val="21"/>
                <w:szCs w:val="21"/>
              </w:rPr>
            </w:pPr>
            <w:r>
              <w:rPr>
                <w:rFonts w:hint="eastAsia" w:ascii="宋体" w:hAnsi="宋体" w:cs="宋体"/>
                <w:kern w:val="0"/>
                <w:sz w:val="21"/>
                <w:szCs w:val="21"/>
              </w:rPr>
              <w:t>东起温瑞塘河、南至温瑞塘河、西至温瑞大道、北至山体（山脚线），规划总用地面积约4.29平方公里。包括住宅、工业、商业、旅馆、办公等经营性土地及文化、医院、教育、体育、公园绿地、河流、市政道路等基础配套设施。</w:t>
            </w:r>
          </w:p>
        </w:tc>
        <w:tc>
          <w:tcPr>
            <w:tcW w:w="992" w:type="dxa"/>
            <w:tcBorders>
              <w:top w:val="nil"/>
              <w:left w:val="nil"/>
              <w:bottom w:val="single" w:color="auto" w:sz="4" w:space="0"/>
              <w:right w:val="single" w:color="auto" w:sz="4" w:space="0"/>
            </w:tcBorders>
            <w:shd w:val="clear" w:color="000000" w:fill="FFFFFF"/>
            <w:vAlign w:val="center"/>
          </w:tcPr>
          <w:p w14:paraId="6F730CB6">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20.00 </w:t>
            </w:r>
          </w:p>
        </w:tc>
        <w:tc>
          <w:tcPr>
            <w:tcW w:w="2552" w:type="dxa"/>
            <w:tcBorders>
              <w:top w:val="nil"/>
              <w:left w:val="nil"/>
              <w:bottom w:val="single" w:color="auto" w:sz="4" w:space="0"/>
              <w:right w:val="single" w:color="auto" w:sz="4" w:space="0"/>
            </w:tcBorders>
            <w:shd w:val="clear" w:color="000000" w:fill="FFFFFF"/>
            <w:vAlign w:val="center"/>
          </w:tcPr>
          <w:p w14:paraId="5718DD0F">
            <w:pPr>
              <w:widowControl/>
              <w:spacing w:line="240" w:lineRule="exact"/>
              <w:jc w:val="center"/>
              <w:rPr>
                <w:rFonts w:ascii="宋体" w:hAnsi="宋体" w:cs="宋体"/>
                <w:kern w:val="0"/>
                <w:sz w:val="21"/>
                <w:szCs w:val="21"/>
              </w:rPr>
            </w:pPr>
            <w:r>
              <w:rPr>
                <w:rFonts w:hint="eastAsia" w:ascii="宋体" w:hAnsi="宋体" w:cs="宋体"/>
                <w:kern w:val="0"/>
                <w:sz w:val="21"/>
                <w:szCs w:val="21"/>
              </w:rPr>
              <w:t>▲瑞安滨海新区管委会、莘塍街道办事处</w:t>
            </w:r>
          </w:p>
        </w:tc>
      </w:tr>
      <w:tr w14:paraId="7FA64D15">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4C887EF">
            <w:pPr>
              <w:widowControl/>
              <w:spacing w:line="240" w:lineRule="exact"/>
              <w:jc w:val="center"/>
              <w:rPr>
                <w:rFonts w:ascii="宋体" w:hAnsi="宋体" w:cs="宋体"/>
                <w:kern w:val="0"/>
                <w:sz w:val="21"/>
                <w:szCs w:val="21"/>
              </w:rPr>
            </w:pPr>
            <w:r>
              <w:rPr>
                <w:rFonts w:hint="eastAsia" w:ascii="宋体" w:hAnsi="宋体" w:cs="宋体"/>
                <w:kern w:val="0"/>
                <w:sz w:val="21"/>
                <w:szCs w:val="21"/>
              </w:rPr>
              <w:t>32</w:t>
            </w:r>
          </w:p>
        </w:tc>
        <w:tc>
          <w:tcPr>
            <w:tcW w:w="2269" w:type="dxa"/>
            <w:tcBorders>
              <w:top w:val="nil"/>
              <w:left w:val="nil"/>
              <w:bottom w:val="single" w:color="auto" w:sz="4" w:space="0"/>
              <w:right w:val="single" w:color="auto" w:sz="4" w:space="0"/>
            </w:tcBorders>
            <w:shd w:val="clear" w:color="000000" w:fill="FFFFFF"/>
            <w:vAlign w:val="center"/>
          </w:tcPr>
          <w:p w14:paraId="555A080A">
            <w:pPr>
              <w:widowControl/>
              <w:spacing w:line="240" w:lineRule="exact"/>
              <w:jc w:val="center"/>
              <w:rPr>
                <w:rFonts w:ascii="宋体" w:hAnsi="宋体" w:cs="宋体"/>
                <w:kern w:val="0"/>
                <w:sz w:val="21"/>
                <w:szCs w:val="21"/>
              </w:rPr>
            </w:pPr>
            <w:r>
              <w:rPr>
                <w:rFonts w:hint="eastAsia" w:ascii="宋体" w:hAnsi="宋体" w:cs="宋体"/>
                <w:kern w:val="0"/>
                <w:sz w:val="21"/>
                <w:szCs w:val="21"/>
              </w:rPr>
              <w:t>莘塍中单元综合片区开发项目</w:t>
            </w:r>
          </w:p>
        </w:tc>
        <w:tc>
          <w:tcPr>
            <w:tcW w:w="1276" w:type="dxa"/>
            <w:tcBorders>
              <w:top w:val="nil"/>
              <w:left w:val="nil"/>
              <w:bottom w:val="single" w:color="auto" w:sz="4" w:space="0"/>
              <w:right w:val="single" w:color="auto" w:sz="4" w:space="0"/>
            </w:tcBorders>
            <w:shd w:val="clear" w:color="000000" w:fill="FFFFFF"/>
            <w:vAlign w:val="center"/>
          </w:tcPr>
          <w:p w14:paraId="643F93EC">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2024-2035</w:t>
            </w:r>
          </w:p>
        </w:tc>
        <w:tc>
          <w:tcPr>
            <w:tcW w:w="6520" w:type="dxa"/>
            <w:tcBorders>
              <w:top w:val="nil"/>
              <w:left w:val="nil"/>
              <w:bottom w:val="single" w:color="auto" w:sz="4" w:space="0"/>
              <w:right w:val="single" w:color="auto" w:sz="4" w:space="0"/>
            </w:tcBorders>
            <w:shd w:val="clear" w:color="000000" w:fill="FFFFFF"/>
            <w:vAlign w:val="center"/>
          </w:tcPr>
          <w:p w14:paraId="108A62F7">
            <w:pPr>
              <w:widowControl/>
              <w:spacing w:line="240" w:lineRule="exact"/>
              <w:rPr>
                <w:rFonts w:ascii="宋体" w:hAnsi="宋体" w:cs="宋体"/>
                <w:kern w:val="0"/>
                <w:sz w:val="21"/>
                <w:szCs w:val="21"/>
              </w:rPr>
            </w:pPr>
            <w:r>
              <w:rPr>
                <w:rFonts w:hint="eastAsia" w:ascii="宋体" w:hAnsi="宋体" w:cs="宋体"/>
                <w:kern w:val="0"/>
                <w:sz w:val="21"/>
                <w:szCs w:val="21"/>
              </w:rPr>
              <w:t>西起温瑞塘河、南至九里浦、东至港口大道、北至瑞枫快速路,规划总用地面积约 4.24 平方公里。包括住宅、工业、商业、旅馆、办公等经营性土地及文化、医院、教育、体育、公园绿地、河流、市政道路等基础配套设施。</w:t>
            </w:r>
          </w:p>
        </w:tc>
        <w:tc>
          <w:tcPr>
            <w:tcW w:w="992" w:type="dxa"/>
            <w:tcBorders>
              <w:top w:val="nil"/>
              <w:left w:val="nil"/>
              <w:bottom w:val="single" w:color="auto" w:sz="4" w:space="0"/>
              <w:right w:val="single" w:color="auto" w:sz="4" w:space="0"/>
            </w:tcBorders>
            <w:shd w:val="clear" w:color="000000" w:fill="FFFFFF"/>
            <w:vAlign w:val="center"/>
          </w:tcPr>
          <w:p w14:paraId="7B10A728">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50.00 </w:t>
            </w:r>
          </w:p>
        </w:tc>
        <w:tc>
          <w:tcPr>
            <w:tcW w:w="2552" w:type="dxa"/>
            <w:tcBorders>
              <w:top w:val="nil"/>
              <w:left w:val="nil"/>
              <w:bottom w:val="single" w:color="auto" w:sz="4" w:space="0"/>
              <w:right w:val="single" w:color="auto" w:sz="4" w:space="0"/>
            </w:tcBorders>
            <w:shd w:val="clear" w:color="000000" w:fill="FFFFFF"/>
            <w:vAlign w:val="center"/>
          </w:tcPr>
          <w:p w14:paraId="30507D08">
            <w:pPr>
              <w:widowControl/>
              <w:spacing w:line="240" w:lineRule="exact"/>
              <w:jc w:val="center"/>
              <w:rPr>
                <w:rFonts w:ascii="宋体" w:hAnsi="宋体" w:cs="宋体"/>
                <w:kern w:val="0"/>
                <w:sz w:val="21"/>
                <w:szCs w:val="21"/>
              </w:rPr>
            </w:pPr>
            <w:r>
              <w:rPr>
                <w:rFonts w:hint="eastAsia" w:ascii="宋体" w:hAnsi="宋体" w:cs="宋体"/>
                <w:kern w:val="0"/>
                <w:sz w:val="21"/>
                <w:szCs w:val="21"/>
              </w:rPr>
              <w:t>▲瑞安滨海新区管委会、莘塍街道办事处</w:t>
            </w:r>
          </w:p>
        </w:tc>
      </w:tr>
      <w:tr w14:paraId="713236D3">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AAD03AB">
            <w:pPr>
              <w:widowControl/>
              <w:spacing w:line="240" w:lineRule="exact"/>
              <w:jc w:val="center"/>
              <w:rPr>
                <w:rFonts w:ascii="宋体" w:hAnsi="宋体" w:cs="宋体"/>
                <w:kern w:val="0"/>
                <w:sz w:val="21"/>
                <w:szCs w:val="21"/>
              </w:rPr>
            </w:pPr>
            <w:r>
              <w:rPr>
                <w:rFonts w:hint="eastAsia" w:ascii="宋体" w:hAnsi="宋体" w:cs="宋体"/>
                <w:kern w:val="0"/>
                <w:sz w:val="21"/>
                <w:szCs w:val="21"/>
              </w:rPr>
              <w:t>33</w:t>
            </w:r>
          </w:p>
        </w:tc>
        <w:tc>
          <w:tcPr>
            <w:tcW w:w="2269" w:type="dxa"/>
            <w:tcBorders>
              <w:top w:val="nil"/>
              <w:left w:val="nil"/>
              <w:bottom w:val="single" w:color="auto" w:sz="4" w:space="0"/>
              <w:right w:val="single" w:color="auto" w:sz="4" w:space="0"/>
            </w:tcBorders>
            <w:shd w:val="clear" w:color="000000" w:fill="FFFFFF"/>
            <w:vAlign w:val="center"/>
          </w:tcPr>
          <w:p w14:paraId="4CF9C093">
            <w:pPr>
              <w:widowControl/>
              <w:spacing w:line="240" w:lineRule="exact"/>
              <w:jc w:val="center"/>
              <w:rPr>
                <w:rFonts w:ascii="宋体" w:hAnsi="宋体" w:cs="宋体"/>
                <w:kern w:val="0"/>
                <w:sz w:val="21"/>
                <w:szCs w:val="21"/>
              </w:rPr>
            </w:pPr>
            <w:r>
              <w:rPr>
                <w:rFonts w:hint="eastAsia" w:ascii="宋体" w:hAnsi="宋体" w:cs="宋体"/>
                <w:kern w:val="0"/>
                <w:sz w:val="21"/>
                <w:szCs w:val="21"/>
              </w:rPr>
              <w:t>汀田中单元综合片区开发项目</w:t>
            </w:r>
          </w:p>
        </w:tc>
        <w:tc>
          <w:tcPr>
            <w:tcW w:w="1276" w:type="dxa"/>
            <w:tcBorders>
              <w:top w:val="nil"/>
              <w:left w:val="nil"/>
              <w:bottom w:val="single" w:color="auto" w:sz="4" w:space="0"/>
              <w:right w:val="single" w:color="auto" w:sz="4" w:space="0"/>
            </w:tcBorders>
            <w:shd w:val="clear" w:color="000000" w:fill="FFFFFF"/>
            <w:vAlign w:val="center"/>
          </w:tcPr>
          <w:p w14:paraId="2B47802E">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2024-2035</w:t>
            </w:r>
          </w:p>
        </w:tc>
        <w:tc>
          <w:tcPr>
            <w:tcW w:w="6520" w:type="dxa"/>
            <w:tcBorders>
              <w:top w:val="nil"/>
              <w:left w:val="nil"/>
              <w:bottom w:val="single" w:color="auto" w:sz="4" w:space="0"/>
              <w:right w:val="single" w:color="auto" w:sz="4" w:space="0"/>
            </w:tcBorders>
            <w:shd w:val="clear" w:color="000000" w:fill="FFFFFF"/>
            <w:vAlign w:val="center"/>
          </w:tcPr>
          <w:p w14:paraId="26206F31">
            <w:pPr>
              <w:widowControl/>
              <w:spacing w:line="240" w:lineRule="exact"/>
              <w:rPr>
                <w:rFonts w:ascii="宋体" w:hAnsi="宋体" w:cs="宋体"/>
                <w:kern w:val="0"/>
                <w:sz w:val="21"/>
                <w:szCs w:val="21"/>
              </w:rPr>
            </w:pPr>
            <w:r>
              <w:rPr>
                <w:rFonts w:hint="eastAsia" w:ascii="宋体" w:hAnsi="宋体" w:cs="宋体"/>
                <w:kern w:val="0"/>
                <w:sz w:val="21"/>
                <w:szCs w:val="21"/>
              </w:rPr>
              <w:t>东至滨海大道,南至瑞枫大道,西至东新路,北至振兴路、横十路及汀田街道行政界线,总用地面积 7.06 平方公里。包括住宅、工业、商业、办公等经营性土地及教育、公园绿地、河流、市政道路等基础配套设施。</w:t>
            </w:r>
          </w:p>
        </w:tc>
        <w:tc>
          <w:tcPr>
            <w:tcW w:w="992" w:type="dxa"/>
            <w:tcBorders>
              <w:top w:val="nil"/>
              <w:left w:val="nil"/>
              <w:bottom w:val="single" w:color="auto" w:sz="4" w:space="0"/>
              <w:right w:val="single" w:color="auto" w:sz="4" w:space="0"/>
            </w:tcBorders>
            <w:shd w:val="clear" w:color="000000" w:fill="FFFFFF"/>
            <w:vAlign w:val="center"/>
          </w:tcPr>
          <w:p w14:paraId="468E7171">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60.00 </w:t>
            </w:r>
          </w:p>
        </w:tc>
        <w:tc>
          <w:tcPr>
            <w:tcW w:w="2552" w:type="dxa"/>
            <w:tcBorders>
              <w:top w:val="nil"/>
              <w:left w:val="nil"/>
              <w:bottom w:val="single" w:color="auto" w:sz="4" w:space="0"/>
              <w:right w:val="single" w:color="auto" w:sz="4" w:space="0"/>
            </w:tcBorders>
            <w:shd w:val="clear" w:color="000000" w:fill="FFFFFF"/>
            <w:vAlign w:val="center"/>
          </w:tcPr>
          <w:p w14:paraId="28D583C7">
            <w:pPr>
              <w:widowControl/>
              <w:spacing w:line="240" w:lineRule="exact"/>
              <w:jc w:val="center"/>
              <w:rPr>
                <w:rFonts w:ascii="宋体" w:hAnsi="宋体" w:cs="宋体"/>
                <w:kern w:val="0"/>
                <w:sz w:val="21"/>
                <w:szCs w:val="21"/>
              </w:rPr>
            </w:pPr>
            <w:r>
              <w:rPr>
                <w:rFonts w:hint="eastAsia" w:ascii="宋体" w:hAnsi="宋体" w:cs="宋体"/>
                <w:kern w:val="0"/>
                <w:sz w:val="21"/>
                <w:szCs w:val="21"/>
              </w:rPr>
              <w:t>▲瑞安滨海新区管委会、汀田街道办事处</w:t>
            </w:r>
          </w:p>
        </w:tc>
      </w:tr>
      <w:tr w14:paraId="3E32967B">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5B0C9036">
            <w:pPr>
              <w:widowControl/>
              <w:spacing w:line="240" w:lineRule="exact"/>
              <w:jc w:val="center"/>
              <w:rPr>
                <w:rFonts w:ascii="宋体" w:hAnsi="宋体" w:cs="宋体"/>
                <w:kern w:val="0"/>
                <w:sz w:val="21"/>
                <w:szCs w:val="21"/>
              </w:rPr>
            </w:pPr>
            <w:r>
              <w:rPr>
                <w:rFonts w:hint="eastAsia" w:ascii="宋体" w:hAnsi="宋体" w:cs="宋体"/>
                <w:kern w:val="0"/>
                <w:sz w:val="21"/>
                <w:szCs w:val="21"/>
              </w:rPr>
              <w:t>34</w:t>
            </w:r>
          </w:p>
        </w:tc>
        <w:tc>
          <w:tcPr>
            <w:tcW w:w="2269" w:type="dxa"/>
            <w:tcBorders>
              <w:top w:val="nil"/>
              <w:left w:val="nil"/>
              <w:bottom w:val="single" w:color="auto" w:sz="4" w:space="0"/>
              <w:right w:val="single" w:color="auto" w:sz="4" w:space="0"/>
            </w:tcBorders>
            <w:shd w:val="clear" w:color="000000" w:fill="FFFFFF"/>
            <w:vAlign w:val="center"/>
          </w:tcPr>
          <w:p w14:paraId="482ACB8E">
            <w:pPr>
              <w:widowControl/>
              <w:spacing w:line="240" w:lineRule="exact"/>
              <w:jc w:val="center"/>
              <w:rPr>
                <w:rFonts w:ascii="宋体" w:hAnsi="宋体" w:cs="宋体"/>
                <w:kern w:val="0"/>
                <w:sz w:val="21"/>
                <w:szCs w:val="21"/>
              </w:rPr>
            </w:pPr>
            <w:r>
              <w:rPr>
                <w:rFonts w:hint="eastAsia" w:ascii="宋体" w:hAnsi="宋体" w:cs="宋体"/>
                <w:kern w:val="0"/>
                <w:sz w:val="21"/>
                <w:szCs w:val="21"/>
              </w:rPr>
              <w:t>汀田街道城市更新项目</w:t>
            </w:r>
          </w:p>
        </w:tc>
        <w:tc>
          <w:tcPr>
            <w:tcW w:w="1276" w:type="dxa"/>
            <w:tcBorders>
              <w:top w:val="nil"/>
              <w:left w:val="nil"/>
              <w:bottom w:val="single" w:color="auto" w:sz="4" w:space="0"/>
              <w:right w:val="single" w:color="auto" w:sz="4" w:space="0"/>
            </w:tcBorders>
            <w:shd w:val="clear" w:color="000000" w:fill="FFFFFF"/>
            <w:vAlign w:val="center"/>
          </w:tcPr>
          <w:p w14:paraId="62B21B71">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2024-2035</w:t>
            </w:r>
          </w:p>
        </w:tc>
        <w:tc>
          <w:tcPr>
            <w:tcW w:w="6520" w:type="dxa"/>
            <w:tcBorders>
              <w:top w:val="nil"/>
              <w:left w:val="nil"/>
              <w:bottom w:val="single" w:color="auto" w:sz="4" w:space="0"/>
              <w:right w:val="single" w:color="auto" w:sz="4" w:space="0"/>
            </w:tcBorders>
            <w:shd w:val="clear" w:color="000000" w:fill="FFFFFF"/>
            <w:vAlign w:val="center"/>
          </w:tcPr>
          <w:p w14:paraId="3FF5C9BE">
            <w:pPr>
              <w:widowControl/>
              <w:spacing w:line="240" w:lineRule="exact"/>
              <w:rPr>
                <w:rFonts w:ascii="宋体" w:hAnsi="宋体" w:cs="宋体"/>
                <w:kern w:val="0"/>
                <w:sz w:val="21"/>
                <w:szCs w:val="21"/>
              </w:rPr>
            </w:pPr>
            <w:r>
              <w:rPr>
                <w:rFonts w:hint="eastAsia" w:ascii="宋体" w:hAnsi="宋体" w:cs="宋体"/>
                <w:kern w:val="0"/>
                <w:sz w:val="21"/>
                <w:szCs w:val="21"/>
              </w:rPr>
              <w:t>汀田街道东新路以西范围，包括旧村拆迁、市政道路建设、公配设施、商务办公、商业等综合开发。</w:t>
            </w:r>
          </w:p>
        </w:tc>
        <w:tc>
          <w:tcPr>
            <w:tcW w:w="992" w:type="dxa"/>
            <w:tcBorders>
              <w:top w:val="nil"/>
              <w:left w:val="nil"/>
              <w:bottom w:val="single" w:color="auto" w:sz="4" w:space="0"/>
              <w:right w:val="single" w:color="auto" w:sz="4" w:space="0"/>
            </w:tcBorders>
            <w:shd w:val="clear" w:color="000000" w:fill="FFFFFF"/>
            <w:vAlign w:val="center"/>
          </w:tcPr>
          <w:p w14:paraId="57F63A63">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40.00 </w:t>
            </w:r>
          </w:p>
        </w:tc>
        <w:tc>
          <w:tcPr>
            <w:tcW w:w="2552" w:type="dxa"/>
            <w:tcBorders>
              <w:top w:val="nil"/>
              <w:left w:val="nil"/>
              <w:bottom w:val="single" w:color="auto" w:sz="4" w:space="0"/>
              <w:right w:val="single" w:color="auto" w:sz="4" w:space="0"/>
            </w:tcBorders>
            <w:shd w:val="clear" w:color="000000" w:fill="FFFFFF"/>
            <w:vAlign w:val="center"/>
          </w:tcPr>
          <w:p w14:paraId="159A6A9A">
            <w:pPr>
              <w:widowControl/>
              <w:spacing w:line="240" w:lineRule="exact"/>
              <w:jc w:val="center"/>
              <w:rPr>
                <w:rFonts w:ascii="宋体" w:hAnsi="宋体" w:cs="宋体"/>
                <w:kern w:val="0"/>
                <w:sz w:val="21"/>
                <w:szCs w:val="21"/>
              </w:rPr>
            </w:pPr>
            <w:r>
              <w:rPr>
                <w:rFonts w:hint="eastAsia" w:ascii="宋体" w:hAnsi="宋体" w:cs="宋体"/>
                <w:kern w:val="0"/>
                <w:sz w:val="21"/>
                <w:szCs w:val="21"/>
              </w:rPr>
              <w:t>▲瑞安滨海新区管委会、汀田街道办事处</w:t>
            </w:r>
          </w:p>
        </w:tc>
      </w:tr>
      <w:tr w14:paraId="63A59823">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8043D32">
            <w:pPr>
              <w:widowControl/>
              <w:spacing w:line="240" w:lineRule="exact"/>
              <w:jc w:val="center"/>
              <w:rPr>
                <w:rFonts w:ascii="宋体" w:hAnsi="宋体" w:cs="宋体"/>
                <w:kern w:val="0"/>
                <w:sz w:val="21"/>
                <w:szCs w:val="21"/>
              </w:rPr>
            </w:pPr>
            <w:r>
              <w:rPr>
                <w:rFonts w:hint="eastAsia" w:ascii="宋体" w:hAnsi="宋体" w:cs="宋体"/>
                <w:kern w:val="0"/>
                <w:sz w:val="21"/>
                <w:szCs w:val="21"/>
              </w:rPr>
              <w:t>35</w:t>
            </w:r>
          </w:p>
        </w:tc>
        <w:tc>
          <w:tcPr>
            <w:tcW w:w="2269" w:type="dxa"/>
            <w:tcBorders>
              <w:top w:val="nil"/>
              <w:left w:val="nil"/>
              <w:bottom w:val="single" w:color="auto" w:sz="4" w:space="0"/>
              <w:right w:val="single" w:color="auto" w:sz="4" w:space="0"/>
            </w:tcBorders>
            <w:shd w:val="clear" w:color="000000" w:fill="FFFFFF"/>
            <w:vAlign w:val="center"/>
          </w:tcPr>
          <w:p w14:paraId="0A7D3541">
            <w:pPr>
              <w:widowControl/>
              <w:spacing w:line="240" w:lineRule="exact"/>
              <w:jc w:val="center"/>
              <w:rPr>
                <w:rFonts w:ascii="宋体" w:hAnsi="宋体" w:cs="宋体"/>
                <w:kern w:val="0"/>
                <w:sz w:val="21"/>
                <w:szCs w:val="21"/>
              </w:rPr>
            </w:pPr>
            <w:r>
              <w:rPr>
                <w:rFonts w:hint="eastAsia" w:ascii="宋体" w:hAnsi="宋体" w:cs="宋体"/>
                <w:kern w:val="0"/>
                <w:sz w:val="21"/>
                <w:szCs w:val="21"/>
              </w:rPr>
              <w:t>上望街道城市更新项目</w:t>
            </w:r>
          </w:p>
        </w:tc>
        <w:tc>
          <w:tcPr>
            <w:tcW w:w="1276" w:type="dxa"/>
            <w:tcBorders>
              <w:top w:val="nil"/>
              <w:left w:val="nil"/>
              <w:bottom w:val="single" w:color="auto" w:sz="4" w:space="0"/>
              <w:right w:val="single" w:color="auto" w:sz="4" w:space="0"/>
            </w:tcBorders>
            <w:shd w:val="clear" w:color="000000" w:fill="FFFFFF"/>
            <w:vAlign w:val="center"/>
          </w:tcPr>
          <w:p w14:paraId="64E1D18F">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2024-2035</w:t>
            </w:r>
          </w:p>
        </w:tc>
        <w:tc>
          <w:tcPr>
            <w:tcW w:w="6520" w:type="dxa"/>
            <w:tcBorders>
              <w:top w:val="nil"/>
              <w:left w:val="nil"/>
              <w:bottom w:val="single" w:color="auto" w:sz="4" w:space="0"/>
              <w:right w:val="single" w:color="auto" w:sz="4" w:space="0"/>
            </w:tcBorders>
            <w:shd w:val="clear" w:color="000000" w:fill="FFFFFF"/>
            <w:vAlign w:val="center"/>
          </w:tcPr>
          <w:p w14:paraId="371F27F6">
            <w:pPr>
              <w:widowControl/>
              <w:spacing w:line="240" w:lineRule="exact"/>
              <w:rPr>
                <w:rFonts w:ascii="宋体" w:hAnsi="宋体" w:cs="宋体"/>
                <w:kern w:val="0"/>
                <w:sz w:val="21"/>
                <w:szCs w:val="21"/>
              </w:rPr>
            </w:pPr>
            <w:r>
              <w:rPr>
                <w:rFonts w:hint="eastAsia" w:ascii="宋体" w:hAnsi="宋体" w:cs="宋体"/>
                <w:kern w:val="0"/>
                <w:sz w:val="21"/>
                <w:szCs w:val="21"/>
              </w:rPr>
              <w:t>上望街道东新路以东范围，包括旧村拆迁、市政道路建设、公配设施、商务办公、商业等综合开发。</w:t>
            </w:r>
          </w:p>
        </w:tc>
        <w:tc>
          <w:tcPr>
            <w:tcW w:w="992" w:type="dxa"/>
            <w:tcBorders>
              <w:top w:val="nil"/>
              <w:left w:val="nil"/>
              <w:bottom w:val="single" w:color="auto" w:sz="4" w:space="0"/>
              <w:right w:val="single" w:color="auto" w:sz="4" w:space="0"/>
            </w:tcBorders>
            <w:shd w:val="clear" w:color="000000" w:fill="FFFFFF"/>
            <w:vAlign w:val="center"/>
          </w:tcPr>
          <w:p w14:paraId="3973E7EF">
            <w:pPr>
              <w:widowControl/>
              <w:spacing w:line="240" w:lineRule="exact"/>
              <w:jc w:val="center"/>
              <w:rPr>
                <w:rFonts w:ascii="Times New Roman" w:hAnsi="Times New Roman"/>
                <w:kern w:val="0"/>
                <w:sz w:val="21"/>
                <w:szCs w:val="21"/>
              </w:rPr>
            </w:pPr>
            <w:r>
              <w:rPr>
                <w:rFonts w:ascii="Times New Roman" w:hAnsi="Times New Roman"/>
                <w:kern w:val="0"/>
                <w:sz w:val="21"/>
                <w:szCs w:val="21"/>
              </w:rPr>
              <w:t xml:space="preserve">40.00 </w:t>
            </w:r>
          </w:p>
        </w:tc>
        <w:tc>
          <w:tcPr>
            <w:tcW w:w="2552" w:type="dxa"/>
            <w:tcBorders>
              <w:top w:val="nil"/>
              <w:left w:val="nil"/>
              <w:bottom w:val="single" w:color="auto" w:sz="4" w:space="0"/>
              <w:right w:val="single" w:color="auto" w:sz="4" w:space="0"/>
            </w:tcBorders>
            <w:shd w:val="clear" w:color="000000" w:fill="FFFFFF"/>
            <w:vAlign w:val="center"/>
          </w:tcPr>
          <w:p w14:paraId="4CA6A074">
            <w:pPr>
              <w:widowControl/>
              <w:spacing w:line="240" w:lineRule="exact"/>
              <w:jc w:val="center"/>
              <w:rPr>
                <w:rFonts w:ascii="宋体" w:hAnsi="宋体" w:cs="宋体"/>
                <w:kern w:val="0"/>
                <w:sz w:val="21"/>
                <w:szCs w:val="21"/>
              </w:rPr>
            </w:pPr>
            <w:r>
              <w:rPr>
                <w:rFonts w:hint="eastAsia" w:ascii="宋体" w:hAnsi="宋体" w:cs="宋体"/>
                <w:kern w:val="0"/>
                <w:sz w:val="21"/>
                <w:szCs w:val="21"/>
              </w:rPr>
              <w:t>▲瑞安滨海新区管委会、上望街道办事处</w:t>
            </w:r>
          </w:p>
        </w:tc>
      </w:tr>
      <w:tr w14:paraId="7C7AF78F">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7CE37F4">
            <w:pPr>
              <w:widowControl/>
              <w:spacing w:line="240" w:lineRule="exact"/>
              <w:jc w:val="center"/>
              <w:rPr>
                <w:rFonts w:ascii="宋体" w:hAnsi="宋体" w:cs="宋体"/>
                <w:kern w:val="0"/>
                <w:sz w:val="21"/>
                <w:szCs w:val="21"/>
              </w:rPr>
            </w:pPr>
            <w:r>
              <w:rPr>
                <w:rFonts w:hint="eastAsia" w:ascii="宋体" w:hAnsi="宋体" w:cs="宋体"/>
                <w:kern w:val="0"/>
                <w:sz w:val="21"/>
                <w:szCs w:val="21"/>
              </w:rPr>
              <w:t>36</w:t>
            </w:r>
          </w:p>
        </w:tc>
        <w:tc>
          <w:tcPr>
            <w:tcW w:w="2269" w:type="dxa"/>
            <w:tcBorders>
              <w:top w:val="nil"/>
              <w:left w:val="nil"/>
              <w:bottom w:val="single" w:color="auto" w:sz="4" w:space="0"/>
              <w:right w:val="single" w:color="auto" w:sz="4" w:space="0"/>
            </w:tcBorders>
            <w:shd w:val="clear" w:color="000000" w:fill="FFFFFF"/>
            <w:vAlign w:val="center"/>
          </w:tcPr>
          <w:p w14:paraId="3A4E0C80">
            <w:pPr>
              <w:widowControl/>
              <w:spacing w:line="240" w:lineRule="exact"/>
              <w:jc w:val="center"/>
              <w:rPr>
                <w:rFonts w:ascii="宋体" w:hAnsi="宋体" w:cs="宋体"/>
                <w:kern w:val="0"/>
                <w:sz w:val="21"/>
                <w:szCs w:val="21"/>
              </w:rPr>
            </w:pPr>
            <w:r>
              <w:rPr>
                <w:rFonts w:hint="eastAsia" w:ascii="宋体" w:hAnsi="宋体" w:cs="宋体"/>
                <w:kern w:val="0"/>
                <w:sz w:val="21"/>
                <w:szCs w:val="21"/>
              </w:rPr>
              <w:t>高铁新城片区开发项目</w:t>
            </w:r>
          </w:p>
        </w:tc>
        <w:tc>
          <w:tcPr>
            <w:tcW w:w="1276" w:type="dxa"/>
            <w:tcBorders>
              <w:top w:val="nil"/>
              <w:left w:val="nil"/>
              <w:bottom w:val="single" w:color="auto" w:sz="4" w:space="0"/>
              <w:right w:val="single" w:color="auto" w:sz="4" w:space="0"/>
            </w:tcBorders>
            <w:shd w:val="clear" w:color="000000" w:fill="FFFFFF"/>
            <w:vAlign w:val="center"/>
          </w:tcPr>
          <w:p w14:paraId="42BEE782">
            <w:pPr>
              <w:widowControl/>
              <w:spacing w:line="240" w:lineRule="exact"/>
              <w:jc w:val="center"/>
              <w:rPr>
                <w:rFonts w:ascii="Times New Roman" w:hAnsi="Times New Roman"/>
                <w:kern w:val="0"/>
                <w:sz w:val="21"/>
                <w:szCs w:val="21"/>
              </w:rPr>
            </w:pPr>
            <w:r>
              <w:rPr>
                <w:rFonts w:ascii="Times New Roman" w:hAnsi="Times New Roman"/>
                <w:kern w:val="0"/>
                <w:sz w:val="21"/>
                <w:szCs w:val="21"/>
              </w:rPr>
              <w:t>2025-2030</w:t>
            </w:r>
          </w:p>
        </w:tc>
        <w:tc>
          <w:tcPr>
            <w:tcW w:w="6520" w:type="dxa"/>
            <w:tcBorders>
              <w:top w:val="nil"/>
              <w:left w:val="nil"/>
              <w:bottom w:val="single" w:color="auto" w:sz="4" w:space="0"/>
              <w:right w:val="single" w:color="auto" w:sz="4" w:space="0"/>
            </w:tcBorders>
            <w:shd w:val="clear" w:color="000000" w:fill="FFFFFF"/>
            <w:vAlign w:val="center"/>
          </w:tcPr>
          <w:p w14:paraId="15F042BB">
            <w:pPr>
              <w:widowControl/>
              <w:spacing w:line="240" w:lineRule="exact"/>
              <w:rPr>
                <w:rFonts w:ascii="宋体" w:hAnsi="宋体" w:cs="宋体"/>
                <w:kern w:val="0"/>
                <w:sz w:val="21"/>
                <w:szCs w:val="21"/>
              </w:rPr>
            </w:pPr>
            <w:r>
              <w:rPr>
                <w:rFonts w:hint="eastAsia" w:ascii="宋体" w:hAnsi="宋体" w:cs="宋体"/>
                <w:kern w:val="0"/>
                <w:sz w:val="21"/>
                <w:szCs w:val="21"/>
              </w:rPr>
              <w:t>位于城市核心区，北至规划民莘东路、南至世纪大道、东至规划新城路、西至滨海大道，项目总用地面积6平方公里。由商业中心、文化艺术中心、全民健身中心、工人文化活动中心、妇女儿童活动中心、青少年活动中心、科技馆、综合会展中心等组成。还包括城中路、春风路、江海路等道路工程。</w:t>
            </w:r>
          </w:p>
        </w:tc>
        <w:tc>
          <w:tcPr>
            <w:tcW w:w="992" w:type="dxa"/>
            <w:tcBorders>
              <w:top w:val="nil"/>
              <w:left w:val="nil"/>
              <w:bottom w:val="single" w:color="auto" w:sz="4" w:space="0"/>
              <w:right w:val="single" w:color="auto" w:sz="4" w:space="0"/>
            </w:tcBorders>
            <w:shd w:val="clear" w:color="000000" w:fill="FFFFFF"/>
            <w:vAlign w:val="center"/>
          </w:tcPr>
          <w:p w14:paraId="17E6B251">
            <w:pPr>
              <w:widowControl/>
              <w:spacing w:line="240" w:lineRule="exact"/>
              <w:jc w:val="center"/>
              <w:rPr>
                <w:rFonts w:ascii="Times New Roman" w:hAnsi="Times New Roman"/>
                <w:kern w:val="0"/>
                <w:sz w:val="21"/>
                <w:szCs w:val="21"/>
              </w:rPr>
            </w:pPr>
            <w:r>
              <w:rPr>
                <w:rFonts w:hint="eastAsia" w:ascii="Times New Roman" w:hAnsi="Times New Roman"/>
                <w:kern w:val="0"/>
                <w:sz w:val="21"/>
                <w:szCs w:val="21"/>
              </w:rPr>
              <w:t>60.00</w:t>
            </w:r>
          </w:p>
        </w:tc>
        <w:tc>
          <w:tcPr>
            <w:tcW w:w="2552" w:type="dxa"/>
            <w:tcBorders>
              <w:top w:val="nil"/>
              <w:left w:val="nil"/>
              <w:bottom w:val="single" w:color="auto" w:sz="4" w:space="0"/>
              <w:right w:val="single" w:color="auto" w:sz="4" w:space="0"/>
            </w:tcBorders>
            <w:shd w:val="clear" w:color="000000" w:fill="FFFFFF"/>
            <w:vAlign w:val="center"/>
          </w:tcPr>
          <w:p w14:paraId="059DFDE1">
            <w:pPr>
              <w:widowControl/>
              <w:spacing w:line="240" w:lineRule="exact"/>
              <w:jc w:val="center"/>
              <w:rPr>
                <w:rFonts w:ascii="宋体" w:hAnsi="宋体" w:cs="宋体"/>
                <w:kern w:val="0"/>
                <w:sz w:val="21"/>
                <w:szCs w:val="21"/>
              </w:rPr>
            </w:pPr>
            <w:r>
              <w:rPr>
                <w:rFonts w:hint="eastAsia" w:ascii="宋体" w:hAnsi="宋体" w:cs="宋体"/>
                <w:kern w:val="0"/>
                <w:sz w:val="21"/>
                <w:szCs w:val="21"/>
              </w:rPr>
              <w:t>▲瑞安滨海新区管委会、莘塍街道办事处、上望街道办事处</w:t>
            </w:r>
          </w:p>
        </w:tc>
      </w:tr>
      <w:tr w14:paraId="172E8345">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5750080">
            <w:pPr>
              <w:widowControl/>
              <w:spacing w:line="240" w:lineRule="exact"/>
              <w:jc w:val="center"/>
              <w:rPr>
                <w:rFonts w:ascii="宋体" w:hAnsi="宋体" w:cs="宋体"/>
                <w:kern w:val="0"/>
                <w:sz w:val="21"/>
                <w:szCs w:val="21"/>
              </w:rPr>
            </w:pPr>
            <w:r>
              <w:rPr>
                <w:rFonts w:hint="eastAsia" w:ascii="宋体" w:hAnsi="宋体" w:cs="宋体"/>
                <w:kern w:val="0"/>
                <w:sz w:val="21"/>
                <w:szCs w:val="21"/>
              </w:rPr>
              <w:t>37</w:t>
            </w:r>
          </w:p>
        </w:tc>
        <w:tc>
          <w:tcPr>
            <w:tcW w:w="2269" w:type="dxa"/>
            <w:tcBorders>
              <w:top w:val="nil"/>
              <w:left w:val="nil"/>
              <w:bottom w:val="single" w:color="auto" w:sz="4" w:space="0"/>
              <w:right w:val="single" w:color="auto" w:sz="4" w:space="0"/>
            </w:tcBorders>
            <w:shd w:val="clear" w:color="000000" w:fill="FFFFFF"/>
            <w:vAlign w:val="center"/>
          </w:tcPr>
          <w:p w14:paraId="367D3A35">
            <w:pPr>
              <w:widowControl/>
              <w:spacing w:line="240" w:lineRule="exact"/>
              <w:jc w:val="center"/>
              <w:rPr>
                <w:rFonts w:ascii="宋体" w:hAnsi="宋体" w:cs="宋体"/>
                <w:kern w:val="0"/>
                <w:sz w:val="21"/>
                <w:szCs w:val="21"/>
              </w:rPr>
            </w:pPr>
            <w:r>
              <w:rPr>
                <w:rFonts w:hint="eastAsia" w:ascii="宋体" w:hAnsi="宋体" w:cs="宋体"/>
                <w:kern w:val="0"/>
                <w:sz w:val="21"/>
                <w:szCs w:val="21"/>
              </w:rPr>
              <w:t>城市芯综合片区开发项目</w:t>
            </w:r>
          </w:p>
        </w:tc>
        <w:tc>
          <w:tcPr>
            <w:tcW w:w="1276" w:type="dxa"/>
            <w:tcBorders>
              <w:top w:val="nil"/>
              <w:left w:val="nil"/>
              <w:bottom w:val="single" w:color="auto" w:sz="4" w:space="0"/>
              <w:right w:val="single" w:color="auto" w:sz="4" w:space="0"/>
            </w:tcBorders>
            <w:shd w:val="clear" w:color="000000" w:fill="FFFFFF"/>
            <w:vAlign w:val="center"/>
          </w:tcPr>
          <w:p w14:paraId="13AFD543">
            <w:pPr>
              <w:widowControl/>
              <w:spacing w:line="240" w:lineRule="exact"/>
              <w:jc w:val="center"/>
              <w:rPr>
                <w:rFonts w:ascii="Times New Roman" w:hAnsi="Times New Roman"/>
                <w:kern w:val="0"/>
                <w:sz w:val="21"/>
                <w:szCs w:val="21"/>
              </w:rPr>
            </w:pPr>
            <w:r>
              <w:rPr>
                <w:rFonts w:ascii="Times New Roman" w:hAnsi="Times New Roman"/>
                <w:kern w:val="0"/>
                <w:sz w:val="21"/>
                <w:szCs w:val="21"/>
              </w:rPr>
              <w:t>2025-2030</w:t>
            </w:r>
          </w:p>
        </w:tc>
        <w:tc>
          <w:tcPr>
            <w:tcW w:w="6520" w:type="dxa"/>
            <w:tcBorders>
              <w:top w:val="nil"/>
              <w:left w:val="nil"/>
              <w:bottom w:val="single" w:color="auto" w:sz="4" w:space="0"/>
              <w:right w:val="single" w:color="auto" w:sz="4" w:space="0"/>
            </w:tcBorders>
            <w:shd w:val="clear" w:color="000000" w:fill="FFFFFF"/>
            <w:vAlign w:val="center"/>
          </w:tcPr>
          <w:p w14:paraId="360BD248">
            <w:pPr>
              <w:widowControl/>
              <w:spacing w:line="240" w:lineRule="exact"/>
              <w:rPr>
                <w:rFonts w:ascii="宋体" w:hAnsi="宋体" w:cs="宋体"/>
                <w:kern w:val="0"/>
                <w:sz w:val="21"/>
                <w:szCs w:val="21"/>
              </w:rPr>
            </w:pPr>
            <w:r>
              <w:rPr>
                <w:rFonts w:hint="eastAsia" w:ascii="宋体" w:hAnsi="宋体" w:cs="宋体"/>
                <w:kern w:val="0"/>
                <w:sz w:val="21"/>
                <w:szCs w:val="21"/>
              </w:rPr>
              <w:t>位于城市中心区，北至规划民莘东路、南至世纪大道、东至规划滨海大道、西至东新路，总用地面积约为6平方公里。包括城市中心区BH-06单元04-46地块开发、S2线站点TOD开发、城市中心区高级中学、城市中心区东进路幼儿园、莘塍浦沿河慢行工程二期、九里浦沿河慢行工程等。</w:t>
            </w:r>
          </w:p>
        </w:tc>
        <w:tc>
          <w:tcPr>
            <w:tcW w:w="992" w:type="dxa"/>
            <w:tcBorders>
              <w:top w:val="nil"/>
              <w:left w:val="nil"/>
              <w:bottom w:val="single" w:color="auto" w:sz="4" w:space="0"/>
              <w:right w:val="single" w:color="auto" w:sz="4" w:space="0"/>
            </w:tcBorders>
            <w:shd w:val="clear" w:color="000000" w:fill="FFFFFF"/>
            <w:vAlign w:val="center"/>
          </w:tcPr>
          <w:p w14:paraId="48403B87">
            <w:pPr>
              <w:widowControl/>
              <w:spacing w:line="240" w:lineRule="exact"/>
              <w:jc w:val="center"/>
              <w:rPr>
                <w:rFonts w:ascii="Times New Roman" w:hAnsi="Times New Roman"/>
                <w:kern w:val="0"/>
                <w:sz w:val="21"/>
                <w:szCs w:val="21"/>
              </w:rPr>
            </w:pPr>
            <w:r>
              <w:rPr>
                <w:rFonts w:hint="eastAsia" w:ascii="Times New Roman" w:hAnsi="Times New Roman"/>
                <w:kern w:val="0"/>
                <w:sz w:val="21"/>
                <w:szCs w:val="21"/>
              </w:rPr>
              <w:t>60.00</w:t>
            </w:r>
          </w:p>
        </w:tc>
        <w:tc>
          <w:tcPr>
            <w:tcW w:w="2552" w:type="dxa"/>
            <w:tcBorders>
              <w:top w:val="nil"/>
              <w:left w:val="nil"/>
              <w:bottom w:val="single" w:color="auto" w:sz="4" w:space="0"/>
              <w:right w:val="single" w:color="auto" w:sz="4" w:space="0"/>
            </w:tcBorders>
            <w:shd w:val="clear" w:color="000000" w:fill="FFFFFF"/>
            <w:vAlign w:val="center"/>
          </w:tcPr>
          <w:p w14:paraId="4182F19E">
            <w:pPr>
              <w:widowControl/>
              <w:spacing w:line="240" w:lineRule="exact"/>
              <w:jc w:val="center"/>
              <w:rPr>
                <w:rFonts w:ascii="宋体" w:hAnsi="宋体" w:cs="宋体"/>
                <w:kern w:val="0"/>
                <w:sz w:val="21"/>
                <w:szCs w:val="21"/>
              </w:rPr>
            </w:pPr>
            <w:r>
              <w:rPr>
                <w:rFonts w:hint="eastAsia" w:ascii="宋体" w:hAnsi="宋体" w:cs="宋体"/>
                <w:kern w:val="0"/>
                <w:sz w:val="21"/>
                <w:szCs w:val="21"/>
              </w:rPr>
              <w:t>▲瑞安滨海新区管委会、莘塍街道办事处、上望街道办事处</w:t>
            </w:r>
          </w:p>
        </w:tc>
      </w:tr>
      <w:tr w14:paraId="50DDB87F">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0DBAED3">
            <w:pPr>
              <w:widowControl/>
              <w:spacing w:line="240" w:lineRule="exact"/>
              <w:jc w:val="center"/>
              <w:rPr>
                <w:rFonts w:ascii="宋体" w:hAnsi="宋体" w:cs="宋体"/>
                <w:kern w:val="0"/>
                <w:sz w:val="21"/>
                <w:szCs w:val="21"/>
              </w:rPr>
            </w:pPr>
            <w:r>
              <w:rPr>
                <w:rFonts w:hint="eastAsia" w:ascii="宋体" w:hAnsi="宋体" w:cs="宋体"/>
                <w:kern w:val="0"/>
                <w:sz w:val="21"/>
                <w:szCs w:val="21"/>
              </w:rPr>
              <w:t>38</w:t>
            </w:r>
          </w:p>
        </w:tc>
        <w:tc>
          <w:tcPr>
            <w:tcW w:w="2269" w:type="dxa"/>
            <w:tcBorders>
              <w:top w:val="nil"/>
              <w:left w:val="nil"/>
              <w:bottom w:val="single" w:color="auto" w:sz="4" w:space="0"/>
              <w:right w:val="single" w:color="auto" w:sz="4" w:space="0"/>
            </w:tcBorders>
            <w:shd w:val="clear" w:color="000000" w:fill="FFFFFF"/>
            <w:vAlign w:val="center"/>
          </w:tcPr>
          <w:p w14:paraId="363ADE73">
            <w:pPr>
              <w:widowControl/>
              <w:spacing w:line="240" w:lineRule="exact"/>
              <w:jc w:val="center"/>
              <w:rPr>
                <w:rFonts w:ascii="宋体" w:hAnsi="宋体" w:cs="宋体"/>
                <w:kern w:val="0"/>
                <w:sz w:val="21"/>
                <w:szCs w:val="21"/>
              </w:rPr>
            </w:pPr>
            <w:r>
              <w:rPr>
                <w:rFonts w:hint="eastAsia" w:ascii="宋体" w:hAnsi="宋体" w:cs="宋体"/>
                <w:kern w:val="0"/>
                <w:sz w:val="21"/>
                <w:szCs w:val="21"/>
              </w:rPr>
              <w:t>陶山镇主镇区团块开发项目</w:t>
            </w:r>
          </w:p>
        </w:tc>
        <w:tc>
          <w:tcPr>
            <w:tcW w:w="1276" w:type="dxa"/>
            <w:tcBorders>
              <w:top w:val="nil"/>
              <w:left w:val="nil"/>
              <w:bottom w:val="single" w:color="auto" w:sz="4" w:space="0"/>
              <w:right w:val="single" w:color="auto" w:sz="4" w:space="0"/>
            </w:tcBorders>
            <w:shd w:val="clear" w:color="000000" w:fill="FFFFFF"/>
            <w:vAlign w:val="center"/>
          </w:tcPr>
          <w:p w14:paraId="77A7CBC6">
            <w:pPr>
              <w:widowControl/>
              <w:spacing w:line="240" w:lineRule="exact"/>
              <w:jc w:val="center"/>
              <w:rPr>
                <w:rFonts w:ascii="Times New Roman" w:hAnsi="Times New Roman"/>
                <w:kern w:val="0"/>
                <w:sz w:val="21"/>
                <w:szCs w:val="21"/>
              </w:rPr>
            </w:pPr>
            <w:r>
              <w:rPr>
                <w:rFonts w:ascii="Times New Roman" w:hAnsi="Times New Roman"/>
                <w:kern w:val="0"/>
                <w:sz w:val="21"/>
                <w:szCs w:val="21"/>
              </w:rPr>
              <w:t>2023-2025</w:t>
            </w:r>
          </w:p>
        </w:tc>
        <w:tc>
          <w:tcPr>
            <w:tcW w:w="6520" w:type="dxa"/>
            <w:tcBorders>
              <w:top w:val="nil"/>
              <w:left w:val="nil"/>
              <w:bottom w:val="single" w:color="auto" w:sz="4" w:space="0"/>
              <w:right w:val="single" w:color="auto" w:sz="4" w:space="0"/>
            </w:tcBorders>
            <w:shd w:val="clear" w:color="000000" w:fill="FFFFFF"/>
            <w:vAlign w:val="center"/>
          </w:tcPr>
          <w:p w14:paraId="3B09CB55">
            <w:pPr>
              <w:widowControl/>
              <w:spacing w:line="240" w:lineRule="exact"/>
              <w:rPr>
                <w:rFonts w:ascii="宋体" w:hAnsi="宋体" w:cs="宋体"/>
                <w:kern w:val="0"/>
                <w:sz w:val="21"/>
                <w:szCs w:val="21"/>
              </w:rPr>
            </w:pPr>
            <w:r>
              <w:rPr>
                <w:rFonts w:hint="eastAsia" w:ascii="宋体" w:hAnsi="宋体" w:cs="宋体"/>
                <w:kern w:val="0"/>
                <w:sz w:val="21"/>
                <w:szCs w:val="21"/>
              </w:rPr>
              <w:t>包括陶山镇花园底村、陶峰村、河南村等村历史征收的返回地及周边统一征收地块建设项目，返回地选址均在主镇区范围内，总用地面积约40亩，主要内容为商住及工业标准厂房等建设。</w:t>
            </w:r>
          </w:p>
        </w:tc>
        <w:tc>
          <w:tcPr>
            <w:tcW w:w="992" w:type="dxa"/>
            <w:tcBorders>
              <w:top w:val="nil"/>
              <w:left w:val="nil"/>
              <w:bottom w:val="single" w:color="auto" w:sz="4" w:space="0"/>
              <w:right w:val="single" w:color="auto" w:sz="4" w:space="0"/>
            </w:tcBorders>
            <w:shd w:val="clear" w:color="auto" w:fill="auto"/>
            <w:vAlign w:val="center"/>
          </w:tcPr>
          <w:p w14:paraId="487B45D0">
            <w:pPr>
              <w:widowControl/>
              <w:spacing w:line="240" w:lineRule="exact"/>
              <w:jc w:val="center"/>
              <w:rPr>
                <w:rFonts w:ascii="宋体" w:hAnsi="宋体" w:cs="宋体"/>
                <w:kern w:val="0"/>
                <w:sz w:val="21"/>
                <w:szCs w:val="21"/>
              </w:rPr>
            </w:pPr>
            <w:r>
              <w:rPr>
                <w:rFonts w:hint="eastAsia" w:ascii="宋体" w:hAnsi="宋体" w:cs="宋体"/>
                <w:kern w:val="0"/>
                <w:sz w:val="21"/>
                <w:szCs w:val="21"/>
              </w:rPr>
              <w:t>1.00</w:t>
            </w:r>
          </w:p>
        </w:tc>
        <w:tc>
          <w:tcPr>
            <w:tcW w:w="2552" w:type="dxa"/>
            <w:tcBorders>
              <w:top w:val="nil"/>
              <w:left w:val="nil"/>
              <w:bottom w:val="single" w:color="auto" w:sz="4" w:space="0"/>
              <w:right w:val="single" w:color="auto" w:sz="4" w:space="0"/>
            </w:tcBorders>
            <w:shd w:val="clear" w:color="000000" w:fill="FFFFFF"/>
            <w:vAlign w:val="center"/>
          </w:tcPr>
          <w:p w14:paraId="224DA3A7">
            <w:pPr>
              <w:widowControl/>
              <w:spacing w:line="240" w:lineRule="exact"/>
              <w:jc w:val="center"/>
              <w:rPr>
                <w:rFonts w:ascii="宋体" w:hAnsi="宋体" w:cs="宋体"/>
                <w:kern w:val="0"/>
                <w:sz w:val="21"/>
                <w:szCs w:val="21"/>
              </w:rPr>
            </w:pPr>
            <w:r>
              <w:rPr>
                <w:rFonts w:hint="eastAsia" w:ascii="宋体" w:hAnsi="宋体" w:cs="宋体"/>
                <w:kern w:val="0"/>
                <w:sz w:val="21"/>
                <w:szCs w:val="21"/>
              </w:rPr>
              <w:t>陶山镇政府</w:t>
            </w:r>
          </w:p>
        </w:tc>
      </w:tr>
      <w:tr w14:paraId="44ACF4C0">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80E7170">
            <w:pPr>
              <w:widowControl/>
              <w:spacing w:line="240" w:lineRule="exact"/>
              <w:jc w:val="center"/>
              <w:rPr>
                <w:rFonts w:ascii="宋体" w:hAnsi="宋体" w:cs="宋体"/>
                <w:kern w:val="0"/>
                <w:sz w:val="21"/>
                <w:szCs w:val="21"/>
              </w:rPr>
            </w:pPr>
            <w:r>
              <w:rPr>
                <w:rFonts w:hint="eastAsia" w:ascii="宋体" w:hAnsi="宋体" w:cs="宋体"/>
                <w:kern w:val="0"/>
                <w:sz w:val="21"/>
                <w:szCs w:val="21"/>
              </w:rPr>
              <w:t>39</w:t>
            </w:r>
          </w:p>
        </w:tc>
        <w:tc>
          <w:tcPr>
            <w:tcW w:w="2269" w:type="dxa"/>
            <w:tcBorders>
              <w:top w:val="nil"/>
              <w:left w:val="nil"/>
              <w:bottom w:val="single" w:color="auto" w:sz="4" w:space="0"/>
              <w:right w:val="single" w:color="auto" w:sz="4" w:space="0"/>
            </w:tcBorders>
            <w:shd w:val="clear" w:color="000000" w:fill="FFFFFF"/>
            <w:vAlign w:val="center"/>
          </w:tcPr>
          <w:p w14:paraId="681F23E4">
            <w:pPr>
              <w:widowControl/>
              <w:spacing w:line="240" w:lineRule="exact"/>
              <w:jc w:val="center"/>
              <w:rPr>
                <w:rFonts w:ascii="宋体" w:hAnsi="宋体" w:cs="宋体"/>
                <w:kern w:val="0"/>
                <w:sz w:val="21"/>
                <w:szCs w:val="21"/>
              </w:rPr>
            </w:pPr>
            <w:r>
              <w:rPr>
                <w:rFonts w:hint="eastAsia" w:ascii="宋体" w:hAnsi="宋体" w:cs="宋体"/>
                <w:kern w:val="0"/>
                <w:sz w:val="21"/>
                <w:szCs w:val="21"/>
              </w:rPr>
              <w:t>马屿镇马南B4B5地块团块改造</w:t>
            </w:r>
          </w:p>
        </w:tc>
        <w:tc>
          <w:tcPr>
            <w:tcW w:w="1276" w:type="dxa"/>
            <w:tcBorders>
              <w:top w:val="nil"/>
              <w:left w:val="nil"/>
              <w:bottom w:val="single" w:color="auto" w:sz="4" w:space="0"/>
              <w:right w:val="single" w:color="auto" w:sz="4" w:space="0"/>
            </w:tcBorders>
            <w:shd w:val="clear" w:color="000000" w:fill="FFFFFF"/>
            <w:noWrap/>
            <w:vAlign w:val="center"/>
          </w:tcPr>
          <w:p w14:paraId="18FF66B3">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677322FB">
            <w:pPr>
              <w:widowControl/>
              <w:spacing w:line="240" w:lineRule="exact"/>
              <w:rPr>
                <w:rFonts w:ascii="宋体" w:hAnsi="宋体" w:cs="宋体"/>
                <w:kern w:val="0"/>
                <w:sz w:val="21"/>
                <w:szCs w:val="21"/>
              </w:rPr>
            </w:pPr>
            <w:r>
              <w:rPr>
                <w:rFonts w:hint="eastAsia" w:ascii="宋体" w:hAnsi="宋体" w:cs="宋体"/>
                <w:kern w:val="0"/>
                <w:sz w:val="21"/>
                <w:szCs w:val="21"/>
              </w:rPr>
              <w:t>位于马屿镇三马东路与南中南路交叉口东侧，总用地面积约54139 ㎡，规划总建筑面积约113883㎡。主要建设商业与住宅以及配套道路、社区服务中心等。</w:t>
            </w:r>
          </w:p>
        </w:tc>
        <w:tc>
          <w:tcPr>
            <w:tcW w:w="992" w:type="dxa"/>
            <w:tcBorders>
              <w:top w:val="nil"/>
              <w:left w:val="nil"/>
              <w:bottom w:val="single" w:color="auto" w:sz="4" w:space="0"/>
              <w:right w:val="single" w:color="auto" w:sz="4" w:space="0"/>
            </w:tcBorders>
            <w:shd w:val="clear" w:color="000000" w:fill="FFFFFF"/>
            <w:noWrap/>
            <w:vAlign w:val="center"/>
          </w:tcPr>
          <w:p w14:paraId="47B5AF1F">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11.52 </w:t>
            </w:r>
          </w:p>
        </w:tc>
        <w:tc>
          <w:tcPr>
            <w:tcW w:w="2552" w:type="dxa"/>
            <w:tcBorders>
              <w:top w:val="nil"/>
              <w:left w:val="nil"/>
              <w:bottom w:val="single" w:color="auto" w:sz="4" w:space="0"/>
              <w:right w:val="single" w:color="auto" w:sz="4" w:space="0"/>
            </w:tcBorders>
            <w:shd w:val="clear" w:color="000000" w:fill="FFFFFF"/>
            <w:vAlign w:val="center"/>
          </w:tcPr>
          <w:p w14:paraId="55396168">
            <w:pPr>
              <w:widowControl/>
              <w:spacing w:line="240" w:lineRule="exact"/>
              <w:jc w:val="center"/>
              <w:rPr>
                <w:rFonts w:ascii="宋体" w:hAnsi="宋体" w:cs="宋体"/>
                <w:kern w:val="0"/>
                <w:sz w:val="21"/>
                <w:szCs w:val="21"/>
              </w:rPr>
            </w:pPr>
            <w:r>
              <w:rPr>
                <w:rFonts w:hint="eastAsia" w:ascii="宋体" w:hAnsi="宋体" w:cs="宋体"/>
                <w:kern w:val="0"/>
                <w:sz w:val="21"/>
                <w:szCs w:val="21"/>
              </w:rPr>
              <w:t>马屿镇政府</w:t>
            </w:r>
          </w:p>
        </w:tc>
      </w:tr>
      <w:tr w14:paraId="73F80F6A">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1A03565">
            <w:pPr>
              <w:widowControl/>
              <w:spacing w:line="240" w:lineRule="exact"/>
              <w:jc w:val="center"/>
              <w:rPr>
                <w:rFonts w:ascii="宋体" w:hAnsi="宋体" w:cs="宋体"/>
                <w:kern w:val="0"/>
                <w:sz w:val="21"/>
                <w:szCs w:val="21"/>
              </w:rPr>
            </w:pPr>
            <w:r>
              <w:rPr>
                <w:rFonts w:hint="eastAsia" w:ascii="宋体" w:hAnsi="宋体" w:cs="宋体"/>
                <w:kern w:val="0"/>
                <w:sz w:val="21"/>
                <w:szCs w:val="21"/>
              </w:rPr>
              <w:t>40</w:t>
            </w:r>
          </w:p>
        </w:tc>
        <w:tc>
          <w:tcPr>
            <w:tcW w:w="2269" w:type="dxa"/>
            <w:tcBorders>
              <w:top w:val="nil"/>
              <w:left w:val="nil"/>
              <w:bottom w:val="single" w:color="auto" w:sz="4" w:space="0"/>
              <w:right w:val="single" w:color="auto" w:sz="4" w:space="0"/>
            </w:tcBorders>
            <w:shd w:val="clear" w:color="000000" w:fill="FFFFFF"/>
            <w:vAlign w:val="center"/>
          </w:tcPr>
          <w:p w14:paraId="31623409">
            <w:pPr>
              <w:widowControl/>
              <w:spacing w:line="240" w:lineRule="exact"/>
              <w:jc w:val="center"/>
              <w:rPr>
                <w:rFonts w:ascii="宋体" w:hAnsi="宋体" w:cs="宋体"/>
                <w:kern w:val="0"/>
                <w:sz w:val="21"/>
                <w:szCs w:val="21"/>
              </w:rPr>
            </w:pPr>
            <w:r>
              <w:rPr>
                <w:rFonts w:hint="eastAsia" w:ascii="宋体" w:hAnsi="宋体" w:cs="宋体"/>
                <w:kern w:val="0"/>
                <w:sz w:val="21"/>
                <w:szCs w:val="21"/>
              </w:rPr>
              <w:t>南滨江团块拆改项目</w:t>
            </w:r>
          </w:p>
        </w:tc>
        <w:tc>
          <w:tcPr>
            <w:tcW w:w="1276" w:type="dxa"/>
            <w:tcBorders>
              <w:top w:val="nil"/>
              <w:left w:val="nil"/>
              <w:bottom w:val="single" w:color="auto" w:sz="4" w:space="0"/>
              <w:right w:val="single" w:color="auto" w:sz="4" w:space="0"/>
            </w:tcBorders>
            <w:shd w:val="clear" w:color="000000" w:fill="FFFFFF"/>
            <w:vAlign w:val="center"/>
          </w:tcPr>
          <w:p w14:paraId="413D3DD7">
            <w:pPr>
              <w:widowControl/>
              <w:spacing w:line="240" w:lineRule="exact"/>
              <w:jc w:val="center"/>
              <w:rPr>
                <w:rFonts w:ascii="Times New Roman" w:hAnsi="Times New Roman"/>
                <w:kern w:val="0"/>
                <w:sz w:val="21"/>
                <w:szCs w:val="21"/>
              </w:rPr>
            </w:pPr>
            <w:r>
              <w:rPr>
                <w:rFonts w:ascii="Times New Roman" w:hAnsi="Times New Roman"/>
                <w:kern w:val="0"/>
                <w:sz w:val="21"/>
                <w:szCs w:val="21"/>
              </w:rPr>
              <w:t>2023-2027</w:t>
            </w:r>
          </w:p>
        </w:tc>
        <w:tc>
          <w:tcPr>
            <w:tcW w:w="6520" w:type="dxa"/>
            <w:tcBorders>
              <w:top w:val="nil"/>
              <w:left w:val="nil"/>
              <w:bottom w:val="single" w:color="auto" w:sz="4" w:space="0"/>
              <w:right w:val="single" w:color="auto" w:sz="4" w:space="0"/>
            </w:tcBorders>
            <w:shd w:val="clear" w:color="000000" w:fill="FFFFFF"/>
            <w:vAlign w:val="center"/>
          </w:tcPr>
          <w:p w14:paraId="0D93F7B2">
            <w:pPr>
              <w:widowControl/>
              <w:spacing w:line="240" w:lineRule="exact"/>
              <w:rPr>
                <w:rFonts w:ascii="宋体" w:hAnsi="宋体" w:cs="宋体"/>
                <w:kern w:val="0"/>
                <w:sz w:val="21"/>
                <w:szCs w:val="21"/>
              </w:rPr>
            </w:pPr>
            <w:r>
              <w:rPr>
                <w:rFonts w:hint="eastAsia" w:ascii="宋体" w:hAnsi="宋体" w:cs="宋体"/>
                <w:kern w:val="0"/>
                <w:sz w:val="21"/>
                <w:szCs w:val="21"/>
              </w:rPr>
              <w:t>包括4个项目：1、南滨江景观带浦口团块改造工程位于飞云街道浦口村，具体位于规划支纬卅路以南，孙鳌路以西，总建筑面积约123220㎡；2、南滨江景观带南港团块改造工程位于飞云街道南港村，孙鳌路以西，支纬二十九路以南，大横河以东，支纬卅路以北，总建筑规模65610.88㎡；3、南滨江单元前金村安置房项目(08-09、08-10、09-11和09-12地块项目)位于飞云街道前金村，其中08-09、08-10地块位于南都路以南，马龙路以东，云龙路以西，09-11、09-12地块位于云龙路以东，南都路以北，规划总用地面积31415.23㎡；4、横河村、石碣门、宋家埭村和下厂村安置房项目位于飞云街道石竭门村，范围北至孙鳌路，南至祥和路，西至顺和路和石竭门河，东至盛达路，用地总面积约171亩。</w:t>
            </w:r>
          </w:p>
        </w:tc>
        <w:tc>
          <w:tcPr>
            <w:tcW w:w="992" w:type="dxa"/>
            <w:tcBorders>
              <w:top w:val="nil"/>
              <w:left w:val="nil"/>
              <w:bottom w:val="single" w:color="auto" w:sz="4" w:space="0"/>
              <w:right w:val="single" w:color="auto" w:sz="4" w:space="0"/>
            </w:tcBorders>
            <w:shd w:val="clear" w:color="000000" w:fill="FFFFFF"/>
            <w:vAlign w:val="center"/>
          </w:tcPr>
          <w:p w14:paraId="6D90030E">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53.00 </w:t>
            </w:r>
          </w:p>
        </w:tc>
        <w:tc>
          <w:tcPr>
            <w:tcW w:w="2552" w:type="dxa"/>
            <w:tcBorders>
              <w:top w:val="nil"/>
              <w:left w:val="nil"/>
              <w:bottom w:val="single" w:color="auto" w:sz="4" w:space="0"/>
              <w:right w:val="single" w:color="auto" w:sz="4" w:space="0"/>
            </w:tcBorders>
            <w:shd w:val="clear" w:color="000000" w:fill="FFFFFF"/>
            <w:vAlign w:val="center"/>
          </w:tcPr>
          <w:p w14:paraId="7B211841">
            <w:pPr>
              <w:widowControl/>
              <w:spacing w:line="240" w:lineRule="exact"/>
              <w:jc w:val="center"/>
              <w:rPr>
                <w:rFonts w:ascii="宋体" w:hAnsi="宋体" w:cs="宋体"/>
                <w:kern w:val="0"/>
                <w:sz w:val="21"/>
                <w:szCs w:val="21"/>
              </w:rPr>
            </w:pPr>
            <w:r>
              <w:rPr>
                <w:rFonts w:hint="eastAsia" w:ascii="宋体" w:hAnsi="宋体" w:cs="宋体"/>
                <w:kern w:val="0"/>
                <w:sz w:val="21"/>
                <w:szCs w:val="21"/>
              </w:rPr>
              <w:t>瑞安江南新区管委会、飞云街道办事处</w:t>
            </w:r>
          </w:p>
        </w:tc>
      </w:tr>
      <w:tr w14:paraId="4E9188DB">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9AEF787">
            <w:pPr>
              <w:widowControl/>
              <w:spacing w:line="240" w:lineRule="exact"/>
              <w:jc w:val="center"/>
              <w:rPr>
                <w:rFonts w:ascii="宋体" w:hAnsi="宋体" w:cs="宋体"/>
                <w:kern w:val="0"/>
                <w:sz w:val="21"/>
                <w:szCs w:val="21"/>
              </w:rPr>
            </w:pPr>
            <w:r>
              <w:rPr>
                <w:rFonts w:hint="eastAsia" w:ascii="宋体" w:hAnsi="宋体" w:cs="宋体"/>
                <w:kern w:val="0"/>
                <w:sz w:val="21"/>
                <w:szCs w:val="21"/>
              </w:rPr>
              <w:t>41</w:t>
            </w:r>
          </w:p>
        </w:tc>
        <w:tc>
          <w:tcPr>
            <w:tcW w:w="2269" w:type="dxa"/>
            <w:tcBorders>
              <w:top w:val="nil"/>
              <w:left w:val="nil"/>
              <w:bottom w:val="single" w:color="auto" w:sz="4" w:space="0"/>
              <w:right w:val="single" w:color="auto" w:sz="4" w:space="0"/>
            </w:tcBorders>
            <w:shd w:val="clear" w:color="000000" w:fill="FFFFFF"/>
            <w:vAlign w:val="center"/>
          </w:tcPr>
          <w:p w14:paraId="2C26F7A1">
            <w:pPr>
              <w:widowControl/>
              <w:spacing w:line="240" w:lineRule="exact"/>
              <w:jc w:val="center"/>
              <w:rPr>
                <w:rFonts w:ascii="宋体" w:hAnsi="宋体" w:cs="宋体"/>
                <w:kern w:val="0"/>
                <w:sz w:val="21"/>
                <w:szCs w:val="21"/>
              </w:rPr>
            </w:pPr>
            <w:r>
              <w:rPr>
                <w:rFonts w:hint="eastAsia" w:ascii="宋体" w:hAnsi="宋体" w:cs="宋体"/>
                <w:kern w:val="0"/>
                <w:sz w:val="21"/>
                <w:szCs w:val="21"/>
              </w:rPr>
              <w:t>南滨江片区综合开发项目</w:t>
            </w:r>
          </w:p>
        </w:tc>
        <w:tc>
          <w:tcPr>
            <w:tcW w:w="1276" w:type="dxa"/>
            <w:tcBorders>
              <w:top w:val="nil"/>
              <w:left w:val="nil"/>
              <w:bottom w:val="single" w:color="auto" w:sz="4" w:space="0"/>
              <w:right w:val="single" w:color="auto" w:sz="4" w:space="0"/>
            </w:tcBorders>
            <w:shd w:val="clear" w:color="000000" w:fill="FFFFFF"/>
            <w:vAlign w:val="center"/>
          </w:tcPr>
          <w:p w14:paraId="780B4AAD">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2024-2027</w:t>
            </w:r>
          </w:p>
        </w:tc>
        <w:tc>
          <w:tcPr>
            <w:tcW w:w="6520" w:type="dxa"/>
            <w:tcBorders>
              <w:top w:val="nil"/>
              <w:left w:val="nil"/>
              <w:bottom w:val="single" w:color="auto" w:sz="4" w:space="0"/>
              <w:right w:val="single" w:color="auto" w:sz="4" w:space="0"/>
            </w:tcBorders>
            <w:shd w:val="clear" w:color="000000" w:fill="FFFFFF"/>
            <w:vAlign w:val="center"/>
          </w:tcPr>
          <w:p w14:paraId="65742B7C">
            <w:pPr>
              <w:widowControl/>
              <w:spacing w:line="240" w:lineRule="exact"/>
              <w:rPr>
                <w:rFonts w:ascii="宋体" w:hAnsi="宋体" w:cs="宋体"/>
                <w:kern w:val="0"/>
                <w:sz w:val="21"/>
                <w:szCs w:val="21"/>
              </w:rPr>
            </w:pPr>
            <w:r>
              <w:rPr>
                <w:rFonts w:hint="eastAsia" w:ascii="宋体" w:hAnsi="宋体" w:cs="宋体"/>
                <w:kern w:val="0"/>
                <w:sz w:val="21"/>
                <w:szCs w:val="21"/>
              </w:rPr>
              <w:t>位于南滨江新区范围内，飞云江大桥东侧，范围北至飞云江、南至孙鳌路，西至次纬五路，东至锦祥路，规划为商业、住宅用地，含幼儿园、绿地等，用地面积约18公顷。</w:t>
            </w:r>
          </w:p>
        </w:tc>
        <w:tc>
          <w:tcPr>
            <w:tcW w:w="992" w:type="dxa"/>
            <w:tcBorders>
              <w:top w:val="nil"/>
              <w:left w:val="nil"/>
              <w:bottom w:val="single" w:color="auto" w:sz="4" w:space="0"/>
              <w:right w:val="single" w:color="auto" w:sz="4" w:space="0"/>
            </w:tcBorders>
            <w:shd w:val="clear" w:color="000000" w:fill="FFFFFF"/>
            <w:vAlign w:val="center"/>
          </w:tcPr>
          <w:p w14:paraId="7D246C7A">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60.00 </w:t>
            </w:r>
          </w:p>
        </w:tc>
        <w:tc>
          <w:tcPr>
            <w:tcW w:w="2552" w:type="dxa"/>
            <w:tcBorders>
              <w:top w:val="nil"/>
              <w:left w:val="nil"/>
              <w:bottom w:val="single" w:color="auto" w:sz="4" w:space="0"/>
              <w:right w:val="single" w:color="auto" w:sz="4" w:space="0"/>
            </w:tcBorders>
            <w:shd w:val="clear" w:color="000000" w:fill="FFFFFF"/>
            <w:vAlign w:val="center"/>
          </w:tcPr>
          <w:p w14:paraId="763C4F51">
            <w:pPr>
              <w:widowControl/>
              <w:spacing w:line="240" w:lineRule="exact"/>
              <w:jc w:val="center"/>
              <w:rPr>
                <w:rFonts w:ascii="宋体" w:hAnsi="宋体" w:cs="宋体"/>
                <w:kern w:val="0"/>
                <w:sz w:val="21"/>
                <w:szCs w:val="21"/>
              </w:rPr>
            </w:pPr>
            <w:r>
              <w:rPr>
                <w:rFonts w:hint="eastAsia" w:ascii="宋体" w:hAnsi="宋体" w:cs="宋体"/>
                <w:kern w:val="0"/>
                <w:sz w:val="21"/>
                <w:szCs w:val="21"/>
              </w:rPr>
              <w:t>瑞安江南新区管委会、飞云街道办事处</w:t>
            </w:r>
          </w:p>
        </w:tc>
      </w:tr>
      <w:tr w14:paraId="4515A561">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7D94083">
            <w:pPr>
              <w:widowControl/>
              <w:spacing w:line="240" w:lineRule="exact"/>
              <w:jc w:val="center"/>
              <w:rPr>
                <w:rFonts w:ascii="宋体" w:hAnsi="宋体" w:cs="宋体"/>
                <w:kern w:val="0"/>
                <w:sz w:val="21"/>
                <w:szCs w:val="21"/>
              </w:rPr>
            </w:pPr>
            <w:r>
              <w:rPr>
                <w:rFonts w:hint="eastAsia" w:ascii="宋体" w:hAnsi="宋体" w:cs="宋体"/>
                <w:kern w:val="0"/>
                <w:sz w:val="21"/>
                <w:szCs w:val="21"/>
              </w:rPr>
              <w:t>42</w:t>
            </w:r>
          </w:p>
        </w:tc>
        <w:tc>
          <w:tcPr>
            <w:tcW w:w="2269" w:type="dxa"/>
            <w:tcBorders>
              <w:top w:val="nil"/>
              <w:left w:val="nil"/>
              <w:bottom w:val="single" w:color="auto" w:sz="4" w:space="0"/>
              <w:right w:val="single" w:color="auto" w:sz="4" w:space="0"/>
            </w:tcBorders>
            <w:shd w:val="clear" w:color="000000" w:fill="FFFFFF"/>
            <w:vAlign w:val="center"/>
          </w:tcPr>
          <w:p w14:paraId="688938CC">
            <w:pPr>
              <w:widowControl/>
              <w:spacing w:line="240" w:lineRule="exact"/>
              <w:jc w:val="center"/>
              <w:rPr>
                <w:rFonts w:ascii="宋体" w:hAnsi="宋体" w:cs="宋体"/>
                <w:kern w:val="0"/>
                <w:sz w:val="21"/>
                <w:szCs w:val="21"/>
              </w:rPr>
            </w:pPr>
            <w:r>
              <w:rPr>
                <w:rFonts w:hint="eastAsia" w:ascii="宋体" w:hAnsi="宋体" w:cs="宋体"/>
                <w:kern w:val="0"/>
                <w:sz w:val="21"/>
                <w:szCs w:val="21"/>
              </w:rPr>
              <w:t>侨贸小镇路网工程</w:t>
            </w:r>
          </w:p>
        </w:tc>
        <w:tc>
          <w:tcPr>
            <w:tcW w:w="1276" w:type="dxa"/>
            <w:tcBorders>
              <w:top w:val="nil"/>
              <w:left w:val="nil"/>
              <w:bottom w:val="single" w:color="auto" w:sz="4" w:space="0"/>
              <w:right w:val="single" w:color="auto" w:sz="4" w:space="0"/>
            </w:tcBorders>
            <w:shd w:val="clear" w:color="000000" w:fill="FFFFFF"/>
            <w:vAlign w:val="center"/>
          </w:tcPr>
          <w:p w14:paraId="5D223796">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17208671">
            <w:pPr>
              <w:widowControl/>
              <w:spacing w:line="240" w:lineRule="exact"/>
              <w:rPr>
                <w:rFonts w:ascii="宋体" w:hAnsi="宋体" w:cs="宋体"/>
                <w:kern w:val="0"/>
                <w:sz w:val="21"/>
                <w:szCs w:val="21"/>
              </w:rPr>
            </w:pPr>
            <w:r>
              <w:rPr>
                <w:rFonts w:hint="eastAsia" w:ascii="宋体" w:hAnsi="宋体" w:cs="宋体"/>
                <w:kern w:val="0"/>
                <w:sz w:val="21"/>
                <w:szCs w:val="21"/>
              </w:rPr>
              <w:t>位于飞云街道和云周街道，包括瑞高公路(支经六路至瑞南大道段)、飞云江路(云栖路)、支经八路、支经十七路（云嘉路）、支纬七路、五洲路、支纬十三路（侨梦路）、支纬十四路（兴侨路）、次纬三路（侨贸大道）、支纬九路（云霞路）、西垟路（次纬五路至次纬二路段）、次纬四路（支经十六路至瑞南大道段）、次纬五路等道路。</w:t>
            </w:r>
          </w:p>
        </w:tc>
        <w:tc>
          <w:tcPr>
            <w:tcW w:w="992" w:type="dxa"/>
            <w:tcBorders>
              <w:top w:val="nil"/>
              <w:left w:val="nil"/>
              <w:bottom w:val="single" w:color="auto" w:sz="4" w:space="0"/>
              <w:right w:val="single" w:color="auto" w:sz="4" w:space="0"/>
            </w:tcBorders>
            <w:shd w:val="clear" w:color="000000" w:fill="FFFFFF"/>
            <w:vAlign w:val="center"/>
          </w:tcPr>
          <w:p w14:paraId="26CF0D82">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6.60 </w:t>
            </w:r>
          </w:p>
        </w:tc>
        <w:tc>
          <w:tcPr>
            <w:tcW w:w="2552" w:type="dxa"/>
            <w:tcBorders>
              <w:top w:val="nil"/>
              <w:left w:val="nil"/>
              <w:bottom w:val="single" w:color="auto" w:sz="4" w:space="0"/>
              <w:right w:val="single" w:color="auto" w:sz="4" w:space="0"/>
            </w:tcBorders>
            <w:shd w:val="clear" w:color="000000" w:fill="FFFFFF"/>
            <w:vAlign w:val="center"/>
          </w:tcPr>
          <w:p w14:paraId="2D39EEFA">
            <w:pPr>
              <w:widowControl/>
              <w:spacing w:line="240" w:lineRule="exact"/>
              <w:jc w:val="center"/>
              <w:rPr>
                <w:rFonts w:ascii="宋体" w:hAnsi="宋体" w:cs="宋体"/>
                <w:kern w:val="0"/>
                <w:sz w:val="21"/>
                <w:szCs w:val="21"/>
              </w:rPr>
            </w:pPr>
            <w:r>
              <w:rPr>
                <w:rFonts w:hint="eastAsia" w:ascii="宋体" w:hAnsi="宋体" w:cs="宋体"/>
                <w:kern w:val="0"/>
                <w:sz w:val="21"/>
                <w:szCs w:val="21"/>
              </w:rPr>
              <w:t>瑞安江南新区管委会、飞云街道办事处、云周街道办事处</w:t>
            </w:r>
          </w:p>
        </w:tc>
      </w:tr>
      <w:tr w14:paraId="738E7711">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78E014D">
            <w:pPr>
              <w:widowControl/>
              <w:spacing w:line="240" w:lineRule="exact"/>
              <w:jc w:val="center"/>
              <w:rPr>
                <w:rFonts w:ascii="宋体" w:hAnsi="宋体" w:cs="宋体"/>
                <w:kern w:val="0"/>
                <w:sz w:val="21"/>
                <w:szCs w:val="21"/>
              </w:rPr>
            </w:pPr>
            <w:r>
              <w:rPr>
                <w:rFonts w:hint="eastAsia" w:ascii="宋体" w:hAnsi="宋体" w:cs="宋体"/>
                <w:kern w:val="0"/>
                <w:sz w:val="21"/>
                <w:szCs w:val="21"/>
              </w:rPr>
              <w:t>43</w:t>
            </w:r>
          </w:p>
        </w:tc>
        <w:tc>
          <w:tcPr>
            <w:tcW w:w="2269" w:type="dxa"/>
            <w:tcBorders>
              <w:top w:val="nil"/>
              <w:left w:val="nil"/>
              <w:bottom w:val="single" w:color="auto" w:sz="4" w:space="0"/>
              <w:right w:val="single" w:color="auto" w:sz="4" w:space="0"/>
            </w:tcBorders>
            <w:shd w:val="clear" w:color="000000" w:fill="FFFFFF"/>
            <w:vAlign w:val="center"/>
          </w:tcPr>
          <w:p w14:paraId="1ADE587F">
            <w:pPr>
              <w:widowControl/>
              <w:spacing w:line="240" w:lineRule="exact"/>
              <w:jc w:val="center"/>
              <w:rPr>
                <w:rFonts w:ascii="宋体" w:hAnsi="宋体" w:cs="宋体"/>
                <w:kern w:val="0"/>
                <w:sz w:val="21"/>
                <w:szCs w:val="21"/>
              </w:rPr>
            </w:pPr>
            <w:r>
              <w:rPr>
                <w:rFonts w:hint="eastAsia" w:ascii="宋体" w:hAnsi="宋体" w:cs="宋体"/>
                <w:kern w:val="0"/>
                <w:sz w:val="21"/>
                <w:szCs w:val="21"/>
              </w:rPr>
              <w:t>江南时尚轻工园区基础配套设施工程</w:t>
            </w:r>
          </w:p>
        </w:tc>
        <w:tc>
          <w:tcPr>
            <w:tcW w:w="1276" w:type="dxa"/>
            <w:tcBorders>
              <w:top w:val="nil"/>
              <w:left w:val="nil"/>
              <w:bottom w:val="single" w:color="auto" w:sz="4" w:space="0"/>
              <w:right w:val="single" w:color="auto" w:sz="4" w:space="0"/>
            </w:tcBorders>
            <w:shd w:val="clear" w:color="000000" w:fill="FFFFFF"/>
            <w:vAlign w:val="center"/>
          </w:tcPr>
          <w:p w14:paraId="1E53F401">
            <w:pPr>
              <w:widowControl/>
              <w:spacing w:line="240" w:lineRule="exact"/>
              <w:jc w:val="center"/>
              <w:rPr>
                <w:rFonts w:ascii="Times New Roman" w:hAnsi="Times New Roman"/>
                <w:kern w:val="0"/>
                <w:sz w:val="21"/>
                <w:szCs w:val="21"/>
              </w:rPr>
            </w:pPr>
            <w:r>
              <w:rPr>
                <w:rFonts w:ascii="Times New Roman" w:hAnsi="Times New Roman"/>
                <w:kern w:val="0"/>
                <w:sz w:val="21"/>
                <w:szCs w:val="21"/>
              </w:rPr>
              <w:t>2024-2028</w:t>
            </w:r>
          </w:p>
        </w:tc>
        <w:tc>
          <w:tcPr>
            <w:tcW w:w="6520" w:type="dxa"/>
            <w:tcBorders>
              <w:top w:val="nil"/>
              <w:left w:val="nil"/>
              <w:bottom w:val="single" w:color="auto" w:sz="4" w:space="0"/>
              <w:right w:val="single" w:color="auto" w:sz="4" w:space="0"/>
            </w:tcBorders>
            <w:shd w:val="clear" w:color="000000" w:fill="FFFFFF"/>
            <w:vAlign w:val="center"/>
          </w:tcPr>
          <w:p w14:paraId="7A76DB38">
            <w:pPr>
              <w:widowControl/>
              <w:spacing w:line="240" w:lineRule="exact"/>
              <w:rPr>
                <w:rFonts w:ascii="宋体" w:hAnsi="宋体" w:cs="宋体"/>
                <w:kern w:val="0"/>
                <w:sz w:val="21"/>
                <w:szCs w:val="21"/>
              </w:rPr>
            </w:pPr>
            <w:r>
              <w:rPr>
                <w:rFonts w:hint="eastAsia" w:ascii="宋体" w:hAnsi="宋体" w:cs="宋体"/>
                <w:kern w:val="0"/>
                <w:sz w:val="21"/>
                <w:szCs w:val="21"/>
              </w:rPr>
              <w:t>包括小微智造园配套路网（华明路、经15#路、经19#路、纬3#路）、支经卅一路（次纬五路至飞鳌路段）、支纬卅一路（支经卅一路至322国道段）、盛达路（民心路至恒远路段）、锦祥路（新开河至322国道段）、华明路（华顺路至锦祥路段）道路新建、锦飞路(322国道至孙鳌路）道路新建、顺和路（孙鳌路至华顺路段）整治改造、华明路（锦祥路至直洪殿河段）整治改造、河道整治及疏浚等；南都路（从化路至云龙路段）道路新建、南都路（云龙路至飞龙路段）道路新建、瑞南大道（沈海高速至瑞祥大道）整治改造、东龙路（瑞南大道至瑞文公路）改建工程、南都路（飞龙路至瑞祥大道段）整治改造、飞龙路（322国道至瑞文公路段）整治改造、镇府路整治改造、河道整治及疏浚、周苌路改造提升工程等；317 乡道改造提升工程、南滨街道阁巷市政道路提升工程、孙鳌公路阁一至塘头段改造提升工程、瑞安江南新区云龙路（支经廿五路至G322国道段）一期道路工程、瑞安江南新区支经廿五路（云龙路至五中南校门段）道路工程等。</w:t>
            </w:r>
          </w:p>
        </w:tc>
        <w:tc>
          <w:tcPr>
            <w:tcW w:w="992" w:type="dxa"/>
            <w:tcBorders>
              <w:top w:val="nil"/>
              <w:left w:val="nil"/>
              <w:bottom w:val="single" w:color="auto" w:sz="4" w:space="0"/>
              <w:right w:val="single" w:color="auto" w:sz="4" w:space="0"/>
            </w:tcBorders>
            <w:shd w:val="clear" w:color="000000" w:fill="FFFFFF"/>
            <w:vAlign w:val="center"/>
          </w:tcPr>
          <w:p w14:paraId="4B3BB3DF">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17.00 </w:t>
            </w:r>
          </w:p>
        </w:tc>
        <w:tc>
          <w:tcPr>
            <w:tcW w:w="2552" w:type="dxa"/>
            <w:tcBorders>
              <w:top w:val="nil"/>
              <w:left w:val="nil"/>
              <w:bottom w:val="single" w:color="auto" w:sz="4" w:space="0"/>
              <w:right w:val="single" w:color="auto" w:sz="4" w:space="0"/>
            </w:tcBorders>
            <w:shd w:val="clear" w:color="000000" w:fill="FFFFFF"/>
            <w:vAlign w:val="center"/>
          </w:tcPr>
          <w:p w14:paraId="43E8F17E">
            <w:pPr>
              <w:widowControl/>
              <w:spacing w:line="240" w:lineRule="exact"/>
              <w:jc w:val="center"/>
              <w:rPr>
                <w:rFonts w:ascii="宋体" w:hAnsi="宋体" w:cs="宋体"/>
                <w:kern w:val="0"/>
                <w:sz w:val="21"/>
                <w:szCs w:val="21"/>
              </w:rPr>
            </w:pPr>
            <w:r>
              <w:rPr>
                <w:rFonts w:hint="eastAsia" w:ascii="宋体" w:hAnsi="宋体" w:cs="宋体"/>
                <w:kern w:val="0"/>
                <w:sz w:val="21"/>
                <w:szCs w:val="21"/>
              </w:rPr>
              <w:t>瑞安江南新区管委会、飞云街道办事处、南滨街道办事处</w:t>
            </w:r>
          </w:p>
        </w:tc>
      </w:tr>
      <w:tr w14:paraId="40AB5C8A">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062A548F">
            <w:pPr>
              <w:widowControl/>
              <w:spacing w:line="240" w:lineRule="exact"/>
              <w:jc w:val="center"/>
              <w:rPr>
                <w:rFonts w:ascii="宋体" w:hAnsi="宋体" w:cs="宋体"/>
                <w:kern w:val="0"/>
                <w:sz w:val="21"/>
                <w:szCs w:val="21"/>
              </w:rPr>
            </w:pPr>
            <w:r>
              <w:rPr>
                <w:rFonts w:hint="eastAsia" w:ascii="宋体" w:hAnsi="宋体" w:cs="宋体"/>
                <w:kern w:val="0"/>
                <w:sz w:val="21"/>
                <w:szCs w:val="21"/>
              </w:rPr>
              <w:t>44</w:t>
            </w:r>
          </w:p>
        </w:tc>
        <w:tc>
          <w:tcPr>
            <w:tcW w:w="2269" w:type="dxa"/>
            <w:tcBorders>
              <w:top w:val="nil"/>
              <w:left w:val="nil"/>
              <w:bottom w:val="single" w:color="auto" w:sz="4" w:space="0"/>
              <w:right w:val="single" w:color="auto" w:sz="4" w:space="0"/>
            </w:tcBorders>
            <w:shd w:val="clear" w:color="000000" w:fill="FFFFFF"/>
            <w:vAlign w:val="center"/>
          </w:tcPr>
          <w:p w14:paraId="2CCBCAA4">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站西单元次纬五路</w:t>
            </w:r>
          </w:p>
        </w:tc>
        <w:tc>
          <w:tcPr>
            <w:tcW w:w="1276" w:type="dxa"/>
            <w:tcBorders>
              <w:top w:val="nil"/>
              <w:left w:val="nil"/>
              <w:bottom w:val="single" w:color="auto" w:sz="4" w:space="0"/>
              <w:right w:val="single" w:color="auto" w:sz="4" w:space="0"/>
            </w:tcBorders>
            <w:shd w:val="clear" w:color="auto" w:fill="auto"/>
            <w:vAlign w:val="center"/>
          </w:tcPr>
          <w:p w14:paraId="61DBE17D">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2024-2026</w:t>
            </w:r>
          </w:p>
        </w:tc>
        <w:tc>
          <w:tcPr>
            <w:tcW w:w="6520" w:type="dxa"/>
            <w:tcBorders>
              <w:top w:val="nil"/>
              <w:left w:val="nil"/>
              <w:bottom w:val="single" w:color="auto" w:sz="4" w:space="0"/>
              <w:right w:val="single" w:color="auto" w:sz="4" w:space="0"/>
            </w:tcBorders>
            <w:shd w:val="clear" w:color="auto" w:fill="auto"/>
            <w:vAlign w:val="center"/>
          </w:tcPr>
          <w:p w14:paraId="66FD781D">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拟建次纬五路（瑞南大道至322国道段、322国道至西垟路）宽36米，全长2.3公里。</w:t>
            </w:r>
          </w:p>
        </w:tc>
        <w:tc>
          <w:tcPr>
            <w:tcW w:w="992" w:type="dxa"/>
            <w:tcBorders>
              <w:top w:val="nil"/>
              <w:left w:val="nil"/>
              <w:bottom w:val="single" w:color="auto" w:sz="4" w:space="0"/>
              <w:right w:val="single" w:color="auto" w:sz="4" w:space="0"/>
            </w:tcBorders>
            <w:shd w:val="clear" w:color="auto" w:fill="auto"/>
            <w:vAlign w:val="center"/>
          </w:tcPr>
          <w:p w14:paraId="42E84A95">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3.00 </w:t>
            </w:r>
          </w:p>
        </w:tc>
        <w:tc>
          <w:tcPr>
            <w:tcW w:w="2552" w:type="dxa"/>
            <w:tcBorders>
              <w:top w:val="nil"/>
              <w:left w:val="nil"/>
              <w:bottom w:val="single" w:color="auto" w:sz="4" w:space="0"/>
              <w:right w:val="single" w:color="auto" w:sz="4" w:space="0"/>
            </w:tcBorders>
            <w:shd w:val="clear" w:color="auto" w:fill="auto"/>
            <w:vAlign w:val="center"/>
          </w:tcPr>
          <w:p w14:paraId="5A22063C">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瑞安江南新区管委会、云周街道办事处</w:t>
            </w:r>
          </w:p>
        </w:tc>
      </w:tr>
      <w:tr w14:paraId="75BDE9B5">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A0D9A6E">
            <w:pPr>
              <w:widowControl/>
              <w:spacing w:line="240" w:lineRule="exact"/>
              <w:jc w:val="center"/>
              <w:rPr>
                <w:rFonts w:ascii="宋体" w:hAnsi="宋体" w:cs="宋体"/>
                <w:kern w:val="0"/>
                <w:sz w:val="21"/>
                <w:szCs w:val="21"/>
              </w:rPr>
            </w:pPr>
            <w:r>
              <w:rPr>
                <w:rFonts w:hint="eastAsia" w:ascii="宋体" w:hAnsi="宋体" w:cs="宋体"/>
                <w:kern w:val="0"/>
                <w:sz w:val="21"/>
                <w:szCs w:val="21"/>
              </w:rPr>
              <w:t>45</w:t>
            </w:r>
          </w:p>
        </w:tc>
        <w:tc>
          <w:tcPr>
            <w:tcW w:w="2269" w:type="dxa"/>
            <w:tcBorders>
              <w:top w:val="nil"/>
              <w:left w:val="nil"/>
              <w:bottom w:val="single" w:color="auto" w:sz="4" w:space="0"/>
              <w:right w:val="single" w:color="auto" w:sz="4" w:space="0"/>
            </w:tcBorders>
            <w:shd w:val="clear" w:color="000000" w:fill="FFFFFF"/>
            <w:vAlign w:val="center"/>
          </w:tcPr>
          <w:p w14:paraId="047C6EC1">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繁荣等村区块开发建设项目</w:t>
            </w:r>
          </w:p>
        </w:tc>
        <w:tc>
          <w:tcPr>
            <w:tcW w:w="1276" w:type="dxa"/>
            <w:tcBorders>
              <w:top w:val="nil"/>
              <w:left w:val="nil"/>
              <w:bottom w:val="single" w:color="auto" w:sz="4" w:space="0"/>
              <w:right w:val="single" w:color="auto" w:sz="4" w:space="0"/>
            </w:tcBorders>
            <w:shd w:val="clear" w:color="auto" w:fill="auto"/>
            <w:vAlign w:val="center"/>
          </w:tcPr>
          <w:p w14:paraId="649BBCCF">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2024-2026</w:t>
            </w:r>
          </w:p>
        </w:tc>
        <w:tc>
          <w:tcPr>
            <w:tcW w:w="6520" w:type="dxa"/>
            <w:tcBorders>
              <w:top w:val="nil"/>
              <w:left w:val="nil"/>
              <w:bottom w:val="single" w:color="auto" w:sz="4" w:space="0"/>
              <w:right w:val="single" w:color="auto" w:sz="4" w:space="0"/>
            </w:tcBorders>
            <w:shd w:val="clear" w:color="auto" w:fill="auto"/>
            <w:vAlign w:val="center"/>
          </w:tcPr>
          <w:p w14:paraId="0AEF6422">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因京东项目等省重大项目等返回地，拟选址云周街道站前单元02-44地块北首，万锦大道西侧，用地面积约43亩，建筑面积7万多平方，拟拍卖房地产开发，配套建设云周繁荣公立幼儿园，拟用地9.54亩用于建设公立幼儿园，办学规模12个班。</w:t>
            </w:r>
          </w:p>
        </w:tc>
        <w:tc>
          <w:tcPr>
            <w:tcW w:w="992" w:type="dxa"/>
            <w:tcBorders>
              <w:top w:val="nil"/>
              <w:left w:val="nil"/>
              <w:bottom w:val="single" w:color="auto" w:sz="4" w:space="0"/>
              <w:right w:val="single" w:color="auto" w:sz="4" w:space="0"/>
            </w:tcBorders>
            <w:shd w:val="clear" w:color="auto" w:fill="auto"/>
            <w:vAlign w:val="center"/>
          </w:tcPr>
          <w:p w14:paraId="2775DE32">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2.50 </w:t>
            </w:r>
          </w:p>
        </w:tc>
        <w:tc>
          <w:tcPr>
            <w:tcW w:w="2552" w:type="dxa"/>
            <w:tcBorders>
              <w:top w:val="nil"/>
              <w:left w:val="nil"/>
              <w:bottom w:val="single" w:color="auto" w:sz="4" w:space="0"/>
              <w:right w:val="single" w:color="auto" w:sz="4" w:space="0"/>
            </w:tcBorders>
            <w:shd w:val="clear" w:color="auto" w:fill="auto"/>
            <w:vAlign w:val="center"/>
          </w:tcPr>
          <w:p w14:paraId="7D4A40E6">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云周街道办事处</w:t>
            </w:r>
          </w:p>
        </w:tc>
      </w:tr>
      <w:tr w14:paraId="21F01FB6">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A745301">
            <w:pPr>
              <w:widowControl/>
              <w:spacing w:line="240" w:lineRule="exact"/>
              <w:jc w:val="center"/>
              <w:rPr>
                <w:rFonts w:ascii="宋体" w:hAnsi="宋体" w:cs="宋体"/>
                <w:kern w:val="0"/>
                <w:sz w:val="21"/>
                <w:szCs w:val="21"/>
              </w:rPr>
            </w:pPr>
            <w:r>
              <w:rPr>
                <w:rFonts w:hint="eastAsia" w:ascii="宋体" w:hAnsi="宋体" w:cs="宋体"/>
                <w:kern w:val="0"/>
                <w:sz w:val="21"/>
                <w:szCs w:val="21"/>
              </w:rPr>
              <w:t>46</w:t>
            </w:r>
          </w:p>
        </w:tc>
        <w:tc>
          <w:tcPr>
            <w:tcW w:w="2269" w:type="dxa"/>
            <w:tcBorders>
              <w:top w:val="nil"/>
              <w:left w:val="nil"/>
              <w:bottom w:val="single" w:color="auto" w:sz="4" w:space="0"/>
              <w:right w:val="single" w:color="auto" w:sz="4" w:space="0"/>
            </w:tcBorders>
            <w:shd w:val="clear" w:color="000000" w:fill="FFFFFF"/>
            <w:vAlign w:val="center"/>
          </w:tcPr>
          <w:p w14:paraId="65B4C0D1">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云周街道新居民公寓（人才公寓）项目</w:t>
            </w:r>
          </w:p>
        </w:tc>
        <w:tc>
          <w:tcPr>
            <w:tcW w:w="1276" w:type="dxa"/>
            <w:tcBorders>
              <w:top w:val="nil"/>
              <w:left w:val="nil"/>
              <w:bottom w:val="single" w:color="auto" w:sz="4" w:space="0"/>
              <w:right w:val="single" w:color="auto" w:sz="4" w:space="0"/>
            </w:tcBorders>
            <w:shd w:val="clear" w:color="auto" w:fill="auto"/>
            <w:vAlign w:val="center"/>
          </w:tcPr>
          <w:p w14:paraId="7B7AB862">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2024-2026</w:t>
            </w:r>
          </w:p>
        </w:tc>
        <w:tc>
          <w:tcPr>
            <w:tcW w:w="6520" w:type="dxa"/>
            <w:tcBorders>
              <w:top w:val="nil"/>
              <w:left w:val="nil"/>
              <w:bottom w:val="single" w:color="auto" w:sz="4" w:space="0"/>
              <w:right w:val="single" w:color="auto" w:sz="4" w:space="0"/>
            </w:tcBorders>
            <w:shd w:val="clear" w:color="auto" w:fill="auto"/>
            <w:vAlign w:val="center"/>
          </w:tcPr>
          <w:p w14:paraId="4600EF91">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为改善动车站周边新居民及产业人口居住环境，拟新建新居民公寓或人才公寓，项目位于云周街道动车站周边，初步拟选址侨贸小镇北至云栖路南至云江医院站前单元02-45地块，用地约27亩。</w:t>
            </w:r>
          </w:p>
        </w:tc>
        <w:tc>
          <w:tcPr>
            <w:tcW w:w="992" w:type="dxa"/>
            <w:tcBorders>
              <w:top w:val="nil"/>
              <w:left w:val="nil"/>
              <w:bottom w:val="single" w:color="auto" w:sz="4" w:space="0"/>
              <w:right w:val="single" w:color="auto" w:sz="4" w:space="0"/>
            </w:tcBorders>
            <w:shd w:val="clear" w:color="auto" w:fill="auto"/>
            <w:vAlign w:val="center"/>
          </w:tcPr>
          <w:p w14:paraId="71103368">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1.50 </w:t>
            </w:r>
          </w:p>
        </w:tc>
        <w:tc>
          <w:tcPr>
            <w:tcW w:w="2552" w:type="dxa"/>
            <w:tcBorders>
              <w:top w:val="nil"/>
              <w:left w:val="nil"/>
              <w:bottom w:val="single" w:color="auto" w:sz="4" w:space="0"/>
              <w:right w:val="single" w:color="auto" w:sz="4" w:space="0"/>
            </w:tcBorders>
            <w:shd w:val="clear" w:color="auto" w:fill="auto"/>
            <w:vAlign w:val="center"/>
          </w:tcPr>
          <w:p w14:paraId="54B57C96">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瑞安江南新区管委会、云周街道办事处</w:t>
            </w:r>
          </w:p>
        </w:tc>
      </w:tr>
      <w:tr w14:paraId="46C2BB70">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0687E977">
            <w:pPr>
              <w:widowControl/>
              <w:spacing w:line="240" w:lineRule="exact"/>
              <w:jc w:val="center"/>
              <w:rPr>
                <w:rFonts w:ascii="宋体" w:hAnsi="宋体" w:cs="宋体"/>
                <w:b/>
                <w:bCs/>
                <w:kern w:val="0"/>
                <w:sz w:val="21"/>
                <w:szCs w:val="21"/>
              </w:rPr>
            </w:pPr>
            <w:r>
              <w:rPr>
                <w:rFonts w:hint="eastAsia" w:ascii="宋体" w:hAnsi="宋体" w:cs="宋体"/>
                <w:kern w:val="0"/>
                <w:sz w:val="21"/>
                <w:szCs w:val="21"/>
              </w:rPr>
              <w:t>47</w:t>
            </w:r>
          </w:p>
        </w:tc>
        <w:tc>
          <w:tcPr>
            <w:tcW w:w="2269" w:type="dxa"/>
            <w:tcBorders>
              <w:top w:val="nil"/>
              <w:left w:val="nil"/>
              <w:bottom w:val="single" w:color="auto" w:sz="4" w:space="0"/>
              <w:right w:val="single" w:color="auto" w:sz="4" w:space="0"/>
            </w:tcBorders>
            <w:shd w:val="clear" w:color="000000" w:fill="FFFFFF"/>
            <w:vAlign w:val="center"/>
          </w:tcPr>
          <w:p w14:paraId="403D6D90">
            <w:pPr>
              <w:widowControl/>
              <w:spacing w:line="240" w:lineRule="exact"/>
              <w:jc w:val="center"/>
              <w:rPr>
                <w:rFonts w:ascii="宋体" w:hAnsi="宋体" w:cs="宋体"/>
                <w:kern w:val="0"/>
                <w:sz w:val="21"/>
                <w:szCs w:val="21"/>
              </w:rPr>
            </w:pPr>
            <w:r>
              <w:rPr>
                <w:rFonts w:hint="eastAsia" w:ascii="宋体" w:hAnsi="宋体" w:cs="宋体"/>
                <w:kern w:val="0"/>
                <w:sz w:val="21"/>
                <w:szCs w:val="21"/>
              </w:rPr>
              <w:t>塘下新区道路网建设二期</w:t>
            </w:r>
          </w:p>
        </w:tc>
        <w:tc>
          <w:tcPr>
            <w:tcW w:w="1276" w:type="dxa"/>
            <w:tcBorders>
              <w:top w:val="nil"/>
              <w:left w:val="nil"/>
              <w:bottom w:val="single" w:color="auto" w:sz="4" w:space="0"/>
              <w:right w:val="single" w:color="auto" w:sz="4" w:space="0"/>
            </w:tcBorders>
            <w:shd w:val="clear" w:color="000000" w:fill="FFFFFF"/>
            <w:vAlign w:val="center"/>
          </w:tcPr>
          <w:p w14:paraId="721F1DE3">
            <w:pPr>
              <w:widowControl/>
              <w:spacing w:line="240" w:lineRule="exact"/>
              <w:jc w:val="center"/>
              <w:rPr>
                <w:rFonts w:ascii="宋体" w:hAnsi="宋体" w:cs="宋体"/>
                <w:kern w:val="0"/>
                <w:sz w:val="21"/>
                <w:szCs w:val="21"/>
              </w:rPr>
            </w:pPr>
            <w:r>
              <w:rPr>
                <w:rFonts w:hint="eastAsia" w:ascii="宋体" w:hAnsi="宋体" w:cs="宋体"/>
                <w:kern w:val="0"/>
                <w:sz w:val="21"/>
                <w:szCs w:val="21"/>
              </w:rPr>
              <w:t>2026-2029</w:t>
            </w:r>
          </w:p>
        </w:tc>
        <w:tc>
          <w:tcPr>
            <w:tcW w:w="6520" w:type="dxa"/>
            <w:tcBorders>
              <w:top w:val="nil"/>
              <w:left w:val="nil"/>
              <w:bottom w:val="single" w:color="auto" w:sz="4" w:space="0"/>
              <w:right w:val="single" w:color="auto" w:sz="4" w:space="0"/>
            </w:tcBorders>
            <w:shd w:val="clear" w:color="000000" w:fill="FFFFFF"/>
            <w:vAlign w:val="center"/>
          </w:tcPr>
          <w:p w14:paraId="529143E6">
            <w:pPr>
              <w:widowControl/>
              <w:spacing w:line="240" w:lineRule="exact"/>
              <w:rPr>
                <w:rFonts w:ascii="宋体" w:hAnsi="宋体" w:cs="宋体"/>
                <w:kern w:val="0"/>
                <w:sz w:val="21"/>
                <w:szCs w:val="21"/>
              </w:rPr>
            </w:pPr>
            <w:r>
              <w:rPr>
                <w:rFonts w:hint="eastAsia" w:ascii="宋体" w:hAnsi="宋体" w:cs="宋体"/>
                <w:kern w:val="0"/>
                <w:sz w:val="21"/>
                <w:szCs w:val="21"/>
              </w:rPr>
              <w:t>包括中心路(104 国道至规划罗山大道段)建设工程、104 国道至 228国道连接线（国泰路）工程、电信路(国泰路-广场路)建设工程、西金路道路建设项目、凤驮线综合环境提升工程、罗场路（塘下大道-文化路）道路工程、规划四路、规划八路等。</w:t>
            </w:r>
          </w:p>
        </w:tc>
        <w:tc>
          <w:tcPr>
            <w:tcW w:w="992" w:type="dxa"/>
            <w:tcBorders>
              <w:top w:val="nil"/>
              <w:left w:val="nil"/>
              <w:bottom w:val="single" w:color="auto" w:sz="4" w:space="0"/>
              <w:right w:val="single" w:color="auto" w:sz="4" w:space="0"/>
            </w:tcBorders>
            <w:shd w:val="clear" w:color="000000" w:fill="FFFFFF"/>
            <w:noWrap/>
            <w:vAlign w:val="center"/>
          </w:tcPr>
          <w:p w14:paraId="40B7FDEB">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20.00 </w:t>
            </w:r>
          </w:p>
        </w:tc>
        <w:tc>
          <w:tcPr>
            <w:tcW w:w="2552" w:type="dxa"/>
            <w:tcBorders>
              <w:top w:val="nil"/>
              <w:left w:val="nil"/>
              <w:bottom w:val="single" w:color="auto" w:sz="4" w:space="0"/>
              <w:right w:val="single" w:color="auto" w:sz="4" w:space="0"/>
            </w:tcBorders>
            <w:shd w:val="clear" w:color="000000" w:fill="FFFFFF"/>
            <w:vAlign w:val="center"/>
          </w:tcPr>
          <w:p w14:paraId="5A2ED8A0">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51E98519">
        <w:tblPrEx>
          <w:tblCellMar>
            <w:top w:w="0" w:type="dxa"/>
            <w:left w:w="108" w:type="dxa"/>
            <w:bottom w:w="0" w:type="dxa"/>
            <w:right w:w="108" w:type="dxa"/>
          </w:tblCellMar>
        </w:tblPrEx>
        <w:trPr>
          <w:trHeight w:val="20" w:hRule="atLeast"/>
        </w:trPr>
        <w:tc>
          <w:tcPr>
            <w:tcW w:w="283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475DAD">
            <w:pPr>
              <w:widowControl/>
              <w:spacing w:line="240" w:lineRule="exact"/>
              <w:jc w:val="left"/>
              <w:rPr>
                <w:rFonts w:ascii="宋体" w:hAnsi="宋体" w:cs="宋体"/>
                <w:b/>
                <w:bCs/>
                <w:kern w:val="0"/>
                <w:sz w:val="21"/>
                <w:szCs w:val="21"/>
              </w:rPr>
            </w:pPr>
            <w:r>
              <w:rPr>
                <w:rFonts w:hint="eastAsia" w:ascii="宋体" w:hAnsi="宋体" w:cs="宋体"/>
                <w:b/>
                <w:bCs/>
                <w:kern w:val="0"/>
                <w:sz w:val="21"/>
                <w:szCs w:val="21"/>
              </w:rPr>
              <w:t>5、工业项目（22个）</w:t>
            </w:r>
          </w:p>
        </w:tc>
        <w:tc>
          <w:tcPr>
            <w:tcW w:w="1276" w:type="dxa"/>
            <w:tcBorders>
              <w:top w:val="nil"/>
              <w:left w:val="nil"/>
              <w:bottom w:val="single" w:color="auto" w:sz="4" w:space="0"/>
              <w:right w:val="single" w:color="auto" w:sz="4" w:space="0"/>
            </w:tcBorders>
            <w:shd w:val="clear" w:color="auto" w:fill="auto"/>
            <w:vAlign w:val="center"/>
          </w:tcPr>
          <w:p w14:paraId="2F58F550">
            <w:pPr>
              <w:widowControl/>
              <w:spacing w:line="240" w:lineRule="exact"/>
              <w:jc w:val="center"/>
              <w:rPr>
                <w:rFonts w:ascii="宋体" w:hAnsi="宋体" w:cs="宋体"/>
                <w:color w:val="000000"/>
                <w:kern w:val="0"/>
                <w:sz w:val="21"/>
                <w:szCs w:val="21"/>
              </w:rPr>
            </w:pPr>
          </w:p>
        </w:tc>
        <w:tc>
          <w:tcPr>
            <w:tcW w:w="6520" w:type="dxa"/>
            <w:tcBorders>
              <w:top w:val="nil"/>
              <w:left w:val="nil"/>
              <w:bottom w:val="single" w:color="auto" w:sz="4" w:space="0"/>
              <w:right w:val="single" w:color="auto" w:sz="4" w:space="0"/>
            </w:tcBorders>
            <w:shd w:val="clear" w:color="auto" w:fill="auto"/>
            <w:vAlign w:val="center"/>
          </w:tcPr>
          <w:p w14:paraId="78C1F101">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　</w:t>
            </w:r>
          </w:p>
        </w:tc>
        <w:tc>
          <w:tcPr>
            <w:tcW w:w="992" w:type="dxa"/>
            <w:tcBorders>
              <w:top w:val="nil"/>
              <w:left w:val="nil"/>
              <w:bottom w:val="single" w:color="auto" w:sz="4" w:space="0"/>
              <w:right w:val="single" w:color="auto" w:sz="4" w:space="0"/>
            </w:tcBorders>
            <w:shd w:val="clear" w:color="auto" w:fill="auto"/>
            <w:vAlign w:val="center"/>
          </w:tcPr>
          <w:p w14:paraId="44F3D2DF">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242.50</w:t>
            </w:r>
          </w:p>
        </w:tc>
        <w:tc>
          <w:tcPr>
            <w:tcW w:w="2552" w:type="dxa"/>
            <w:tcBorders>
              <w:top w:val="nil"/>
              <w:left w:val="nil"/>
              <w:bottom w:val="single" w:color="auto" w:sz="4" w:space="0"/>
              <w:right w:val="single" w:color="auto" w:sz="4" w:space="0"/>
            </w:tcBorders>
            <w:shd w:val="clear" w:color="auto" w:fill="auto"/>
            <w:vAlign w:val="center"/>
          </w:tcPr>
          <w:p w14:paraId="2917BE6A">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1498A66A">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E1656ED">
            <w:pPr>
              <w:widowControl/>
              <w:spacing w:line="240" w:lineRule="exact"/>
              <w:jc w:val="center"/>
              <w:rPr>
                <w:rFonts w:ascii="宋体" w:hAnsi="宋体" w:cs="宋体"/>
                <w:kern w:val="0"/>
                <w:sz w:val="21"/>
                <w:szCs w:val="21"/>
              </w:rPr>
            </w:pPr>
            <w:r>
              <w:rPr>
                <w:rFonts w:hint="eastAsia" w:ascii="宋体" w:hAnsi="宋体" w:cs="宋体"/>
                <w:kern w:val="0"/>
                <w:sz w:val="21"/>
                <w:szCs w:val="21"/>
              </w:rPr>
              <w:t>48</w:t>
            </w:r>
          </w:p>
        </w:tc>
        <w:tc>
          <w:tcPr>
            <w:tcW w:w="2269" w:type="dxa"/>
            <w:tcBorders>
              <w:top w:val="nil"/>
              <w:left w:val="nil"/>
              <w:bottom w:val="single" w:color="auto" w:sz="4" w:space="0"/>
              <w:right w:val="single" w:color="auto" w:sz="4" w:space="0"/>
            </w:tcBorders>
            <w:shd w:val="clear" w:color="000000" w:fill="FFFFFF"/>
            <w:vAlign w:val="center"/>
          </w:tcPr>
          <w:p w14:paraId="525900E9">
            <w:pPr>
              <w:widowControl/>
              <w:spacing w:line="240" w:lineRule="exact"/>
              <w:jc w:val="center"/>
              <w:rPr>
                <w:rFonts w:ascii="宋体" w:hAnsi="宋体" w:cs="宋体"/>
                <w:kern w:val="0"/>
                <w:sz w:val="21"/>
                <w:szCs w:val="21"/>
              </w:rPr>
            </w:pPr>
            <w:r>
              <w:rPr>
                <w:rFonts w:hint="eastAsia" w:ascii="宋体" w:hAnsi="宋体" w:cs="宋体"/>
                <w:kern w:val="0"/>
                <w:sz w:val="21"/>
                <w:szCs w:val="21"/>
              </w:rPr>
              <w:t>博泰智能汽车零部件制造基地项目</w:t>
            </w:r>
          </w:p>
        </w:tc>
        <w:tc>
          <w:tcPr>
            <w:tcW w:w="1276" w:type="dxa"/>
            <w:tcBorders>
              <w:top w:val="nil"/>
              <w:left w:val="nil"/>
              <w:bottom w:val="single" w:color="auto" w:sz="4" w:space="0"/>
              <w:right w:val="single" w:color="auto" w:sz="4" w:space="0"/>
            </w:tcBorders>
            <w:shd w:val="clear" w:color="000000" w:fill="FFFFFF"/>
            <w:vAlign w:val="center"/>
          </w:tcPr>
          <w:p w14:paraId="1FAD00F1">
            <w:pPr>
              <w:widowControl/>
              <w:spacing w:line="240" w:lineRule="exact"/>
              <w:jc w:val="center"/>
              <w:rPr>
                <w:rFonts w:ascii="Times New Roman" w:hAnsi="Times New Roman"/>
                <w:kern w:val="0"/>
                <w:sz w:val="21"/>
                <w:szCs w:val="21"/>
              </w:rPr>
            </w:pPr>
            <w:r>
              <w:rPr>
                <w:rFonts w:ascii="Times New Roman" w:hAnsi="Times New Roman"/>
                <w:kern w:val="0"/>
                <w:sz w:val="21"/>
                <w:szCs w:val="21"/>
              </w:rPr>
              <w:t>2023-2026</w:t>
            </w:r>
          </w:p>
        </w:tc>
        <w:tc>
          <w:tcPr>
            <w:tcW w:w="6520" w:type="dxa"/>
            <w:tcBorders>
              <w:top w:val="nil"/>
              <w:left w:val="nil"/>
              <w:bottom w:val="single" w:color="auto" w:sz="4" w:space="0"/>
              <w:right w:val="single" w:color="auto" w:sz="4" w:space="0"/>
            </w:tcBorders>
            <w:shd w:val="clear" w:color="000000" w:fill="FFFFFF"/>
            <w:vAlign w:val="center"/>
          </w:tcPr>
          <w:p w14:paraId="6C0582E7">
            <w:pPr>
              <w:widowControl/>
              <w:spacing w:line="240" w:lineRule="exact"/>
              <w:rPr>
                <w:rFonts w:ascii="宋体" w:hAnsi="宋体" w:cs="宋体"/>
                <w:kern w:val="0"/>
                <w:sz w:val="21"/>
                <w:szCs w:val="21"/>
              </w:rPr>
            </w:pPr>
            <w:r>
              <w:rPr>
                <w:rFonts w:hint="eastAsia" w:ascii="宋体" w:hAnsi="宋体" w:cs="宋体"/>
                <w:kern w:val="0"/>
                <w:sz w:val="21"/>
                <w:szCs w:val="21"/>
              </w:rPr>
              <w:t>位于瑞安市经开区，占地面积83.2亩，建设包括工业厂房、研发测试中心、综合生活大楼、智能仓储中心等。达产后可年产相关智能汽车零部件350万套，年销售产值67000万元，税收3400万元。</w:t>
            </w:r>
          </w:p>
        </w:tc>
        <w:tc>
          <w:tcPr>
            <w:tcW w:w="992" w:type="dxa"/>
            <w:tcBorders>
              <w:top w:val="nil"/>
              <w:left w:val="nil"/>
              <w:bottom w:val="single" w:color="auto" w:sz="4" w:space="0"/>
              <w:right w:val="single" w:color="auto" w:sz="4" w:space="0"/>
            </w:tcBorders>
            <w:shd w:val="clear" w:color="000000" w:fill="FFFFFF"/>
            <w:vAlign w:val="center"/>
          </w:tcPr>
          <w:p w14:paraId="483F66BC">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12.00 </w:t>
            </w:r>
          </w:p>
        </w:tc>
        <w:tc>
          <w:tcPr>
            <w:tcW w:w="2552" w:type="dxa"/>
            <w:tcBorders>
              <w:top w:val="nil"/>
              <w:left w:val="nil"/>
              <w:bottom w:val="single" w:color="auto" w:sz="4" w:space="0"/>
              <w:right w:val="single" w:color="auto" w:sz="4" w:space="0"/>
            </w:tcBorders>
            <w:shd w:val="clear" w:color="000000" w:fill="FFFFFF"/>
            <w:vAlign w:val="center"/>
          </w:tcPr>
          <w:p w14:paraId="0DAD6201">
            <w:pPr>
              <w:widowControl/>
              <w:spacing w:line="240" w:lineRule="exact"/>
              <w:jc w:val="center"/>
              <w:rPr>
                <w:rFonts w:ascii="宋体" w:hAnsi="宋体" w:cs="宋体"/>
                <w:kern w:val="0"/>
                <w:sz w:val="21"/>
                <w:szCs w:val="21"/>
              </w:rPr>
            </w:pPr>
            <w:r>
              <w:rPr>
                <w:rFonts w:hint="eastAsia" w:ascii="宋体" w:hAnsi="宋体" w:cs="宋体"/>
                <w:kern w:val="0"/>
                <w:sz w:val="21"/>
                <w:szCs w:val="21"/>
              </w:rPr>
              <w:t>瑞安经济开发区管委会</w:t>
            </w:r>
          </w:p>
        </w:tc>
      </w:tr>
      <w:tr w14:paraId="6CE7F87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7C711EB">
            <w:pPr>
              <w:widowControl/>
              <w:spacing w:line="240" w:lineRule="exact"/>
              <w:jc w:val="center"/>
              <w:rPr>
                <w:rFonts w:ascii="宋体" w:hAnsi="宋体" w:cs="宋体"/>
                <w:kern w:val="0"/>
                <w:sz w:val="21"/>
                <w:szCs w:val="21"/>
              </w:rPr>
            </w:pPr>
            <w:r>
              <w:rPr>
                <w:rFonts w:hint="eastAsia" w:ascii="宋体" w:hAnsi="宋体" w:cs="宋体"/>
                <w:kern w:val="0"/>
                <w:sz w:val="21"/>
                <w:szCs w:val="21"/>
              </w:rPr>
              <w:t>49</w:t>
            </w:r>
          </w:p>
        </w:tc>
        <w:tc>
          <w:tcPr>
            <w:tcW w:w="2269" w:type="dxa"/>
            <w:tcBorders>
              <w:top w:val="nil"/>
              <w:left w:val="nil"/>
              <w:bottom w:val="single" w:color="auto" w:sz="4" w:space="0"/>
              <w:right w:val="single" w:color="auto" w:sz="4" w:space="0"/>
            </w:tcBorders>
            <w:shd w:val="clear" w:color="000000" w:fill="FFFFFF"/>
            <w:vAlign w:val="center"/>
          </w:tcPr>
          <w:p w14:paraId="470FE65D">
            <w:pPr>
              <w:widowControl/>
              <w:spacing w:line="240" w:lineRule="exact"/>
              <w:jc w:val="center"/>
              <w:rPr>
                <w:rFonts w:ascii="宋体" w:hAnsi="宋体" w:cs="宋体"/>
                <w:kern w:val="0"/>
                <w:sz w:val="21"/>
                <w:szCs w:val="21"/>
              </w:rPr>
            </w:pPr>
            <w:r>
              <w:rPr>
                <w:rFonts w:hint="eastAsia" w:ascii="宋体" w:hAnsi="宋体" w:cs="宋体"/>
                <w:kern w:val="0"/>
                <w:sz w:val="21"/>
                <w:szCs w:val="21"/>
              </w:rPr>
              <w:t>浙江迅达工业科技股份有限公司年产300万套新能源汽车电驱系统部件产业化项目</w:t>
            </w:r>
          </w:p>
        </w:tc>
        <w:tc>
          <w:tcPr>
            <w:tcW w:w="1276" w:type="dxa"/>
            <w:tcBorders>
              <w:top w:val="nil"/>
              <w:left w:val="nil"/>
              <w:bottom w:val="single" w:color="auto" w:sz="4" w:space="0"/>
              <w:right w:val="single" w:color="auto" w:sz="4" w:space="0"/>
            </w:tcBorders>
            <w:shd w:val="clear" w:color="000000" w:fill="FFFFFF"/>
            <w:vAlign w:val="center"/>
          </w:tcPr>
          <w:p w14:paraId="3692DA0C">
            <w:pPr>
              <w:widowControl/>
              <w:spacing w:line="240" w:lineRule="exact"/>
              <w:jc w:val="center"/>
              <w:rPr>
                <w:rFonts w:ascii="Times New Roman" w:hAnsi="Times New Roman"/>
                <w:kern w:val="0"/>
                <w:sz w:val="21"/>
                <w:szCs w:val="21"/>
              </w:rPr>
            </w:pPr>
            <w:r>
              <w:rPr>
                <w:rFonts w:ascii="Times New Roman" w:hAnsi="Times New Roman"/>
                <w:kern w:val="0"/>
                <w:sz w:val="21"/>
                <w:szCs w:val="21"/>
              </w:rPr>
              <w:t>2023-2026</w:t>
            </w:r>
          </w:p>
        </w:tc>
        <w:tc>
          <w:tcPr>
            <w:tcW w:w="6520" w:type="dxa"/>
            <w:tcBorders>
              <w:top w:val="nil"/>
              <w:left w:val="nil"/>
              <w:bottom w:val="single" w:color="auto" w:sz="4" w:space="0"/>
              <w:right w:val="single" w:color="auto" w:sz="4" w:space="0"/>
            </w:tcBorders>
            <w:shd w:val="clear" w:color="000000" w:fill="FFFFFF"/>
            <w:vAlign w:val="center"/>
          </w:tcPr>
          <w:p w14:paraId="1DBAA487">
            <w:pPr>
              <w:widowControl/>
              <w:spacing w:line="240" w:lineRule="exact"/>
              <w:rPr>
                <w:rFonts w:ascii="宋体" w:hAnsi="宋体" w:cs="宋体"/>
                <w:kern w:val="0"/>
                <w:sz w:val="21"/>
                <w:szCs w:val="21"/>
              </w:rPr>
            </w:pPr>
            <w:r>
              <w:rPr>
                <w:rFonts w:hint="eastAsia" w:ascii="宋体" w:hAnsi="宋体" w:cs="宋体"/>
                <w:kern w:val="0"/>
                <w:sz w:val="21"/>
                <w:szCs w:val="21"/>
              </w:rPr>
              <w:t>该项目总用地面积146947.10平方米，总建筑面积239000平方米。年产300万套新能源汽车电驱系统部件产品，投产后年产值105000万元，利润总额33000万元，纳税9200万元。</w:t>
            </w:r>
          </w:p>
        </w:tc>
        <w:tc>
          <w:tcPr>
            <w:tcW w:w="992" w:type="dxa"/>
            <w:tcBorders>
              <w:top w:val="nil"/>
              <w:left w:val="nil"/>
              <w:bottom w:val="single" w:color="auto" w:sz="4" w:space="0"/>
              <w:right w:val="single" w:color="auto" w:sz="4" w:space="0"/>
            </w:tcBorders>
            <w:shd w:val="clear" w:color="000000" w:fill="FFFFFF"/>
            <w:vAlign w:val="center"/>
          </w:tcPr>
          <w:p w14:paraId="196209E7">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10.06 </w:t>
            </w:r>
          </w:p>
        </w:tc>
        <w:tc>
          <w:tcPr>
            <w:tcW w:w="2552" w:type="dxa"/>
            <w:tcBorders>
              <w:top w:val="nil"/>
              <w:left w:val="nil"/>
              <w:bottom w:val="single" w:color="auto" w:sz="4" w:space="0"/>
              <w:right w:val="single" w:color="auto" w:sz="4" w:space="0"/>
            </w:tcBorders>
            <w:shd w:val="clear" w:color="000000" w:fill="FFFFFF"/>
            <w:vAlign w:val="center"/>
          </w:tcPr>
          <w:p w14:paraId="03FD5715">
            <w:pPr>
              <w:widowControl/>
              <w:spacing w:line="240" w:lineRule="exact"/>
              <w:jc w:val="center"/>
              <w:rPr>
                <w:rFonts w:ascii="宋体" w:hAnsi="宋体" w:cs="宋体"/>
                <w:kern w:val="0"/>
                <w:sz w:val="21"/>
                <w:szCs w:val="21"/>
              </w:rPr>
            </w:pPr>
            <w:r>
              <w:rPr>
                <w:rFonts w:hint="eastAsia" w:ascii="宋体" w:hAnsi="宋体" w:cs="宋体"/>
                <w:kern w:val="0"/>
                <w:sz w:val="21"/>
                <w:szCs w:val="21"/>
              </w:rPr>
              <w:t>瑞安塘下新区管委会</w:t>
            </w:r>
          </w:p>
        </w:tc>
      </w:tr>
      <w:tr w14:paraId="17D27437">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13CE11C">
            <w:pPr>
              <w:widowControl/>
              <w:spacing w:line="240" w:lineRule="exact"/>
              <w:jc w:val="center"/>
              <w:rPr>
                <w:rFonts w:ascii="宋体" w:hAnsi="宋体" w:cs="宋体"/>
                <w:kern w:val="0"/>
                <w:sz w:val="21"/>
                <w:szCs w:val="21"/>
              </w:rPr>
            </w:pPr>
            <w:r>
              <w:rPr>
                <w:rFonts w:hint="eastAsia" w:ascii="宋体" w:hAnsi="宋体" w:cs="宋体"/>
                <w:kern w:val="0"/>
                <w:sz w:val="21"/>
                <w:szCs w:val="21"/>
              </w:rPr>
              <w:t>50</w:t>
            </w:r>
          </w:p>
        </w:tc>
        <w:tc>
          <w:tcPr>
            <w:tcW w:w="2269" w:type="dxa"/>
            <w:tcBorders>
              <w:top w:val="nil"/>
              <w:left w:val="nil"/>
              <w:bottom w:val="single" w:color="auto" w:sz="4" w:space="0"/>
              <w:right w:val="single" w:color="auto" w:sz="4" w:space="0"/>
            </w:tcBorders>
            <w:shd w:val="clear" w:color="000000" w:fill="FFFFFF"/>
            <w:vAlign w:val="center"/>
          </w:tcPr>
          <w:p w14:paraId="7923E719">
            <w:pPr>
              <w:widowControl/>
              <w:spacing w:line="240" w:lineRule="exact"/>
              <w:jc w:val="center"/>
              <w:rPr>
                <w:rFonts w:ascii="宋体" w:hAnsi="宋体" w:cs="宋体"/>
                <w:kern w:val="0"/>
                <w:sz w:val="21"/>
                <w:szCs w:val="21"/>
              </w:rPr>
            </w:pPr>
            <w:r>
              <w:rPr>
                <w:rFonts w:hint="eastAsia" w:ascii="宋体" w:hAnsi="宋体" w:cs="宋体"/>
                <w:kern w:val="0"/>
                <w:sz w:val="21"/>
                <w:szCs w:val="21"/>
              </w:rPr>
              <w:t>年产650万套智能车身控制系统总成项目</w:t>
            </w:r>
          </w:p>
        </w:tc>
        <w:tc>
          <w:tcPr>
            <w:tcW w:w="1276" w:type="dxa"/>
            <w:tcBorders>
              <w:top w:val="nil"/>
              <w:left w:val="nil"/>
              <w:bottom w:val="single" w:color="auto" w:sz="4" w:space="0"/>
              <w:right w:val="single" w:color="auto" w:sz="4" w:space="0"/>
            </w:tcBorders>
            <w:shd w:val="clear" w:color="000000" w:fill="FFFFFF"/>
            <w:vAlign w:val="center"/>
          </w:tcPr>
          <w:p w14:paraId="32037418">
            <w:pPr>
              <w:widowControl/>
              <w:spacing w:line="240" w:lineRule="exact"/>
              <w:jc w:val="center"/>
              <w:rPr>
                <w:rFonts w:ascii="Times New Roman" w:hAnsi="Times New Roman"/>
                <w:kern w:val="0"/>
                <w:sz w:val="21"/>
                <w:szCs w:val="21"/>
              </w:rPr>
            </w:pPr>
            <w:r>
              <w:rPr>
                <w:rFonts w:ascii="Times New Roman" w:hAnsi="Times New Roman"/>
                <w:kern w:val="0"/>
                <w:sz w:val="21"/>
                <w:szCs w:val="21"/>
              </w:rPr>
              <w:t>2023-2026</w:t>
            </w:r>
          </w:p>
        </w:tc>
        <w:tc>
          <w:tcPr>
            <w:tcW w:w="6520" w:type="dxa"/>
            <w:tcBorders>
              <w:top w:val="nil"/>
              <w:left w:val="nil"/>
              <w:bottom w:val="single" w:color="auto" w:sz="4" w:space="0"/>
              <w:right w:val="single" w:color="auto" w:sz="4" w:space="0"/>
            </w:tcBorders>
            <w:shd w:val="clear" w:color="000000" w:fill="FFFFFF"/>
            <w:vAlign w:val="center"/>
          </w:tcPr>
          <w:p w14:paraId="6982985F">
            <w:pPr>
              <w:widowControl/>
              <w:spacing w:line="240" w:lineRule="exact"/>
              <w:rPr>
                <w:rFonts w:ascii="宋体" w:hAnsi="宋体" w:cs="宋体"/>
                <w:kern w:val="0"/>
                <w:sz w:val="21"/>
                <w:szCs w:val="21"/>
              </w:rPr>
            </w:pPr>
            <w:r>
              <w:rPr>
                <w:rFonts w:ascii="Verdana" w:hAnsi="Verdana" w:cs="宋体"/>
                <w:kern w:val="0"/>
                <w:sz w:val="21"/>
                <w:szCs w:val="21"/>
              </w:rPr>
              <w:t>项目选址在万亩千亿平台塘下基地，用地约346.314亩，建筑面积约631973平方米，建设包括生产车间、研发中心、办公楼、仓储物流中心等，建设数字化工厂，形成年产650万套智能车身控制系统总成的生产能力，预计年产值188000万。</w:t>
            </w:r>
          </w:p>
        </w:tc>
        <w:tc>
          <w:tcPr>
            <w:tcW w:w="992" w:type="dxa"/>
            <w:tcBorders>
              <w:top w:val="nil"/>
              <w:left w:val="nil"/>
              <w:bottom w:val="single" w:color="auto" w:sz="4" w:space="0"/>
              <w:right w:val="single" w:color="auto" w:sz="4" w:space="0"/>
            </w:tcBorders>
            <w:shd w:val="clear" w:color="000000" w:fill="FFFFFF"/>
            <w:vAlign w:val="center"/>
          </w:tcPr>
          <w:p w14:paraId="35D09348">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22.25 </w:t>
            </w:r>
          </w:p>
        </w:tc>
        <w:tc>
          <w:tcPr>
            <w:tcW w:w="2552" w:type="dxa"/>
            <w:tcBorders>
              <w:top w:val="nil"/>
              <w:left w:val="nil"/>
              <w:bottom w:val="single" w:color="auto" w:sz="4" w:space="0"/>
              <w:right w:val="single" w:color="auto" w:sz="4" w:space="0"/>
            </w:tcBorders>
            <w:shd w:val="clear" w:color="000000" w:fill="FFFFFF"/>
            <w:vAlign w:val="center"/>
          </w:tcPr>
          <w:p w14:paraId="3DBAB15B">
            <w:pPr>
              <w:widowControl/>
              <w:spacing w:line="240" w:lineRule="exact"/>
              <w:jc w:val="center"/>
              <w:rPr>
                <w:rFonts w:ascii="宋体" w:hAnsi="宋体" w:cs="宋体"/>
                <w:kern w:val="0"/>
                <w:sz w:val="21"/>
                <w:szCs w:val="21"/>
              </w:rPr>
            </w:pPr>
            <w:r>
              <w:rPr>
                <w:rFonts w:hint="eastAsia" w:ascii="宋体" w:hAnsi="宋体" w:cs="宋体"/>
                <w:kern w:val="0"/>
                <w:sz w:val="21"/>
                <w:szCs w:val="21"/>
              </w:rPr>
              <w:t>瑞安塘下新区管委会</w:t>
            </w:r>
          </w:p>
        </w:tc>
      </w:tr>
      <w:tr w14:paraId="5E826CAC">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5E6C758">
            <w:pPr>
              <w:widowControl/>
              <w:spacing w:line="240" w:lineRule="exact"/>
              <w:jc w:val="center"/>
              <w:rPr>
                <w:rFonts w:ascii="宋体" w:hAnsi="宋体" w:cs="宋体"/>
                <w:kern w:val="0"/>
                <w:sz w:val="21"/>
                <w:szCs w:val="21"/>
              </w:rPr>
            </w:pPr>
            <w:r>
              <w:rPr>
                <w:rFonts w:hint="eastAsia" w:ascii="宋体" w:hAnsi="宋体" w:cs="宋体"/>
                <w:kern w:val="0"/>
                <w:sz w:val="21"/>
                <w:szCs w:val="21"/>
              </w:rPr>
              <w:t>51</w:t>
            </w:r>
          </w:p>
        </w:tc>
        <w:tc>
          <w:tcPr>
            <w:tcW w:w="2269" w:type="dxa"/>
            <w:tcBorders>
              <w:top w:val="nil"/>
              <w:left w:val="nil"/>
              <w:bottom w:val="single" w:color="auto" w:sz="4" w:space="0"/>
              <w:right w:val="single" w:color="auto" w:sz="4" w:space="0"/>
            </w:tcBorders>
            <w:shd w:val="clear" w:color="000000" w:fill="FFFFFF"/>
            <w:vAlign w:val="center"/>
          </w:tcPr>
          <w:p w14:paraId="4769D531">
            <w:pPr>
              <w:widowControl/>
              <w:spacing w:line="240" w:lineRule="exact"/>
              <w:jc w:val="center"/>
              <w:rPr>
                <w:rFonts w:ascii="宋体" w:hAnsi="宋体" w:cs="宋体"/>
                <w:kern w:val="0"/>
                <w:sz w:val="21"/>
                <w:szCs w:val="21"/>
              </w:rPr>
            </w:pPr>
            <w:r>
              <w:rPr>
                <w:rFonts w:hint="eastAsia" w:ascii="宋体" w:hAnsi="宋体" w:cs="宋体"/>
                <w:kern w:val="0"/>
                <w:sz w:val="21"/>
                <w:szCs w:val="21"/>
              </w:rPr>
              <w:t>江南机械园区二期</w:t>
            </w:r>
          </w:p>
        </w:tc>
        <w:tc>
          <w:tcPr>
            <w:tcW w:w="1276" w:type="dxa"/>
            <w:tcBorders>
              <w:top w:val="nil"/>
              <w:left w:val="nil"/>
              <w:bottom w:val="single" w:color="auto" w:sz="4" w:space="0"/>
              <w:right w:val="single" w:color="auto" w:sz="4" w:space="0"/>
            </w:tcBorders>
            <w:shd w:val="clear" w:color="000000" w:fill="FFFFFF"/>
            <w:noWrap/>
            <w:vAlign w:val="center"/>
          </w:tcPr>
          <w:p w14:paraId="6D6187EA">
            <w:pPr>
              <w:widowControl/>
              <w:spacing w:line="240" w:lineRule="exact"/>
              <w:jc w:val="center"/>
              <w:rPr>
                <w:rFonts w:ascii="宋体" w:hAnsi="宋体" w:cs="宋体"/>
                <w:kern w:val="0"/>
                <w:sz w:val="21"/>
                <w:szCs w:val="21"/>
              </w:rPr>
            </w:pPr>
            <w:r>
              <w:rPr>
                <w:rFonts w:hint="eastAsia" w:ascii="宋体" w:hAnsi="宋体" w:cs="宋体"/>
                <w:kern w:val="0"/>
                <w:sz w:val="21"/>
                <w:szCs w:val="21"/>
              </w:rPr>
              <w:t>2024-2028</w:t>
            </w:r>
          </w:p>
        </w:tc>
        <w:tc>
          <w:tcPr>
            <w:tcW w:w="6520" w:type="dxa"/>
            <w:tcBorders>
              <w:top w:val="nil"/>
              <w:left w:val="nil"/>
              <w:bottom w:val="single" w:color="auto" w:sz="4" w:space="0"/>
              <w:right w:val="single" w:color="auto" w:sz="4" w:space="0"/>
            </w:tcBorders>
            <w:shd w:val="clear" w:color="000000" w:fill="FFFFFF"/>
            <w:vAlign w:val="center"/>
          </w:tcPr>
          <w:p w14:paraId="431D3AC6">
            <w:pPr>
              <w:widowControl/>
              <w:spacing w:line="240" w:lineRule="exact"/>
              <w:rPr>
                <w:rFonts w:ascii="宋体" w:hAnsi="宋体" w:cs="宋体"/>
                <w:kern w:val="0"/>
                <w:sz w:val="21"/>
                <w:szCs w:val="21"/>
              </w:rPr>
            </w:pPr>
            <w:r>
              <w:rPr>
                <w:rFonts w:hint="eastAsia" w:ascii="宋体" w:hAnsi="宋体" w:cs="宋体"/>
                <w:kern w:val="0"/>
                <w:sz w:val="21"/>
                <w:szCs w:val="21"/>
              </w:rPr>
              <w:t>位于南滨西单元04-52地块，拟建计容总建筑面积约157200㎡，新建生产车间、仓库、办公楼、研发展示中心及相关配套设施，将以合理的布局、优美的环境、崭新的面貌打造初具规模的现代自动化一体包装机械智造基地。</w:t>
            </w:r>
          </w:p>
        </w:tc>
        <w:tc>
          <w:tcPr>
            <w:tcW w:w="992" w:type="dxa"/>
            <w:tcBorders>
              <w:top w:val="nil"/>
              <w:left w:val="nil"/>
              <w:bottom w:val="single" w:color="auto" w:sz="4" w:space="0"/>
              <w:right w:val="single" w:color="auto" w:sz="4" w:space="0"/>
            </w:tcBorders>
            <w:shd w:val="clear" w:color="000000" w:fill="FFFFFF"/>
            <w:noWrap/>
            <w:vAlign w:val="center"/>
          </w:tcPr>
          <w:p w14:paraId="223D79C2">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6.00 </w:t>
            </w:r>
          </w:p>
        </w:tc>
        <w:tc>
          <w:tcPr>
            <w:tcW w:w="2552" w:type="dxa"/>
            <w:tcBorders>
              <w:top w:val="nil"/>
              <w:left w:val="nil"/>
              <w:bottom w:val="single" w:color="auto" w:sz="4" w:space="0"/>
              <w:right w:val="single" w:color="auto" w:sz="4" w:space="0"/>
            </w:tcBorders>
            <w:shd w:val="clear" w:color="000000" w:fill="FFFFFF"/>
            <w:vAlign w:val="center"/>
          </w:tcPr>
          <w:p w14:paraId="5EE07C70">
            <w:pPr>
              <w:widowControl/>
              <w:spacing w:line="240" w:lineRule="exact"/>
              <w:jc w:val="center"/>
              <w:rPr>
                <w:rFonts w:ascii="宋体" w:hAnsi="宋体" w:cs="宋体"/>
                <w:kern w:val="0"/>
                <w:sz w:val="21"/>
                <w:szCs w:val="21"/>
              </w:rPr>
            </w:pPr>
            <w:r>
              <w:rPr>
                <w:rFonts w:hint="eastAsia" w:ascii="宋体" w:hAnsi="宋体" w:cs="宋体"/>
                <w:kern w:val="0"/>
                <w:sz w:val="21"/>
                <w:szCs w:val="21"/>
              </w:rPr>
              <w:t>瑞安江南新区管委会、南滨街道</w:t>
            </w:r>
          </w:p>
        </w:tc>
      </w:tr>
      <w:tr w14:paraId="6EB2D05E">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A44EAE6">
            <w:pPr>
              <w:widowControl/>
              <w:spacing w:line="240" w:lineRule="exact"/>
              <w:jc w:val="center"/>
              <w:rPr>
                <w:rFonts w:ascii="宋体" w:hAnsi="宋体" w:cs="宋体"/>
                <w:kern w:val="0"/>
                <w:sz w:val="21"/>
                <w:szCs w:val="21"/>
              </w:rPr>
            </w:pPr>
            <w:r>
              <w:rPr>
                <w:rFonts w:hint="eastAsia" w:ascii="宋体" w:hAnsi="宋体" w:cs="宋体"/>
                <w:kern w:val="0"/>
                <w:sz w:val="21"/>
                <w:szCs w:val="21"/>
              </w:rPr>
              <w:t>52</w:t>
            </w:r>
          </w:p>
        </w:tc>
        <w:tc>
          <w:tcPr>
            <w:tcW w:w="2269" w:type="dxa"/>
            <w:tcBorders>
              <w:top w:val="nil"/>
              <w:left w:val="nil"/>
              <w:bottom w:val="single" w:color="auto" w:sz="4" w:space="0"/>
              <w:right w:val="single" w:color="auto" w:sz="4" w:space="0"/>
            </w:tcBorders>
            <w:shd w:val="clear" w:color="000000" w:fill="FFFFFF"/>
            <w:vAlign w:val="center"/>
          </w:tcPr>
          <w:p w14:paraId="6F016838">
            <w:pPr>
              <w:widowControl/>
              <w:spacing w:line="240" w:lineRule="exact"/>
              <w:jc w:val="center"/>
              <w:rPr>
                <w:rFonts w:hint="eastAsia" w:ascii="宋体" w:hAnsi="宋体" w:eastAsia="仿宋_GB2312" w:cs="宋体"/>
                <w:kern w:val="0"/>
                <w:sz w:val="21"/>
                <w:szCs w:val="21"/>
                <w:lang w:eastAsia="zh-CN"/>
              </w:rPr>
            </w:pPr>
            <w:r>
              <w:rPr>
                <w:rFonts w:hint="eastAsia" w:ascii="宋体" w:hAnsi="宋体" w:cs="宋体"/>
                <w:kern w:val="0"/>
                <w:sz w:val="21"/>
                <w:szCs w:val="21"/>
              </w:rPr>
              <w:t>华瑞达包装材料股份有限公司年产14万吨多层共挤功能性薄膜新材料建设</w:t>
            </w:r>
            <w:r>
              <w:rPr>
                <w:rFonts w:hint="eastAsia" w:ascii="宋体" w:hAnsi="宋体" w:cs="宋体"/>
                <w:kern w:val="0"/>
                <w:sz w:val="21"/>
                <w:szCs w:val="21"/>
                <w:lang w:eastAsia="zh-CN"/>
              </w:rPr>
              <w:t>项目</w:t>
            </w:r>
          </w:p>
        </w:tc>
        <w:tc>
          <w:tcPr>
            <w:tcW w:w="1276" w:type="dxa"/>
            <w:tcBorders>
              <w:top w:val="nil"/>
              <w:left w:val="nil"/>
              <w:bottom w:val="single" w:color="auto" w:sz="4" w:space="0"/>
              <w:right w:val="single" w:color="auto" w:sz="4" w:space="0"/>
            </w:tcBorders>
            <w:shd w:val="clear" w:color="000000" w:fill="FFFFFF"/>
            <w:noWrap/>
            <w:vAlign w:val="center"/>
          </w:tcPr>
          <w:p w14:paraId="76A4D952">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480C2B09">
            <w:pPr>
              <w:widowControl/>
              <w:spacing w:line="240" w:lineRule="exact"/>
              <w:rPr>
                <w:rFonts w:ascii="宋体" w:hAnsi="宋体" w:cs="宋体"/>
                <w:kern w:val="0"/>
                <w:sz w:val="21"/>
                <w:szCs w:val="21"/>
              </w:rPr>
            </w:pPr>
            <w:r>
              <w:rPr>
                <w:rFonts w:hint="eastAsia" w:ascii="宋体" w:hAnsi="宋体" w:cs="宋体"/>
                <w:kern w:val="0"/>
                <w:sz w:val="21"/>
                <w:szCs w:val="21"/>
              </w:rPr>
              <w:t>选址于南滨街道飞云新区05-44地块，建筑面积50060㎡，项目达产期销售收入17.5亿元，预计年税收达1.1亿元。</w:t>
            </w:r>
          </w:p>
        </w:tc>
        <w:tc>
          <w:tcPr>
            <w:tcW w:w="992" w:type="dxa"/>
            <w:tcBorders>
              <w:top w:val="nil"/>
              <w:left w:val="nil"/>
              <w:bottom w:val="single" w:color="auto" w:sz="4" w:space="0"/>
              <w:right w:val="single" w:color="auto" w:sz="4" w:space="0"/>
            </w:tcBorders>
            <w:shd w:val="clear" w:color="000000" w:fill="FFFFFF"/>
            <w:noWrap/>
            <w:vAlign w:val="center"/>
          </w:tcPr>
          <w:p w14:paraId="36FC6240">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3.00 </w:t>
            </w:r>
          </w:p>
        </w:tc>
        <w:tc>
          <w:tcPr>
            <w:tcW w:w="2552" w:type="dxa"/>
            <w:tcBorders>
              <w:top w:val="nil"/>
              <w:left w:val="nil"/>
              <w:bottom w:val="single" w:color="auto" w:sz="4" w:space="0"/>
              <w:right w:val="single" w:color="auto" w:sz="4" w:space="0"/>
            </w:tcBorders>
            <w:shd w:val="clear" w:color="000000" w:fill="FFFFFF"/>
            <w:vAlign w:val="center"/>
          </w:tcPr>
          <w:p w14:paraId="1F59D630">
            <w:pPr>
              <w:widowControl/>
              <w:spacing w:line="240" w:lineRule="exact"/>
              <w:jc w:val="center"/>
              <w:rPr>
                <w:rFonts w:ascii="宋体" w:hAnsi="宋体" w:cs="宋体"/>
                <w:kern w:val="0"/>
                <w:sz w:val="21"/>
                <w:szCs w:val="21"/>
              </w:rPr>
            </w:pPr>
            <w:r>
              <w:rPr>
                <w:rFonts w:hint="eastAsia" w:ascii="宋体" w:hAnsi="宋体" w:cs="宋体"/>
                <w:kern w:val="0"/>
                <w:sz w:val="21"/>
                <w:szCs w:val="21"/>
              </w:rPr>
              <w:t>瑞安江南新区管委会、南滨街道</w:t>
            </w:r>
          </w:p>
        </w:tc>
      </w:tr>
      <w:tr w14:paraId="11A36424">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97ED835">
            <w:pPr>
              <w:widowControl/>
              <w:spacing w:line="240" w:lineRule="exact"/>
              <w:jc w:val="center"/>
              <w:rPr>
                <w:rFonts w:ascii="宋体" w:hAnsi="宋体" w:cs="宋体"/>
                <w:kern w:val="0"/>
                <w:sz w:val="21"/>
                <w:szCs w:val="21"/>
              </w:rPr>
            </w:pPr>
            <w:r>
              <w:rPr>
                <w:rFonts w:hint="eastAsia" w:ascii="宋体" w:hAnsi="宋体" w:cs="宋体"/>
                <w:kern w:val="0"/>
                <w:sz w:val="21"/>
                <w:szCs w:val="21"/>
              </w:rPr>
              <w:t>53</w:t>
            </w:r>
          </w:p>
        </w:tc>
        <w:tc>
          <w:tcPr>
            <w:tcW w:w="2269" w:type="dxa"/>
            <w:tcBorders>
              <w:top w:val="nil"/>
              <w:left w:val="nil"/>
              <w:bottom w:val="single" w:color="auto" w:sz="4" w:space="0"/>
              <w:right w:val="single" w:color="auto" w:sz="4" w:space="0"/>
            </w:tcBorders>
            <w:shd w:val="clear" w:color="000000" w:fill="FFFFFF"/>
            <w:vAlign w:val="center"/>
          </w:tcPr>
          <w:p w14:paraId="34637C67">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云周街道轻工园区（天宏）配套道路建设项目</w:t>
            </w:r>
          </w:p>
        </w:tc>
        <w:tc>
          <w:tcPr>
            <w:tcW w:w="1276" w:type="dxa"/>
            <w:tcBorders>
              <w:top w:val="nil"/>
              <w:left w:val="nil"/>
              <w:bottom w:val="single" w:color="auto" w:sz="4" w:space="0"/>
              <w:right w:val="single" w:color="auto" w:sz="4" w:space="0"/>
            </w:tcBorders>
            <w:shd w:val="clear" w:color="auto" w:fill="auto"/>
            <w:vAlign w:val="center"/>
          </w:tcPr>
          <w:p w14:paraId="501510D1">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2024-2026</w:t>
            </w:r>
          </w:p>
        </w:tc>
        <w:tc>
          <w:tcPr>
            <w:tcW w:w="6520" w:type="dxa"/>
            <w:tcBorders>
              <w:top w:val="nil"/>
              <w:left w:val="nil"/>
              <w:bottom w:val="single" w:color="auto" w:sz="4" w:space="0"/>
              <w:right w:val="single" w:color="auto" w:sz="4" w:space="0"/>
            </w:tcBorders>
            <w:shd w:val="clear" w:color="auto" w:fill="auto"/>
            <w:vAlign w:val="center"/>
          </w:tcPr>
          <w:p w14:paraId="34099E1A">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为天宏高分子新材时尚鞋智造项目重要的市政基础设施配套工程，包括西垟路（次纬五路至次纬二路段）道路工程、次经三路道路工程等。</w:t>
            </w:r>
          </w:p>
        </w:tc>
        <w:tc>
          <w:tcPr>
            <w:tcW w:w="992" w:type="dxa"/>
            <w:tcBorders>
              <w:top w:val="nil"/>
              <w:left w:val="nil"/>
              <w:bottom w:val="single" w:color="auto" w:sz="4" w:space="0"/>
              <w:right w:val="single" w:color="auto" w:sz="4" w:space="0"/>
            </w:tcBorders>
            <w:shd w:val="clear" w:color="auto" w:fill="auto"/>
            <w:vAlign w:val="center"/>
          </w:tcPr>
          <w:p w14:paraId="584F6FEB">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1.50 </w:t>
            </w:r>
          </w:p>
        </w:tc>
        <w:tc>
          <w:tcPr>
            <w:tcW w:w="2552" w:type="dxa"/>
            <w:tcBorders>
              <w:top w:val="nil"/>
              <w:left w:val="nil"/>
              <w:bottom w:val="single" w:color="auto" w:sz="4" w:space="0"/>
              <w:right w:val="single" w:color="auto" w:sz="4" w:space="0"/>
            </w:tcBorders>
            <w:shd w:val="clear" w:color="auto" w:fill="auto"/>
            <w:vAlign w:val="center"/>
          </w:tcPr>
          <w:p w14:paraId="45804348">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瑞安江南新区管委会、云周街道办事处</w:t>
            </w:r>
          </w:p>
        </w:tc>
      </w:tr>
      <w:tr w14:paraId="63116663">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0CCC620D">
            <w:pPr>
              <w:widowControl/>
              <w:spacing w:line="240" w:lineRule="exact"/>
              <w:jc w:val="center"/>
              <w:rPr>
                <w:rFonts w:ascii="宋体" w:hAnsi="宋体" w:cs="宋体"/>
                <w:kern w:val="0"/>
                <w:sz w:val="21"/>
                <w:szCs w:val="21"/>
              </w:rPr>
            </w:pPr>
            <w:r>
              <w:rPr>
                <w:rFonts w:hint="eastAsia" w:ascii="宋体" w:hAnsi="宋体" w:cs="宋体"/>
                <w:kern w:val="0"/>
                <w:sz w:val="21"/>
                <w:szCs w:val="21"/>
              </w:rPr>
              <w:t>54</w:t>
            </w:r>
          </w:p>
        </w:tc>
        <w:tc>
          <w:tcPr>
            <w:tcW w:w="2269" w:type="dxa"/>
            <w:tcBorders>
              <w:top w:val="nil"/>
              <w:left w:val="nil"/>
              <w:bottom w:val="single" w:color="auto" w:sz="4" w:space="0"/>
              <w:right w:val="single" w:color="auto" w:sz="4" w:space="0"/>
            </w:tcBorders>
            <w:shd w:val="clear" w:color="000000" w:fill="FFFFFF"/>
            <w:vAlign w:val="center"/>
          </w:tcPr>
          <w:p w14:paraId="0C694B02">
            <w:pPr>
              <w:widowControl/>
              <w:spacing w:line="240" w:lineRule="exact"/>
              <w:jc w:val="center"/>
              <w:rPr>
                <w:rFonts w:ascii="宋体" w:hAnsi="宋体" w:cs="宋体"/>
                <w:kern w:val="0"/>
                <w:sz w:val="21"/>
                <w:szCs w:val="21"/>
              </w:rPr>
            </w:pPr>
            <w:r>
              <w:rPr>
                <w:rFonts w:hint="eastAsia" w:ascii="宋体" w:hAnsi="宋体" w:cs="宋体"/>
                <w:kern w:val="0"/>
                <w:sz w:val="21"/>
                <w:szCs w:val="21"/>
              </w:rPr>
              <w:t>汽车智能悬架系统项目</w:t>
            </w:r>
          </w:p>
        </w:tc>
        <w:tc>
          <w:tcPr>
            <w:tcW w:w="1276" w:type="dxa"/>
            <w:tcBorders>
              <w:top w:val="nil"/>
              <w:left w:val="nil"/>
              <w:bottom w:val="single" w:color="auto" w:sz="4" w:space="0"/>
              <w:right w:val="single" w:color="auto" w:sz="4" w:space="0"/>
            </w:tcBorders>
            <w:shd w:val="clear" w:color="000000" w:fill="FFFFFF"/>
            <w:vAlign w:val="center"/>
          </w:tcPr>
          <w:p w14:paraId="5E0934B6">
            <w:pPr>
              <w:widowControl/>
              <w:spacing w:line="240" w:lineRule="exact"/>
              <w:jc w:val="center"/>
              <w:rPr>
                <w:rFonts w:ascii="宋体" w:hAnsi="宋体" w:cs="宋体"/>
                <w:kern w:val="0"/>
                <w:sz w:val="21"/>
                <w:szCs w:val="21"/>
              </w:rPr>
            </w:pPr>
            <w:r>
              <w:rPr>
                <w:rFonts w:hint="eastAsia" w:ascii="宋体" w:hAnsi="宋体" w:cs="宋体"/>
                <w:kern w:val="0"/>
                <w:sz w:val="21"/>
                <w:szCs w:val="21"/>
              </w:rPr>
              <w:t>2025-2026</w:t>
            </w:r>
          </w:p>
        </w:tc>
        <w:tc>
          <w:tcPr>
            <w:tcW w:w="6520" w:type="dxa"/>
            <w:tcBorders>
              <w:top w:val="nil"/>
              <w:left w:val="nil"/>
              <w:bottom w:val="single" w:color="auto" w:sz="4" w:space="0"/>
              <w:right w:val="single" w:color="auto" w:sz="4" w:space="0"/>
            </w:tcBorders>
            <w:shd w:val="clear" w:color="000000" w:fill="FFFFFF"/>
            <w:vAlign w:val="center"/>
          </w:tcPr>
          <w:p w14:paraId="24BB9735">
            <w:pPr>
              <w:widowControl/>
              <w:spacing w:line="240" w:lineRule="exact"/>
              <w:rPr>
                <w:rFonts w:ascii="宋体" w:hAnsi="宋体" w:cs="宋体"/>
                <w:kern w:val="0"/>
                <w:sz w:val="21"/>
                <w:szCs w:val="21"/>
              </w:rPr>
            </w:pPr>
            <w:r>
              <w:rPr>
                <w:rFonts w:hint="eastAsia" w:ascii="宋体" w:hAnsi="宋体" w:cs="宋体"/>
                <w:kern w:val="0"/>
                <w:sz w:val="21"/>
                <w:szCs w:val="21"/>
              </w:rPr>
              <w:t>位于万亩千亿平台，拟建设汽车智能悬架系统项目，用地面积200亩。</w:t>
            </w:r>
          </w:p>
        </w:tc>
        <w:tc>
          <w:tcPr>
            <w:tcW w:w="992" w:type="dxa"/>
            <w:tcBorders>
              <w:top w:val="nil"/>
              <w:left w:val="nil"/>
              <w:bottom w:val="single" w:color="auto" w:sz="4" w:space="0"/>
              <w:right w:val="single" w:color="auto" w:sz="4" w:space="0"/>
            </w:tcBorders>
            <w:shd w:val="clear" w:color="000000" w:fill="FFFFFF"/>
            <w:vAlign w:val="center"/>
          </w:tcPr>
          <w:p w14:paraId="72B73A9A">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10.00 </w:t>
            </w:r>
          </w:p>
        </w:tc>
        <w:tc>
          <w:tcPr>
            <w:tcW w:w="2552" w:type="dxa"/>
            <w:tcBorders>
              <w:top w:val="nil"/>
              <w:left w:val="nil"/>
              <w:bottom w:val="single" w:color="auto" w:sz="4" w:space="0"/>
              <w:right w:val="single" w:color="auto" w:sz="4" w:space="0"/>
            </w:tcBorders>
            <w:shd w:val="clear" w:color="000000" w:fill="FFFFFF"/>
            <w:vAlign w:val="center"/>
          </w:tcPr>
          <w:p w14:paraId="48DB3E4D">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679ACC76">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DAD8E4D">
            <w:pPr>
              <w:widowControl/>
              <w:spacing w:line="240" w:lineRule="exact"/>
              <w:jc w:val="center"/>
              <w:rPr>
                <w:rFonts w:ascii="宋体" w:hAnsi="宋体" w:cs="宋体"/>
                <w:kern w:val="0"/>
                <w:sz w:val="21"/>
                <w:szCs w:val="21"/>
              </w:rPr>
            </w:pPr>
            <w:r>
              <w:rPr>
                <w:rFonts w:hint="eastAsia" w:ascii="宋体" w:hAnsi="宋体" w:cs="宋体"/>
                <w:kern w:val="0"/>
                <w:sz w:val="21"/>
                <w:szCs w:val="21"/>
              </w:rPr>
              <w:t>55</w:t>
            </w:r>
          </w:p>
        </w:tc>
        <w:tc>
          <w:tcPr>
            <w:tcW w:w="2269" w:type="dxa"/>
            <w:tcBorders>
              <w:top w:val="nil"/>
              <w:left w:val="nil"/>
              <w:bottom w:val="single" w:color="auto" w:sz="4" w:space="0"/>
              <w:right w:val="single" w:color="auto" w:sz="4" w:space="0"/>
            </w:tcBorders>
            <w:shd w:val="clear" w:color="000000" w:fill="FFFFFF"/>
            <w:vAlign w:val="center"/>
          </w:tcPr>
          <w:p w14:paraId="43B6EE20">
            <w:pPr>
              <w:widowControl/>
              <w:spacing w:line="240" w:lineRule="exact"/>
              <w:jc w:val="center"/>
              <w:rPr>
                <w:rFonts w:ascii="宋体" w:hAnsi="宋体" w:cs="宋体"/>
                <w:kern w:val="0"/>
                <w:sz w:val="21"/>
                <w:szCs w:val="21"/>
              </w:rPr>
            </w:pPr>
            <w:r>
              <w:rPr>
                <w:rFonts w:hint="eastAsia" w:ascii="宋体" w:hAnsi="宋体" w:cs="宋体"/>
                <w:kern w:val="0"/>
                <w:sz w:val="21"/>
                <w:szCs w:val="21"/>
              </w:rPr>
              <w:t>汽车智能转向系统项目</w:t>
            </w:r>
          </w:p>
        </w:tc>
        <w:tc>
          <w:tcPr>
            <w:tcW w:w="1276" w:type="dxa"/>
            <w:tcBorders>
              <w:top w:val="nil"/>
              <w:left w:val="nil"/>
              <w:bottom w:val="single" w:color="auto" w:sz="4" w:space="0"/>
              <w:right w:val="single" w:color="auto" w:sz="4" w:space="0"/>
            </w:tcBorders>
            <w:shd w:val="clear" w:color="000000" w:fill="FFFFFF"/>
            <w:vAlign w:val="center"/>
          </w:tcPr>
          <w:p w14:paraId="04377AFF">
            <w:pPr>
              <w:widowControl/>
              <w:spacing w:line="240" w:lineRule="exact"/>
              <w:jc w:val="center"/>
              <w:rPr>
                <w:rFonts w:ascii="宋体" w:hAnsi="宋体" w:cs="宋体"/>
                <w:kern w:val="0"/>
                <w:sz w:val="21"/>
                <w:szCs w:val="21"/>
              </w:rPr>
            </w:pPr>
            <w:r>
              <w:rPr>
                <w:rFonts w:hint="eastAsia" w:ascii="宋体" w:hAnsi="宋体" w:cs="宋体"/>
                <w:kern w:val="0"/>
                <w:sz w:val="21"/>
                <w:szCs w:val="21"/>
              </w:rPr>
              <w:t>2025-2026</w:t>
            </w:r>
          </w:p>
        </w:tc>
        <w:tc>
          <w:tcPr>
            <w:tcW w:w="6520" w:type="dxa"/>
            <w:tcBorders>
              <w:top w:val="nil"/>
              <w:left w:val="nil"/>
              <w:bottom w:val="single" w:color="auto" w:sz="4" w:space="0"/>
              <w:right w:val="single" w:color="auto" w:sz="4" w:space="0"/>
            </w:tcBorders>
            <w:shd w:val="clear" w:color="000000" w:fill="FFFFFF"/>
            <w:vAlign w:val="center"/>
          </w:tcPr>
          <w:p w14:paraId="4EA4379C">
            <w:pPr>
              <w:widowControl/>
              <w:spacing w:line="240" w:lineRule="exact"/>
              <w:rPr>
                <w:rFonts w:ascii="宋体" w:hAnsi="宋体" w:cs="宋体"/>
                <w:kern w:val="0"/>
                <w:sz w:val="21"/>
                <w:szCs w:val="21"/>
              </w:rPr>
            </w:pPr>
            <w:r>
              <w:rPr>
                <w:rFonts w:hint="eastAsia" w:ascii="宋体" w:hAnsi="宋体" w:cs="宋体"/>
                <w:kern w:val="0"/>
                <w:sz w:val="21"/>
                <w:szCs w:val="21"/>
              </w:rPr>
              <w:t>位于万亩千亿平台，拟建设汽车智能转向系统科研开发项目，用地面积200亩。</w:t>
            </w:r>
          </w:p>
        </w:tc>
        <w:tc>
          <w:tcPr>
            <w:tcW w:w="992" w:type="dxa"/>
            <w:tcBorders>
              <w:top w:val="nil"/>
              <w:left w:val="nil"/>
              <w:bottom w:val="single" w:color="auto" w:sz="4" w:space="0"/>
              <w:right w:val="single" w:color="auto" w:sz="4" w:space="0"/>
            </w:tcBorders>
            <w:shd w:val="clear" w:color="000000" w:fill="FFFFFF"/>
            <w:vAlign w:val="center"/>
          </w:tcPr>
          <w:p w14:paraId="48950703">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10.00 </w:t>
            </w:r>
          </w:p>
        </w:tc>
        <w:tc>
          <w:tcPr>
            <w:tcW w:w="2552" w:type="dxa"/>
            <w:tcBorders>
              <w:top w:val="nil"/>
              <w:left w:val="nil"/>
              <w:bottom w:val="single" w:color="auto" w:sz="4" w:space="0"/>
              <w:right w:val="single" w:color="auto" w:sz="4" w:space="0"/>
            </w:tcBorders>
            <w:shd w:val="clear" w:color="000000" w:fill="FFFFFF"/>
            <w:vAlign w:val="center"/>
          </w:tcPr>
          <w:p w14:paraId="5603446F">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7E82B3B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CDEEF7C">
            <w:pPr>
              <w:widowControl/>
              <w:spacing w:line="240" w:lineRule="exact"/>
              <w:jc w:val="center"/>
              <w:rPr>
                <w:rFonts w:ascii="宋体" w:hAnsi="宋体" w:cs="宋体"/>
                <w:kern w:val="0"/>
                <w:sz w:val="21"/>
                <w:szCs w:val="21"/>
              </w:rPr>
            </w:pPr>
            <w:r>
              <w:rPr>
                <w:rFonts w:hint="eastAsia" w:ascii="宋体" w:hAnsi="宋体" w:cs="宋体"/>
                <w:kern w:val="0"/>
                <w:sz w:val="21"/>
                <w:szCs w:val="21"/>
              </w:rPr>
              <w:t>56</w:t>
            </w:r>
          </w:p>
        </w:tc>
        <w:tc>
          <w:tcPr>
            <w:tcW w:w="2269" w:type="dxa"/>
            <w:tcBorders>
              <w:top w:val="nil"/>
              <w:left w:val="nil"/>
              <w:bottom w:val="single" w:color="auto" w:sz="4" w:space="0"/>
              <w:right w:val="single" w:color="auto" w:sz="4" w:space="0"/>
            </w:tcBorders>
            <w:shd w:val="clear" w:color="000000" w:fill="FFFFFF"/>
            <w:vAlign w:val="center"/>
          </w:tcPr>
          <w:p w14:paraId="66FD5CB7">
            <w:pPr>
              <w:widowControl/>
              <w:spacing w:line="240" w:lineRule="exact"/>
              <w:jc w:val="center"/>
              <w:rPr>
                <w:rFonts w:ascii="宋体" w:hAnsi="宋体" w:cs="宋体"/>
                <w:kern w:val="0"/>
                <w:sz w:val="21"/>
                <w:szCs w:val="21"/>
              </w:rPr>
            </w:pPr>
            <w:r>
              <w:rPr>
                <w:rFonts w:hint="eastAsia" w:ascii="宋体" w:hAnsi="宋体" w:cs="宋体"/>
                <w:kern w:val="0"/>
                <w:sz w:val="21"/>
                <w:szCs w:val="21"/>
              </w:rPr>
              <w:t>新能源汽车智能车身稳定系统工程项目</w:t>
            </w:r>
          </w:p>
        </w:tc>
        <w:tc>
          <w:tcPr>
            <w:tcW w:w="1276" w:type="dxa"/>
            <w:tcBorders>
              <w:top w:val="nil"/>
              <w:left w:val="nil"/>
              <w:bottom w:val="single" w:color="auto" w:sz="4" w:space="0"/>
              <w:right w:val="single" w:color="auto" w:sz="4" w:space="0"/>
            </w:tcBorders>
            <w:shd w:val="clear" w:color="000000" w:fill="FFFFFF"/>
            <w:vAlign w:val="center"/>
          </w:tcPr>
          <w:p w14:paraId="35E174EA">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nil"/>
              <w:left w:val="nil"/>
              <w:bottom w:val="single" w:color="auto" w:sz="4" w:space="0"/>
              <w:right w:val="single" w:color="auto" w:sz="4" w:space="0"/>
            </w:tcBorders>
            <w:shd w:val="clear" w:color="000000" w:fill="FFFFFF"/>
            <w:vAlign w:val="center"/>
          </w:tcPr>
          <w:p w14:paraId="3E15E045">
            <w:pPr>
              <w:widowControl/>
              <w:spacing w:line="240" w:lineRule="exact"/>
              <w:rPr>
                <w:rFonts w:ascii="宋体" w:hAnsi="宋体" w:cs="宋体"/>
                <w:kern w:val="0"/>
                <w:sz w:val="21"/>
                <w:szCs w:val="21"/>
              </w:rPr>
            </w:pPr>
            <w:r>
              <w:rPr>
                <w:rFonts w:hint="eastAsia" w:ascii="宋体" w:hAnsi="宋体" w:cs="宋体"/>
                <w:kern w:val="0"/>
                <w:sz w:val="21"/>
                <w:szCs w:val="21"/>
              </w:rPr>
              <w:t>项目选址在万亩千亿平台塘下基地，申报用地面积约660.78亩，建设包括生产车间、研发中心、办公楼、仓储物流中心等，建设数字化工厂。</w:t>
            </w:r>
          </w:p>
        </w:tc>
        <w:tc>
          <w:tcPr>
            <w:tcW w:w="992" w:type="dxa"/>
            <w:tcBorders>
              <w:top w:val="nil"/>
              <w:left w:val="nil"/>
              <w:bottom w:val="single" w:color="auto" w:sz="4" w:space="0"/>
              <w:right w:val="single" w:color="auto" w:sz="4" w:space="0"/>
            </w:tcBorders>
            <w:shd w:val="clear" w:color="000000" w:fill="FFFFFF"/>
            <w:vAlign w:val="center"/>
          </w:tcPr>
          <w:p w14:paraId="71FB964C">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20.00 </w:t>
            </w:r>
          </w:p>
        </w:tc>
        <w:tc>
          <w:tcPr>
            <w:tcW w:w="2552" w:type="dxa"/>
            <w:tcBorders>
              <w:top w:val="nil"/>
              <w:left w:val="nil"/>
              <w:bottom w:val="single" w:color="auto" w:sz="4" w:space="0"/>
              <w:right w:val="single" w:color="auto" w:sz="4" w:space="0"/>
            </w:tcBorders>
            <w:shd w:val="clear" w:color="000000" w:fill="FFFFFF"/>
            <w:vAlign w:val="center"/>
          </w:tcPr>
          <w:p w14:paraId="111C395D">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04D61D5A">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5E53202">
            <w:pPr>
              <w:widowControl/>
              <w:spacing w:line="240" w:lineRule="exact"/>
              <w:jc w:val="center"/>
              <w:rPr>
                <w:rFonts w:ascii="宋体" w:hAnsi="宋体" w:cs="宋体"/>
                <w:kern w:val="0"/>
                <w:sz w:val="21"/>
                <w:szCs w:val="21"/>
              </w:rPr>
            </w:pPr>
            <w:r>
              <w:rPr>
                <w:rFonts w:hint="eastAsia" w:ascii="宋体" w:hAnsi="宋体" w:cs="宋体"/>
                <w:kern w:val="0"/>
                <w:sz w:val="21"/>
                <w:szCs w:val="21"/>
              </w:rPr>
              <w:t>57</w:t>
            </w:r>
          </w:p>
        </w:tc>
        <w:tc>
          <w:tcPr>
            <w:tcW w:w="2269" w:type="dxa"/>
            <w:tcBorders>
              <w:top w:val="nil"/>
              <w:left w:val="nil"/>
              <w:bottom w:val="single" w:color="auto" w:sz="4" w:space="0"/>
              <w:right w:val="single" w:color="auto" w:sz="4" w:space="0"/>
            </w:tcBorders>
            <w:shd w:val="clear" w:color="000000" w:fill="FFFFFF"/>
            <w:vAlign w:val="center"/>
          </w:tcPr>
          <w:p w14:paraId="0D476DDE">
            <w:pPr>
              <w:widowControl/>
              <w:spacing w:line="240" w:lineRule="exact"/>
              <w:jc w:val="center"/>
              <w:rPr>
                <w:rFonts w:ascii="宋体" w:hAnsi="宋体" w:cs="宋体"/>
                <w:kern w:val="0"/>
                <w:sz w:val="21"/>
                <w:szCs w:val="21"/>
              </w:rPr>
            </w:pPr>
            <w:r>
              <w:rPr>
                <w:rFonts w:hint="eastAsia" w:ascii="宋体" w:hAnsi="宋体" w:cs="宋体"/>
                <w:kern w:val="0"/>
                <w:sz w:val="21"/>
                <w:szCs w:val="21"/>
              </w:rPr>
              <w:t>年产100万台汽车轻量化产研基地项目</w:t>
            </w:r>
          </w:p>
        </w:tc>
        <w:tc>
          <w:tcPr>
            <w:tcW w:w="1276" w:type="dxa"/>
            <w:tcBorders>
              <w:top w:val="nil"/>
              <w:left w:val="nil"/>
              <w:bottom w:val="single" w:color="auto" w:sz="4" w:space="0"/>
              <w:right w:val="single" w:color="auto" w:sz="4" w:space="0"/>
            </w:tcBorders>
            <w:shd w:val="clear" w:color="000000" w:fill="FFFFFF"/>
            <w:vAlign w:val="center"/>
          </w:tcPr>
          <w:p w14:paraId="311DFD30">
            <w:pPr>
              <w:widowControl/>
              <w:spacing w:line="240" w:lineRule="exact"/>
              <w:jc w:val="center"/>
              <w:rPr>
                <w:rFonts w:ascii="宋体" w:hAnsi="宋体" w:cs="宋体"/>
                <w:kern w:val="0"/>
                <w:sz w:val="21"/>
                <w:szCs w:val="21"/>
              </w:rPr>
            </w:pPr>
            <w:r>
              <w:rPr>
                <w:rFonts w:hint="eastAsia" w:ascii="宋体" w:hAnsi="宋体" w:cs="宋体"/>
                <w:kern w:val="0"/>
                <w:sz w:val="21"/>
                <w:szCs w:val="21"/>
              </w:rPr>
              <w:t>2023-2026</w:t>
            </w:r>
          </w:p>
        </w:tc>
        <w:tc>
          <w:tcPr>
            <w:tcW w:w="6520" w:type="dxa"/>
            <w:tcBorders>
              <w:top w:val="nil"/>
              <w:left w:val="nil"/>
              <w:bottom w:val="single" w:color="auto" w:sz="4" w:space="0"/>
              <w:right w:val="single" w:color="auto" w:sz="4" w:space="0"/>
            </w:tcBorders>
            <w:shd w:val="clear" w:color="000000" w:fill="FFFFFF"/>
            <w:vAlign w:val="center"/>
          </w:tcPr>
          <w:p w14:paraId="06D29189">
            <w:pPr>
              <w:widowControl/>
              <w:spacing w:line="240" w:lineRule="exact"/>
              <w:rPr>
                <w:rFonts w:ascii="宋体" w:hAnsi="宋体" w:cs="宋体"/>
                <w:kern w:val="0"/>
                <w:sz w:val="21"/>
                <w:szCs w:val="21"/>
              </w:rPr>
            </w:pPr>
            <w:r>
              <w:rPr>
                <w:rFonts w:hint="eastAsia" w:ascii="宋体" w:hAnsi="宋体" w:cs="宋体"/>
                <w:kern w:val="0"/>
                <w:sz w:val="21"/>
                <w:szCs w:val="21"/>
              </w:rPr>
              <w:t>项目位于新居村，用地50 亩，拟建成83000 ㎡的轻量化部件及生产研发一体基地。</w:t>
            </w:r>
          </w:p>
        </w:tc>
        <w:tc>
          <w:tcPr>
            <w:tcW w:w="992" w:type="dxa"/>
            <w:tcBorders>
              <w:top w:val="nil"/>
              <w:left w:val="nil"/>
              <w:bottom w:val="single" w:color="auto" w:sz="4" w:space="0"/>
              <w:right w:val="single" w:color="auto" w:sz="4" w:space="0"/>
            </w:tcBorders>
            <w:shd w:val="clear" w:color="000000" w:fill="FFFFFF"/>
            <w:vAlign w:val="center"/>
          </w:tcPr>
          <w:p w14:paraId="4FEA325E">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2.25 </w:t>
            </w:r>
          </w:p>
        </w:tc>
        <w:tc>
          <w:tcPr>
            <w:tcW w:w="2552" w:type="dxa"/>
            <w:tcBorders>
              <w:top w:val="nil"/>
              <w:left w:val="nil"/>
              <w:bottom w:val="single" w:color="auto" w:sz="4" w:space="0"/>
              <w:right w:val="single" w:color="auto" w:sz="4" w:space="0"/>
            </w:tcBorders>
            <w:shd w:val="clear" w:color="000000" w:fill="FFFFFF"/>
            <w:vAlign w:val="center"/>
          </w:tcPr>
          <w:p w14:paraId="718542D7">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424C922F">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00C8BBB">
            <w:pPr>
              <w:widowControl/>
              <w:spacing w:line="240" w:lineRule="exact"/>
              <w:jc w:val="center"/>
              <w:rPr>
                <w:rFonts w:ascii="宋体" w:hAnsi="宋体" w:cs="宋体"/>
                <w:kern w:val="0"/>
                <w:sz w:val="21"/>
                <w:szCs w:val="21"/>
              </w:rPr>
            </w:pPr>
            <w:r>
              <w:rPr>
                <w:rFonts w:hint="eastAsia" w:ascii="宋体" w:hAnsi="宋体" w:cs="宋体"/>
                <w:kern w:val="0"/>
                <w:sz w:val="21"/>
                <w:szCs w:val="21"/>
              </w:rPr>
              <w:t>58</w:t>
            </w:r>
          </w:p>
        </w:tc>
        <w:tc>
          <w:tcPr>
            <w:tcW w:w="2269" w:type="dxa"/>
            <w:tcBorders>
              <w:top w:val="nil"/>
              <w:left w:val="nil"/>
              <w:bottom w:val="single" w:color="auto" w:sz="4" w:space="0"/>
              <w:right w:val="single" w:color="auto" w:sz="4" w:space="0"/>
            </w:tcBorders>
            <w:shd w:val="clear" w:color="000000" w:fill="FFFFFF"/>
            <w:vAlign w:val="center"/>
          </w:tcPr>
          <w:p w14:paraId="69FC96FA">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塘下镇老工业点项目</w:t>
            </w:r>
          </w:p>
        </w:tc>
        <w:tc>
          <w:tcPr>
            <w:tcW w:w="1276" w:type="dxa"/>
            <w:tcBorders>
              <w:top w:val="nil"/>
              <w:left w:val="nil"/>
              <w:bottom w:val="single" w:color="auto" w:sz="4" w:space="0"/>
              <w:right w:val="single" w:color="auto" w:sz="4" w:space="0"/>
            </w:tcBorders>
            <w:shd w:val="clear" w:color="000000" w:fill="FFFFFF"/>
            <w:noWrap/>
            <w:vAlign w:val="center"/>
          </w:tcPr>
          <w:p w14:paraId="047A0C2D">
            <w:pPr>
              <w:widowControl/>
              <w:spacing w:line="240" w:lineRule="exact"/>
              <w:jc w:val="center"/>
              <w:rPr>
                <w:rFonts w:ascii="宋体" w:hAnsi="宋体" w:cs="宋体"/>
                <w:kern w:val="0"/>
                <w:sz w:val="21"/>
                <w:szCs w:val="21"/>
              </w:rPr>
            </w:pPr>
            <w:r>
              <w:rPr>
                <w:rFonts w:hint="eastAsia" w:ascii="宋体" w:hAnsi="宋体" w:cs="宋体"/>
                <w:kern w:val="0"/>
                <w:sz w:val="21"/>
                <w:szCs w:val="21"/>
              </w:rPr>
              <w:t>2024-2028</w:t>
            </w:r>
          </w:p>
        </w:tc>
        <w:tc>
          <w:tcPr>
            <w:tcW w:w="6520" w:type="dxa"/>
            <w:tcBorders>
              <w:top w:val="nil"/>
              <w:left w:val="nil"/>
              <w:bottom w:val="single" w:color="auto" w:sz="4" w:space="0"/>
              <w:right w:val="single" w:color="auto" w:sz="4" w:space="0"/>
            </w:tcBorders>
            <w:shd w:val="clear" w:color="000000" w:fill="FFFFFF"/>
            <w:vAlign w:val="center"/>
          </w:tcPr>
          <w:p w14:paraId="27E6BC0F">
            <w:pPr>
              <w:widowControl/>
              <w:spacing w:line="240" w:lineRule="exact"/>
              <w:rPr>
                <w:rFonts w:ascii="宋体" w:hAnsi="宋体" w:cs="宋体"/>
                <w:kern w:val="0"/>
                <w:sz w:val="21"/>
                <w:szCs w:val="21"/>
              </w:rPr>
            </w:pPr>
            <w:r>
              <w:rPr>
                <w:rFonts w:hint="eastAsia" w:ascii="宋体" w:hAnsi="宋体" w:cs="宋体"/>
                <w:kern w:val="0"/>
                <w:sz w:val="21"/>
                <w:szCs w:val="21"/>
              </w:rPr>
              <w:t>涉及塘下小南山工业点改造、岑头村改造，海安海东村、城南村、镇东村工业点改造，罗凤前庄村工业点改造、花园村工业点改造，凤胜小微园、中北居改产工程，场桥五方村工业点、鲍田南河村工业点改造、新居 7号、8号地块新建工业厂房项目等塘下办事处、罗凤办事处、鲍田办事处、场桥办事处、海安办事处工业点改造项目，预计改造面积2000亩。</w:t>
            </w:r>
          </w:p>
        </w:tc>
        <w:tc>
          <w:tcPr>
            <w:tcW w:w="992" w:type="dxa"/>
            <w:tcBorders>
              <w:top w:val="nil"/>
              <w:left w:val="nil"/>
              <w:bottom w:val="single" w:color="auto" w:sz="4" w:space="0"/>
              <w:right w:val="single" w:color="auto" w:sz="4" w:space="0"/>
            </w:tcBorders>
            <w:shd w:val="clear" w:color="000000" w:fill="FFFFFF"/>
            <w:vAlign w:val="center"/>
          </w:tcPr>
          <w:p w14:paraId="6F8A024A">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10.00 </w:t>
            </w:r>
          </w:p>
        </w:tc>
        <w:tc>
          <w:tcPr>
            <w:tcW w:w="2552" w:type="dxa"/>
            <w:tcBorders>
              <w:top w:val="nil"/>
              <w:left w:val="nil"/>
              <w:bottom w:val="single" w:color="auto" w:sz="4" w:space="0"/>
              <w:right w:val="single" w:color="auto" w:sz="4" w:space="0"/>
            </w:tcBorders>
            <w:shd w:val="clear" w:color="000000" w:fill="FFFFFF"/>
            <w:vAlign w:val="center"/>
          </w:tcPr>
          <w:p w14:paraId="57B5EFBC">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1677DB45">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711E33C">
            <w:pPr>
              <w:widowControl/>
              <w:spacing w:line="240" w:lineRule="exact"/>
              <w:jc w:val="center"/>
              <w:rPr>
                <w:rFonts w:ascii="宋体" w:hAnsi="宋体" w:cs="宋体"/>
                <w:kern w:val="0"/>
                <w:sz w:val="21"/>
                <w:szCs w:val="21"/>
              </w:rPr>
            </w:pPr>
            <w:r>
              <w:rPr>
                <w:rFonts w:hint="eastAsia" w:ascii="宋体" w:hAnsi="宋体" w:cs="宋体"/>
                <w:kern w:val="0"/>
                <w:sz w:val="21"/>
                <w:szCs w:val="21"/>
              </w:rPr>
              <w:t>59</w:t>
            </w:r>
          </w:p>
        </w:tc>
        <w:tc>
          <w:tcPr>
            <w:tcW w:w="2269" w:type="dxa"/>
            <w:tcBorders>
              <w:top w:val="nil"/>
              <w:left w:val="nil"/>
              <w:bottom w:val="single" w:color="auto" w:sz="4" w:space="0"/>
              <w:right w:val="single" w:color="auto" w:sz="4" w:space="0"/>
            </w:tcBorders>
            <w:shd w:val="clear" w:color="000000" w:fill="FFFFFF"/>
            <w:vAlign w:val="center"/>
          </w:tcPr>
          <w:p w14:paraId="23A753B6">
            <w:pPr>
              <w:widowControl/>
              <w:spacing w:line="240" w:lineRule="exact"/>
              <w:jc w:val="center"/>
              <w:rPr>
                <w:rFonts w:ascii="宋体" w:hAnsi="宋体" w:cs="宋体"/>
                <w:kern w:val="0"/>
                <w:sz w:val="21"/>
                <w:szCs w:val="21"/>
              </w:rPr>
            </w:pPr>
            <w:r>
              <w:rPr>
                <w:rFonts w:hint="eastAsia" w:ascii="宋体" w:hAnsi="宋体" w:cs="宋体"/>
                <w:kern w:val="0"/>
                <w:sz w:val="21"/>
                <w:szCs w:val="21"/>
              </w:rPr>
              <w:t>新能源汽车产业项目</w:t>
            </w:r>
          </w:p>
        </w:tc>
        <w:tc>
          <w:tcPr>
            <w:tcW w:w="1276" w:type="dxa"/>
            <w:tcBorders>
              <w:top w:val="nil"/>
              <w:left w:val="nil"/>
              <w:bottom w:val="single" w:color="auto" w:sz="4" w:space="0"/>
              <w:right w:val="single" w:color="auto" w:sz="4" w:space="0"/>
            </w:tcBorders>
            <w:shd w:val="clear" w:color="000000" w:fill="FFFFFF"/>
            <w:noWrap/>
            <w:vAlign w:val="center"/>
          </w:tcPr>
          <w:p w14:paraId="7BF2430E">
            <w:pPr>
              <w:widowControl/>
              <w:spacing w:line="240" w:lineRule="exact"/>
              <w:jc w:val="center"/>
              <w:rPr>
                <w:rFonts w:ascii="宋体" w:hAnsi="宋体" w:cs="宋体"/>
                <w:kern w:val="0"/>
                <w:sz w:val="21"/>
                <w:szCs w:val="21"/>
              </w:rPr>
            </w:pPr>
            <w:r>
              <w:rPr>
                <w:rFonts w:hint="eastAsia" w:ascii="宋体" w:hAnsi="宋体" w:cs="宋体"/>
                <w:kern w:val="0"/>
                <w:sz w:val="21"/>
                <w:szCs w:val="21"/>
              </w:rPr>
              <w:t>2024-2029</w:t>
            </w:r>
          </w:p>
        </w:tc>
        <w:tc>
          <w:tcPr>
            <w:tcW w:w="6520" w:type="dxa"/>
            <w:tcBorders>
              <w:top w:val="nil"/>
              <w:left w:val="nil"/>
              <w:bottom w:val="single" w:color="auto" w:sz="4" w:space="0"/>
              <w:right w:val="single" w:color="auto" w:sz="4" w:space="0"/>
            </w:tcBorders>
            <w:shd w:val="clear" w:color="000000" w:fill="FFFFFF"/>
            <w:vAlign w:val="center"/>
          </w:tcPr>
          <w:p w14:paraId="772E7068">
            <w:pPr>
              <w:widowControl/>
              <w:spacing w:line="240" w:lineRule="exact"/>
              <w:rPr>
                <w:rFonts w:ascii="宋体" w:hAnsi="宋体" w:cs="宋体"/>
                <w:kern w:val="0"/>
                <w:sz w:val="21"/>
                <w:szCs w:val="21"/>
              </w:rPr>
            </w:pPr>
            <w:r>
              <w:rPr>
                <w:rFonts w:hint="eastAsia" w:ascii="宋体" w:hAnsi="宋体" w:cs="宋体"/>
                <w:kern w:val="0"/>
                <w:sz w:val="21"/>
                <w:szCs w:val="21"/>
              </w:rPr>
              <w:t>塘下东区拟引进新能源汽车产业项目，丰富汽摩配产业种类</w:t>
            </w:r>
          </w:p>
        </w:tc>
        <w:tc>
          <w:tcPr>
            <w:tcW w:w="992" w:type="dxa"/>
            <w:tcBorders>
              <w:top w:val="nil"/>
              <w:left w:val="nil"/>
              <w:bottom w:val="single" w:color="auto" w:sz="4" w:space="0"/>
              <w:right w:val="single" w:color="auto" w:sz="4" w:space="0"/>
            </w:tcBorders>
            <w:shd w:val="clear" w:color="000000" w:fill="FFFFFF"/>
            <w:noWrap/>
            <w:vAlign w:val="center"/>
          </w:tcPr>
          <w:p w14:paraId="05676A52">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10.00 </w:t>
            </w:r>
          </w:p>
        </w:tc>
        <w:tc>
          <w:tcPr>
            <w:tcW w:w="2552" w:type="dxa"/>
            <w:tcBorders>
              <w:top w:val="nil"/>
              <w:left w:val="nil"/>
              <w:bottom w:val="single" w:color="auto" w:sz="4" w:space="0"/>
              <w:right w:val="single" w:color="auto" w:sz="4" w:space="0"/>
            </w:tcBorders>
            <w:shd w:val="clear" w:color="000000" w:fill="FFFFFF"/>
            <w:vAlign w:val="center"/>
          </w:tcPr>
          <w:p w14:paraId="7911190E">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67D2B531">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28D2D5D8">
            <w:pPr>
              <w:widowControl/>
              <w:spacing w:line="240" w:lineRule="exact"/>
              <w:jc w:val="center"/>
              <w:rPr>
                <w:rFonts w:ascii="宋体" w:hAnsi="宋体" w:cs="宋体"/>
                <w:kern w:val="0"/>
                <w:sz w:val="21"/>
                <w:szCs w:val="21"/>
              </w:rPr>
            </w:pPr>
            <w:r>
              <w:rPr>
                <w:rFonts w:hint="eastAsia" w:ascii="宋体" w:hAnsi="宋体" w:cs="宋体"/>
                <w:kern w:val="0"/>
                <w:sz w:val="21"/>
                <w:szCs w:val="21"/>
              </w:rPr>
              <w:t>60</w:t>
            </w:r>
          </w:p>
        </w:tc>
        <w:tc>
          <w:tcPr>
            <w:tcW w:w="2269" w:type="dxa"/>
            <w:tcBorders>
              <w:top w:val="nil"/>
              <w:left w:val="nil"/>
              <w:bottom w:val="single" w:color="auto" w:sz="4" w:space="0"/>
              <w:right w:val="single" w:color="auto" w:sz="4" w:space="0"/>
            </w:tcBorders>
            <w:shd w:val="clear" w:color="000000" w:fill="FFFFFF"/>
            <w:vAlign w:val="center"/>
          </w:tcPr>
          <w:p w14:paraId="77303A54">
            <w:pPr>
              <w:widowControl/>
              <w:spacing w:line="240" w:lineRule="exact"/>
              <w:jc w:val="center"/>
              <w:rPr>
                <w:rFonts w:ascii="宋体" w:hAnsi="宋体" w:cs="宋体"/>
                <w:kern w:val="0"/>
                <w:sz w:val="21"/>
                <w:szCs w:val="21"/>
              </w:rPr>
            </w:pPr>
            <w:r>
              <w:rPr>
                <w:rFonts w:hint="eastAsia" w:ascii="宋体" w:hAnsi="宋体" w:cs="宋体"/>
                <w:kern w:val="0"/>
                <w:sz w:val="21"/>
                <w:szCs w:val="21"/>
              </w:rPr>
              <w:t>智能电动助力转向器（RP-EPS）项目</w:t>
            </w:r>
          </w:p>
        </w:tc>
        <w:tc>
          <w:tcPr>
            <w:tcW w:w="1276" w:type="dxa"/>
            <w:tcBorders>
              <w:top w:val="nil"/>
              <w:left w:val="nil"/>
              <w:bottom w:val="single" w:color="auto" w:sz="4" w:space="0"/>
              <w:right w:val="single" w:color="auto" w:sz="4" w:space="0"/>
            </w:tcBorders>
            <w:shd w:val="clear" w:color="000000" w:fill="FFFFFF"/>
            <w:noWrap/>
            <w:vAlign w:val="center"/>
          </w:tcPr>
          <w:p w14:paraId="5B0CD095">
            <w:pPr>
              <w:widowControl/>
              <w:spacing w:line="240" w:lineRule="exact"/>
              <w:jc w:val="center"/>
              <w:rPr>
                <w:rFonts w:ascii="宋体" w:hAnsi="宋体" w:cs="宋体"/>
                <w:kern w:val="0"/>
                <w:sz w:val="21"/>
                <w:szCs w:val="21"/>
              </w:rPr>
            </w:pPr>
            <w:r>
              <w:rPr>
                <w:rFonts w:hint="eastAsia" w:ascii="宋体" w:hAnsi="宋体" w:cs="宋体"/>
                <w:kern w:val="0"/>
                <w:sz w:val="21"/>
                <w:szCs w:val="21"/>
              </w:rPr>
              <w:t>2023-2025</w:t>
            </w:r>
          </w:p>
        </w:tc>
        <w:tc>
          <w:tcPr>
            <w:tcW w:w="6520" w:type="dxa"/>
            <w:tcBorders>
              <w:top w:val="nil"/>
              <w:left w:val="nil"/>
              <w:bottom w:val="single" w:color="auto" w:sz="4" w:space="0"/>
              <w:right w:val="single" w:color="auto" w:sz="4" w:space="0"/>
            </w:tcBorders>
            <w:shd w:val="clear" w:color="000000" w:fill="FFFFFF"/>
            <w:vAlign w:val="center"/>
          </w:tcPr>
          <w:p w14:paraId="67989E3E">
            <w:pPr>
              <w:widowControl/>
              <w:spacing w:line="240" w:lineRule="exact"/>
              <w:rPr>
                <w:rFonts w:ascii="宋体" w:hAnsi="宋体" w:cs="宋体"/>
                <w:kern w:val="0"/>
                <w:sz w:val="21"/>
                <w:szCs w:val="21"/>
              </w:rPr>
            </w:pPr>
            <w:r>
              <w:rPr>
                <w:rFonts w:hint="eastAsia" w:ascii="宋体" w:hAnsi="宋体" w:cs="宋体"/>
                <w:kern w:val="0"/>
                <w:sz w:val="21"/>
                <w:szCs w:val="21"/>
              </w:rPr>
              <w:t>项目计划总投资6000万元，用地面积6亩，投产后实现年产10万只齿条平行式智能电动助力转向器(RP-EPS)规模,新增年产值1亿元。</w:t>
            </w:r>
          </w:p>
        </w:tc>
        <w:tc>
          <w:tcPr>
            <w:tcW w:w="992" w:type="dxa"/>
            <w:tcBorders>
              <w:top w:val="nil"/>
              <w:left w:val="nil"/>
              <w:bottom w:val="single" w:color="auto" w:sz="4" w:space="0"/>
              <w:right w:val="single" w:color="auto" w:sz="4" w:space="0"/>
            </w:tcBorders>
            <w:shd w:val="clear" w:color="000000" w:fill="FFFFFF"/>
            <w:noWrap/>
            <w:vAlign w:val="center"/>
          </w:tcPr>
          <w:p w14:paraId="1B976F69">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1.00 </w:t>
            </w:r>
          </w:p>
        </w:tc>
        <w:tc>
          <w:tcPr>
            <w:tcW w:w="2552" w:type="dxa"/>
            <w:tcBorders>
              <w:top w:val="nil"/>
              <w:left w:val="nil"/>
              <w:bottom w:val="single" w:color="auto" w:sz="4" w:space="0"/>
              <w:right w:val="single" w:color="auto" w:sz="4" w:space="0"/>
            </w:tcBorders>
            <w:shd w:val="clear" w:color="000000" w:fill="FFFFFF"/>
            <w:vAlign w:val="center"/>
          </w:tcPr>
          <w:p w14:paraId="4FA80A46">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4E6BE9D9">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7198251">
            <w:pPr>
              <w:widowControl/>
              <w:spacing w:line="240" w:lineRule="exact"/>
              <w:jc w:val="center"/>
              <w:rPr>
                <w:rFonts w:ascii="宋体" w:hAnsi="宋体" w:cs="宋体"/>
                <w:kern w:val="0"/>
                <w:sz w:val="21"/>
                <w:szCs w:val="21"/>
              </w:rPr>
            </w:pPr>
            <w:r>
              <w:rPr>
                <w:rFonts w:hint="eastAsia" w:ascii="宋体" w:hAnsi="宋体" w:cs="宋体"/>
                <w:kern w:val="0"/>
                <w:sz w:val="21"/>
                <w:szCs w:val="21"/>
              </w:rPr>
              <w:t>61</w:t>
            </w:r>
          </w:p>
        </w:tc>
        <w:tc>
          <w:tcPr>
            <w:tcW w:w="2269" w:type="dxa"/>
            <w:tcBorders>
              <w:top w:val="nil"/>
              <w:left w:val="nil"/>
              <w:bottom w:val="single" w:color="auto" w:sz="4" w:space="0"/>
              <w:right w:val="single" w:color="auto" w:sz="4" w:space="0"/>
            </w:tcBorders>
            <w:shd w:val="clear" w:color="000000" w:fill="FFFFFF"/>
            <w:vAlign w:val="center"/>
          </w:tcPr>
          <w:p w14:paraId="0C4CDC60">
            <w:pPr>
              <w:widowControl/>
              <w:spacing w:line="240" w:lineRule="exact"/>
              <w:jc w:val="center"/>
              <w:rPr>
                <w:rFonts w:ascii="宋体" w:hAnsi="宋体" w:cs="宋体"/>
                <w:kern w:val="0"/>
                <w:sz w:val="21"/>
                <w:szCs w:val="21"/>
              </w:rPr>
            </w:pPr>
            <w:r>
              <w:rPr>
                <w:rFonts w:hint="eastAsia" w:ascii="宋体" w:hAnsi="宋体" w:cs="宋体"/>
                <w:kern w:val="0"/>
                <w:sz w:val="21"/>
                <w:szCs w:val="21"/>
              </w:rPr>
              <w:t>新能源汽车智能微电机项目</w:t>
            </w:r>
          </w:p>
        </w:tc>
        <w:tc>
          <w:tcPr>
            <w:tcW w:w="1276" w:type="dxa"/>
            <w:tcBorders>
              <w:top w:val="nil"/>
              <w:left w:val="nil"/>
              <w:bottom w:val="single" w:color="auto" w:sz="4" w:space="0"/>
              <w:right w:val="single" w:color="auto" w:sz="4" w:space="0"/>
            </w:tcBorders>
            <w:shd w:val="clear" w:color="000000" w:fill="FFFFFF"/>
            <w:noWrap/>
            <w:vAlign w:val="center"/>
          </w:tcPr>
          <w:p w14:paraId="1097E346">
            <w:pPr>
              <w:widowControl/>
              <w:spacing w:line="240" w:lineRule="exact"/>
              <w:jc w:val="center"/>
              <w:rPr>
                <w:rFonts w:ascii="宋体" w:hAnsi="宋体" w:cs="宋体"/>
                <w:kern w:val="0"/>
                <w:sz w:val="21"/>
                <w:szCs w:val="21"/>
              </w:rPr>
            </w:pPr>
            <w:r>
              <w:rPr>
                <w:rFonts w:hint="eastAsia" w:ascii="宋体" w:hAnsi="宋体" w:cs="宋体"/>
                <w:kern w:val="0"/>
                <w:sz w:val="21"/>
                <w:szCs w:val="21"/>
              </w:rPr>
              <w:t>2025-2026</w:t>
            </w:r>
          </w:p>
        </w:tc>
        <w:tc>
          <w:tcPr>
            <w:tcW w:w="6520" w:type="dxa"/>
            <w:tcBorders>
              <w:top w:val="nil"/>
              <w:left w:val="nil"/>
              <w:bottom w:val="single" w:color="auto" w:sz="4" w:space="0"/>
              <w:right w:val="single" w:color="auto" w:sz="4" w:space="0"/>
            </w:tcBorders>
            <w:shd w:val="clear" w:color="000000" w:fill="FFFFFF"/>
            <w:vAlign w:val="center"/>
          </w:tcPr>
          <w:p w14:paraId="51C3714E">
            <w:pPr>
              <w:widowControl/>
              <w:spacing w:line="240" w:lineRule="exact"/>
              <w:rPr>
                <w:rFonts w:ascii="宋体" w:hAnsi="宋体" w:cs="宋体"/>
                <w:kern w:val="0"/>
                <w:sz w:val="21"/>
                <w:szCs w:val="21"/>
              </w:rPr>
            </w:pPr>
            <w:r>
              <w:rPr>
                <w:rFonts w:hint="eastAsia" w:ascii="宋体" w:hAnsi="宋体" w:cs="宋体"/>
                <w:kern w:val="0"/>
                <w:sz w:val="21"/>
                <w:szCs w:val="21"/>
              </w:rPr>
              <w:t>位于万亩千亿平台，拟建设汽车智能微电机项目。用地面积200亩，总投资10亿</w:t>
            </w:r>
          </w:p>
        </w:tc>
        <w:tc>
          <w:tcPr>
            <w:tcW w:w="992" w:type="dxa"/>
            <w:tcBorders>
              <w:top w:val="nil"/>
              <w:left w:val="nil"/>
              <w:bottom w:val="single" w:color="auto" w:sz="4" w:space="0"/>
              <w:right w:val="single" w:color="auto" w:sz="4" w:space="0"/>
            </w:tcBorders>
            <w:shd w:val="clear" w:color="000000" w:fill="FFFFFF"/>
            <w:noWrap/>
            <w:vAlign w:val="center"/>
          </w:tcPr>
          <w:p w14:paraId="71CD8B64">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10.00 </w:t>
            </w:r>
          </w:p>
        </w:tc>
        <w:tc>
          <w:tcPr>
            <w:tcW w:w="2552" w:type="dxa"/>
            <w:tcBorders>
              <w:top w:val="nil"/>
              <w:left w:val="nil"/>
              <w:bottom w:val="single" w:color="auto" w:sz="4" w:space="0"/>
              <w:right w:val="single" w:color="auto" w:sz="4" w:space="0"/>
            </w:tcBorders>
            <w:shd w:val="clear" w:color="000000" w:fill="FFFFFF"/>
            <w:vAlign w:val="center"/>
          </w:tcPr>
          <w:p w14:paraId="4CEEB3BD">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2C37288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BC6260C">
            <w:pPr>
              <w:widowControl/>
              <w:spacing w:line="240" w:lineRule="exact"/>
              <w:jc w:val="center"/>
              <w:rPr>
                <w:rFonts w:ascii="宋体" w:hAnsi="宋体" w:cs="宋体"/>
                <w:kern w:val="0"/>
                <w:sz w:val="21"/>
                <w:szCs w:val="21"/>
              </w:rPr>
            </w:pPr>
            <w:r>
              <w:rPr>
                <w:rFonts w:hint="eastAsia" w:ascii="宋体" w:hAnsi="宋体" w:cs="宋体"/>
                <w:kern w:val="0"/>
                <w:sz w:val="21"/>
                <w:szCs w:val="21"/>
              </w:rPr>
              <w:t>62</w:t>
            </w:r>
          </w:p>
        </w:tc>
        <w:tc>
          <w:tcPr>
            <w:tcW w:w="2269" w:type="dxa"/>
            <w:tcBorders>
              <w:top w:val="nil"/>
              <w:left w:val="nil"/>
              <w:bottom w:val="single" w:color="auto" w:sz="4" w:space="0"/>
              <w:right w:val="single" w:color="auto" w:sz="4" w:space="0"/>
            </w:tcBorders>
            <w:shd w:val="clear" w:color="000000" w:fill="FFFFFF"/>
            <w:vAlign w:val="center"/>
          </w:tcPr>
          <w:p w14:paraId="77832E7D">
            <w:pPr>
              <w:widowControl/>
              <w:spacing w:line="240" w:lineRule="exact"/>
              <w:jc w:val="center"/>
              <w:rPr>
                <w:rFonts w:ascii="宋体" w:hAnsi="宋体" w:cs="宋体"/>
                <w:kern w:val="0"/>
                <w:sz w:val="21"/>
                <w:szCs w:val="21"/>
              </w:rPr>
            </w:pPr>
            <w:r>
              <w:rPr>
                <w:rFonts w:hint="eastAsia" w:ascii="宋体" w:hAnsi="宋体" w:cs="宋体"/>
                <w:kern w:val="0"/>
                <w:sz w:val="21"/>
                <w:szCs w:val="21"/>
              </w:rPr>
              <w:t>马屿镇九甲工业区改造提升项目</w:t>
            </w:r>
          </w:p>
        </w:tc>
        <w:tc>
          <w:tcPr>
            <w:tcW w:w="1276" w:type="dxa"/>
            <w:tcBorders>
              <w:top w:val="nil"/>
              <w:left w:val="nil"/>
              <w:bottom w:val="single" w:color="auto" w:sz="4" w:space="0"/>
              <w:right w:val="single" w:color="auto" w:sz="4" w:space="0"/>
            </w:tcBorders>
            <w:shd w:val="clear" w:color="000000" w:fill="FFFFFF"/>
            <w:vAlign w:val="center"/>
          </w:tcPr>
          <w:p w14:paraId="242E4F55">
            <w:pPr>
              <w:widowControl/>
              <w:spacing w:line="240" w:lineRule="exact"/>
              <w:jc w:val="center"/>
              <w:rPr>
                <w:rFonts w:ascii="宋体" w:hAnsi="宋体" w:cs="宋体"/>
                <w:kern w:val="0"/>
                <w:sz w:val="21"/>
                <w:szCs w:val="21"/>
              </w:rPr>
            </w:pPr>
            <w:r>
              <w:rPr>
                <w:rFonts w:hint="eastAsia" w:ascii="宋体" w:hAnsi="宋体" w:cs="宋体"/>
                <w:kern w:val="0"/>
                <w:sz w:val="21"/>
                <w:szCs w:val="21"/>
              </w:rPr>
              <w:t>2023-2025</w:t>
            </w:r>
          </w:p>
        </w:tc>
        <w:tc>
          <w:tcPr>
            <w:tcW w:w="6520" w:type="dxa"/>
            <w:tcBorders>
              <w:top w:val="nil"/>
              <w:left w:val="nil"/>
              <w:bottom w:val="single" w:color="auto" w:sz="4" w:space="0"/>
              <w:right w:val="single" w:color="auto" w:sz="4" w:space="0"/>
            </w:tcBorders>
            <w:shd w:val="clear" w:color="000000" w:fill="FFFFFF"/>
            <w:vAlign w:val="center"/>
          </w:tcPr>
          <w:p w14:paraId="190031B5">
            <w:pPr>
              <w:widowControl/>
              <w:spacing w:line="240" w:lineRule="exact"/>
              <w:rPr>
                <w:rFonts w:ascii="宋体" w:hAnsi="宋体" w:cs="宋体"/>
                <w:kern w:val="0"/>
                <w:sz w:val="21"/>
                <w:szCs w:val="21"/>
              </w:rPr>
            </w:pPr>
            <w:r>
              <w:rPr>
                <w:rFonts w:hint="eastAsia" w:ascii="宋体" w:hAnsi="宋体" w:cs="宋体"/>
                <w:kern w:val="0"/>
                <w:sz w:val="21"/>
                <w:szCs w:val="21"/>
              </w:rPr>
              <w:t>本项目策划范围位于马屿镇九甲村，北邻三马西路，东接皋翔路，南临利民路，东依石牌河。策划总用地面积 60700 ㎡（91 亩），计划打造九甲时尚轻工工业改造提升团块项目。</w:t>
            </w:r>
          </w:p>
        </w:tc>
        <w:tc>
          <w:tcPr>
            <w:tcW w:w="992" w:type="dxa"/>
            <w:tcBorders>
              <w:top w:val="nil"/>
              <w:left w:val="nil"/>
              <w:bottom w:val="single" w:color="auto" w:sz="4" w:space="0"/>
              <w:right w:val="single" w:color="auto" w:sz="4" w:space="0"/>
            </w:tcBorders>
            <w:shd w:val="clear" w:color="000000" w:fill="FFFFFF"/>
            <w:vAlign w:val="center"/>
          </w:tcPr>
          <w:p w14:paraId="6BBD069D">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3.00 </w:t>
            </w:r>
          </w:p>
        </w:tc>
        <w:tc>
          <w:tcPr>
            <w:tcW w:w="2552" w:type="dxa"/>
            <w:tcBorders>
              <w:top w:val="nil"/>
              <w:left w:val="nil"/>
              <w:bottom w:val="single" w:color="auto" w:sz="4" w:space="0"/>
              <w:right w:val="single" w:color="auto" w:sz="4" w:space="0"/>
            </w:tcBorders>
            <w:shd w:val="clear" w:color="000000" w:fill="FFFFFF"/>
            <w:vAlign w:val="center"/>
          </w:tcPr>
          <w:p w14:paraId="2CA55C43">
            <w:pPr>
              <w:widowControl/>
              <w:spacing w:line="240" w:lineRule="exact"/>
              <w:jc w:val="center"/>
              <w:rPr>
                <w:rFonts w:ascii="宋体" w:hAnsi="宋体" w:cs="宋体"/>
                <w:kern w:val="0"/>
                <w:sz w:val="21"/>
                <w:szCs w:val="21"/>
              </w:rPr>
            </w:pPr>
            <w:r>
              <w:rPr>
                <w:rFonts w:hint="eastAsia" w:ascii="宋体" w:hAnsi="宋体" w:cs="宋体"/>
                <w:kern w:val="0"/>
                <w:sz w:val="21"/>
                <w:szCs w:val="21"/>
              </w:rPr>
              <w:t>马屿镇政府</w:t>
            </w:r>
          </w:p>
        </w:tc>
      </w:tr>
      <w:tr w14:paraId="4BFE276E">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0853380E">
            <w:pPr>
              <w:widowControl/>
              <w:spacing w:line="240" w:lineRule="exact"/>
              <w:jc w:val="center"/>
              <w:rPr>
                <w:rFonts w:ascii="宋体" w:hAnsi="宋体" w:cs="宋体"/>
                <w:kern w:val="0"/>
                <w:sz w:val="21"/>
                <w:szCs w:val="21"/>
              </w:rPr>
            </w:pPr>
            <w:r>
              <w:rPr>
                <w:rFonts w:hint="eastAsia" w:ascii="宋体" w:hAnsi="宋体" w:cs="宋体"/>
                <w:kern w:val="0"/>
                <w:sz w:val="21"/>
                <w:szCs w:val="21"/>
              </w:rPr>
              <w:t>63</w:t>
            </w:r>
          </w:p>
        </w:tc>
        <w:tc>
          <w:tcPr>
            <w:tcW w:w="2269" w:type="dxa"/>
            <w:tcBorders>
              <w:top w:val="nil"/>
              <w:left w:val="nil"/>
              <w:bottom w:val="single" w:color="auto" w:sz="4" w:space="0"/>
              <w:right w:val="single" w:color="auto" w:sz="4" w:space="0"/>
            </w:tcBorders>
            <w:shd w:val="clear" w:color="000000" w:fill="FFFFFF"/>
            <w:vAlign w:val="center"/>
          </w:tcPr>
          <w:p w14:paraId="3E197D25">
            <w:pPr>
              <w:widowControl/>
              <w:spacing w:line="240" w:lineRule="exact"/>
              <w:jc w:val="center"/>
              <w:rPr>
                <w:rFonts w:ascii="宋体" w:hAnsi="宋体" w:cs="宋体"/>
                <w:kern w:val="0"/>
                <w:sz w:val="21"/>
                <w:szCs w:val="21"/>
              </w:rPr>
            </w:pPr>
            <w:r>
              <w:rPr>
                <w:rFonts w:hint="eastAsia" w:ascii="宋体" w:hAnsi="宋体" w:cs="宋体"/>
                <w:kern w:val="0"/>
                <w:sz w:val="21"/>
                <w:szCs w:val="21"/>
              </w:rPr>
              <w:t>桐浦镇工业园区工业地块及配套项目</w:t>
            </w:r>
          </w:p>
        </w:tc>
        <w:tc>
          <w:tcPr>
            <w:tcW w:w="1276" w:type="dxa"/>
            <w:tcBorders>
              <w:top w:val="nil"/>
              <w:left w:val="nil"/>
              <w:bottom w:val="single" w:color="auto" w:sz="4" w:space="0"/>
              <w:right w:val="single" w:color="auto" w:sz="4" w:space="0"/>
            </w:tcBorders>
            <w:shd w:val="clear" w:color="000000" w:fill="FFFFFF"/>
            <w:noWrap/>
            <w:vAlign w:val="center"/>
          </w:tcPr>
          <w:p w14:paraId="1EBB8759">
            <w:pPr>
              <w:widowControl/>
              <w:spacing w:line="240" w:lineRule="exact"/>
              <w:jc w:val="center"/>
              <w:rPr>
                <w:rFonts w:ascii="宋体" w:hAnsi="宋体" w:cs="宋体"/>
                <w:kern w:val="0"/>
                <w:sz w:val="21"/>
                <w:szCs w:val="21"/>
              </w:rPr>
            </w:pPr>
            <w:r>
              <w:rPr>
                <w:rFonts w:hint="eastAsia" w:ascii="宋体" w:hAnsi="宋体" w:cs="宋体"/>
                <w:kern w:val="0"/>
                <w:sz w:val="21"/>
                <w:szCs w:val="21"/>
              </w:rPr>
              <w:t>2023-2027</w:t>
            </w:r>
          </w:p>
        </w:tc>
        <w:tc>
          <w:tcPr>
            <w:tcW w:w="6520" w:type="dxa"/>
            <w:tcBorders>
              <w:top w:val="nil"/>
              <w:left w:val="nil"/>
              <w:bottom w:val="single" w:color="auto" w:sz="4" w:space="0"/>
              <w:right w:val="single" w:color="auto" w:sz="4" w:space="0"/>
            </w:tcBorders>
            <w:shd w:val="clear" w:color="000000" w:fill="FFFFFF"/>
            <w:vAlign w:val="center"/>
          </w:tcPr>
          <w:p w14:paraId="6427E540">
            <w:pPr>
              <w:widowControl/>
              <w:spacing w:line="240" w:lineRule="exact"/>
              <w:rPr>
                <w:rFonts w:ascii="宋体" w:hAnsi="宋体" w:cs="宋体"/>
                <w:kern w:val="0"/>
                <w:sz w:val="21"/>
                <w:szCs w:val="21"/>
              </w:rPr>
            </w:pPr>
            <w:r>
              <w:rPr>
                <w:rFonts w:hint="eastAsia" w:ascii="宋体" w:hAnsi="宋体" w:cs="宋体"/>
                <w:kern w:val="0"/>
                <w:sz w:val="21"/>
                <w:szCs w:val="21"/>
              </w:rPr>
              <w:t>为推动瑞安市桐浦镇工业园区的扩容，提升综合经济实力，启动瑞安市桐浦镇工业园区工业地块及配套项目和道路工程，总用地面积约112亩。</w:t>
            </w:r>
          </w:p>
        </w:tc>
        <w:tc>
          <w:tcPr>
            <w:tcW w:w="992" w:type="dxa"/>
            <w:tcBorders>
              <w:top w:val="nil"/>
              <w:left w:val="nil"/>
              <w:bottom w:val="single" w:color="auto" w:sz="4" w:space="0"/>
              <w:right w:val="single" w:color="auto" w:sz="4" w:space="0"/>
            </w:tcBorders>
            <w:shd w:val="clear" w:color="000000" w:fill="FFFFFF"/>
            <w:noWrap/>
            <w:vAlign w:val="center"/>
          </w:tcPr>
          <w:p w14:paraId="23270E58">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12.00 </w:t>
            </w:r>
          </w:p>
        </w:tc>
        <w:tc>
          <w:tcPr>
            <w:tcW w:w="2552" w:type="dxa"/>
            <w:tcBorders>
              <w:top w:val="nil"/>
              <w:left w:val="nil"/>
              <w:bottom w:val="single" w:color="auto" w:sz="4" w:space="0"/>
              <w:right w:val="single" w:color="auto" w:sz="4" w:space="0"/>
            </w:tcBorders>
            <w:shd w:val="clear" w:color="000000" w:fill="FFFFFF"/>
            <w:noWrap/>
            <w:vAlign w:val="center"/>
          </w:tcPr>
          <w:p w14:paraId="7866AC8B">
            <w:pPr>
              <w:widowControl/>
              <w:spacing w:line="240" w:lineRule="exact"/>
              <w:jc w:val="center"/>
              <w:rPr>
                <w:rFonts w:ascii="宋体" w:hAnsi="宋体" w:cs="宋体"/>
                <w:kern w:val="0"/>
                <w:sz w:val="21"/>
                <w:szCs w:val="21"/>
              </w:rPr>
            </w:pPr>
            <w:r>
              <w:rPr>
                <w:rFonts w:hint="eastAsia" w:ascii="宋体" w:hAnsi="宋体" w:cs="宋体"/>
                <w:kern w:val="0"/>
                <w:sz w:val="21"/>
                <w:szCs w:val="21"/>
              </w:rPr>
              <w:t>桐浦镇政府</w:t>
            </w:r>
          </w:p>
        </w:tc>
      </w:tr>
      <w:tr w14:paraId="61716CD1">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B777478">
            <w:pPr>
              <w:widowControl/>
              <w:spacing w:line="240" w:lineRule="exact"/>
              <w:jc w:val="center"/>
              <w:rPr>
                <w:rFonts w:ascii="宋体" w:hAnsi="宋体" w:cs="宋体"/>
                <w:kern w:val="0"/>
                <w:sz w:val="21"/>
                <w:szCs w:val="21"/>
              </w:rPr>
            </w:pPr>
            <w:r>
              <w:rPr>
                <w:rFonts w:hint="eastAsia" w:ascii="宋体" w:hAnsi="宋体" w:cs="宋体"/>
                <w:kern w:val="0"/>
                <w:sz w:val="21"/>
                <w:szCs w:val="21"/>
              </w:rPr>
              <w:t>64</w:t>
            </w:r>
          </w:p>
        </w:tc>
        <w:tc>
          <w:tcPr>
            <w:tcW w:w="2269" w:type="dxa"/>
            <w:tcBorders>
              <w:top w:val="nil"/>
              <w:left w:val="nil"/>
              <w:bottom w:val="single" w:color="auto" w:sz="4" w:space="0"/>
              <w:right w:val="single" w:color="auto" w:sz="4" w:space="0"/>
            </w:tcBorders>
            <w:shd w:val="clear" w:color="000000" w:fill="FFFFFF"/>
            <w:vAlign w:val="center"/>
          </w:tcPr>
          <w:p w14:paraId="69CDCE31">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平阳坑工业小微园项目</w:t>
            </w:r>
          </w:p>
        </w:tc>
        <w:tc>
          <w:tcPr>
            <w:tcW w:w="1276" w:type="dxa"/>
            <w:tcBorders>
              <w:top w:val="nil"/>
              <w:left w:val="nil"/>
              <w:bottom w:val="single" w:color="auto" w:sz="4" w:space="0"/>
              <w:right w:val="single" w:color="auto" w:sz="4" w:space="0"/>
            </w:tcBorders>
            <w:shd w:val="clear" w:color="auto" w:fill="auto"/>
            <w:vAlign w:val="center"/>
          </w:tcPr>
          <w:p w14:paraId="2DA78158">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2024-2025</w:t>
            </w:r>
          </w:p>
        </w:tc>
        <w:tc>
          <w:tcPr>
            <w:tcW w:w="6520" w:type="dxa"/>
            <w:tcBorders>
              <w:top w:val="nil"/>
              <w:left w:val="nil"/>
              <w:bottom w:val="single" w:color="auto" w:sz="4" w:space="0"/>
              <w:right w:val="single" w:color="auto" w:sz="4" w:space="0"/>
            </w:tcBorders>
            <w:shd w:val="clear" w:color="000000" w:fill="FFFFFF"/>
            <w:vAlign w:val="center"/>
          </w:tcPr>
          <w:p w14:paraId="0A74BE14">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平阳坑工业小微园项目通过腾空间建设新型工业园，配套完善园区水、电、路、气、讯、物流、仓储等基础设施，和现工业区连成片，引进企业入驻工业园区，打造以高端、环保、创新先进制造业为主的高端产业集群，用地面积约60亩。</w:t>
            </w:r>
          </w:p>
        </w:tc>
        <w:tc>
          <w:tcPr>
            <w:tcW w:w="992" w:type="dxa"/>
            <w:tcBorders>
              <w:top w:val="nil"/>
              <w:left w:val="nil"/>
              <w:bottom w:val="single" w:color="auto" w:sz="4" w:space="0"/>
              <w:right w:val="single" w:color="auto" w:sz="4" w:space="0"/>
            </w:tcBorders>
            <w:shd w:val="clear" w:color="000000" w:fill="FFFFFF"/>
            <w:noWrap/>
            <w:vAlign w:val="center"/>
          </w:tcPr>
          <w:p w14:paraId="0ACAD0E8">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2.40 </w:t>
            </w:r>
          </w:p>
        </w:tc>
        <w:tc>
          <w:tcPr>
            <w:tcW w:w="2552" w:type="dxa"/>
            <w:tcBorders>
              <w:top w:val="nil"/>
              <w:left w:val="nil"/>
              <w:bottom w:val="single" w:color="auto" w:sz="4" w:space="0"/>
              <w:right w:val="single" w:color="auto" w:sz="4" w:space="0"/>
            </w:tcBorders>
            <w:shd w:val="clear" w:color="000000" w:fill="FFFFFF"/>
            <w:vAlign w:val="center"/>
          </w:tcPr>
          <w:p w14:paraId="679371FA">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平阳坑镇政府</w:t>
            </w:r>
          </w:p>
        </w:tc>
      </w:tr>
      <w:tr w14:paraId="5DCE142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1DCB623">
            <w:pPr>
              <w:widowControl/>
              <w:spacing w:line="240" w:lineRule="exact"/>
              <w:jc w:val="center"/>
              <w:rPr>
                <w:rFonts w:ascii="宋体" w:hAnsi="宋体" w:cs="宋体"/>
                <w:kern w:val="0"/>
                <w:sz w:val="21"/>
                <w:szCs w:val="21"/>
              </w:rPr>
            </w:pPr>
            <w:r>
              <w:rPr>
                <w:rFonts w:hint="eastAsia" w:ascii="宋体" w:hAnsi="宋体" w:cs="宋体"/>
                <w:kern w:val="0"/>
                <w:sz w:val="21"/>
                <w:szCs w:val="21"/>
              </w:rPr>
              <w:t>65</w:t>
            </w:r>
          </w:p>
        </w:tc>
        <w:tc>
          <w:tcPr>
            <w:tcW w:w="2269" w:type="dxa"/>
            <w:tcBorders>
              <w:top w:val="nil"/>
              <w:left w:val="nil"/>
              <w:bottom w:val="single" w:color="auto" w:sz="4" w:space="0"/>
              <w:right w:val="single" w:color="auto" w:sz="4" w:space="0"/>
            </w:tcBorders>
            <w:shd w:val="clear" w:color="000000" w:fill="FFFFFF"/>
            <w:vAlign w:val="center"/>
          </w:tcPr>
          <w:p w14:paraId="7701D71B">
            <w:pPr>
              <w:widowControl/>
              <w:spacing w:line="240" w:lineRule="exact"/>
              <w:jc w:val="center"/>
              <w:rPr>
                <w:rFonts w:ascii="宋体" w:hAnsi="宋体" w:cs="宋体"/>
                <w:kern w:val="0"/>
                <w:sz w:val="21"/>
                <w:szCs w:val="21"/>
              </w:rPr>
            </w:pPr>
            <w:r>
              <w:rPr>
                <w:rFonts w:hint="eastAsia" w:ascii="宋体" w:hAnsi="宋体" w:cs="宋体"/>
                <w:color w:val="000000"/>
                <w:kern w:val="0"/>
                <w:sz w:val="21"/>
                <w:szCs w:val="21"/>
              </w:rPr>
              <w:t>陶山镇工业地块及配套项目</w:t>
            </w:r>
          </w:p>
        </w:tc>
        <w:tc>
          <w:tcPr>
            <w:tcW w:w="1276" w:type="dxa"/>
            <w:tcBorders>
              <w:top w:val="nil"/>
              <w:left w:val="nil"/>
              <w:bottom w:val="single" w:color="auto" w:sz="4" w:space="0"/>
              <w:right w:val="single" w:color="auto" w:sz="4" w:space="0"/>
            </w:tcBorders>
            <w:shd w:val="clear" w:color="auto" w:fill="auto"/>
            <w:vAlign w:val="center"/>
          </w:tcPr>
          <w:p w14:paraId="6E9D4874">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nil"/>
              <w:left w:val="nil"/>
              <w:bottom w:val="single" w:color="auto" w:sz="4" w:space="0"/>
              <w:right w:val="single" w:color="auto" w:sz="4" w:space="0"/>
            </w:tcBorders>
            <w:shd w:val="clear" w:color="auto" w:fill="auto"/>
            <w:vAlign w:val="center"/>
          </w:tcPr>
          <w:p w14:paraId="0A86D490">
            <w:pPr>
              <w:widowControl/>
              <w:spacing w:line="240" w:lineRule="exact"/>
              <w:rPr>
                <w:rFonts w:ascii="宋体" w:hAnsi="宋体" w:cs="宋体"/>
                <w:kern w:val="0"/>
                <w:sz w:val="21"/>
                <w:szCs w:val="21"/>
              </w:rPr>
            </w:pPr>
            <w:r>
              <w:rPr>
                <w:rFonts w:hint="eastAsia"/>
                <w:sz w:val="21"/>
                <w:szCs w:val="21"/>
              </w:rPr>
              <w:t>为推动陶山镇工业园区工业地块的扩容、改造、提升，扩大综合经济实力，提升经济体量，启动陶山镇（含陶山、碧山、荆谷）工业园区工业地块及配套项目和道路工程，总用地面积约1000亩。</w:t>
            </w:r>
          </w:p>
        </w:tc>
        <w:tc>
          <w:tcPr>
            <w:tcW w:w="992" w:type="dxa"/>
            <w:tcBorders>
              <w:top w:val="nil"/>
              <w:left w:val="nil"/>
              <w:bottom w:val="single" w:color="auto" w:sz="4" w:space="0"/>
              <w:right w:val="single" w:color="auto" w:sz="4" w:space="0"/>
            </w:tcBorders>
            <w:shd w:val="clear" w:color="auto" w:fill="auto"/>
            <w:vAlign w:val="center"/>
          </w:tcPr>
          <w:p w14:paraId="2C25A751">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50.00 </w:t>
            </w:r>
          </w:p>
        </w:tc>
        <w:tc>
          <w:tcPr>
            <w:tcW w:w="2552" w:type="dxa"/>
            <w:tcBorders>
              <w:top w:val="nil"/>
              <w:left w:val="nil"/>
              <w:bottom w:val="single" w:color="auto" w:sz="4" w:space="0"/>
              <w:right w:val="single" w:color="auto" w:sz="4" w:space="0"/>
            </w:tcBorders>
            <w:shd w:val="clear" w:color="auto" w:fill="auto"/>
            <w:vAlign w:val="center"/>
          </w:tcPr>
          <w:p w14:paraId="69562460">
            <w:pPr>
              <w:widowControl/>
              <w:spacing w:line="240" w:lineRule="exact"/>
              <w:jc w:val="center"/>
              <w:rPr>
                <w:rFonts w:ascii="宋体" w:hAnsi="宋体" w:cs="宋体"/>
                <w:kern w:val="0"/>
                <w:sz w:val="21"/>
                <w:szCs w:val="21"/>
              </w:rPr>
            </w:pPr>
            <w:r>
              <w:rPr>
                <w:rFonts w:hint="eastAsia" w:ascii="宋体" w:hAnsi="宋体" w:cs="宋体"/>
                <w:kern w:val="0"/>
                <w:sz w:val="21"/>
                <w:szCs w:val="21"/>
              </w:rPr>
              <w:t>陶山镇政府</w:t>
            </w:r>
          </w:p>
        </w:tc>
      </w:tr>
      <w:tr w14:paraId="15C49A9A">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501180C0">
            <w:pPr>
              <w:widowControl/>
              <w:spacing w:line="240" w:lineRule="exact"/>
              <w:jc w:val="center"/>
              <w:rPr>
                <w:rFonts w:ascii="宋体" w:hAnsi="宋体" w:cs="宋体"/>
                <w:kern w:val="0"/>
                <w:sz w:val="21"/>
                <w:szCs w:val="21"/>
              </w:rPr>
            </w:pPr>
            <w:r>
              <w:rPr>
                <w:rFonts w:hint="eastAsia" w:ascii="宋体" w:hAnsi="宋体" w:cs="宋体"/>
                <w:kern w:val="0"/>
                <w:sz w:val="21"/>
                <w:szCs w:val="21"/>
              </w:rPr>
              <w:t>66</w:t>
            </w:r>
          </w:p>
        </w:tc>
        <w:tc>
          <w:tcPr>
            <w:tcW w:w="2269" w:type="dxa"/>
            <w:tcBorders>
              <w:top w:val="nil"/>
              <w:left w:val="nil"/>
              <w:bottom w:val="single" w:color="auto" w:sz="4" w:space="0"/>
              <w:right w:val="single" w:color="auto" w:sz="4" w:space="0"/>
            </w:tcBorders>
            <w:shd w:val="clear" w:color="000000" w:fill="FFFFFF"/>
            <w:vAlign w:val="center"/>
          </w:tcPr>
          <w:p w14:paraId="02F0DD33">
            <w:pPr>
              <w:widowControl/>
              <w:spacing w:line="240" w:lineRule="exact"/>
              <w:jc w:val="center"/>
              <w:rPr>
                <w:rFonts w:ascii="宋体" w:hAnsi="宋体" w:cs="宋体"/>
                <w:kern w:val="0"/>
                <w:sz w:val="21"/>
                <w:szCs w:val="21"/>
              </w:rPr>
            </w:pPr>
            <w:r>
              <w:rPr>
                <w:rFonts w:hint="eastAsia" w:ascii="宋体" w:hAnsi="宋体" w:cs="宋体"/>
                <w:kern w:val="0"/>
                <w:sz w:val="21"/>
                <w:szCs w:val="21"/>
              </w:rPr>
              <w:t>锦湖街道进星工业园等配套设施项目</w:t>
            </w:r>
          </w:p>
        </w:tc>
        <w:tc>
          <w:tcPr>
            <w:tcW w:w="1276" w:type="dxa"/>
            <w:tcBorders>
              <w:top w:val="nil"/>
              <w:left w:val="nil"/>
              <w:bottom w:val="single" w:color="auto" w:sz="4" w:space="0"/>
              <w:right w:val="single" w:color="auto" w:sz="4" w:space="0"/>
            </w:tcBorders>
            <w:shd w:val="clear" w:color="000000" w:fill="FFFFFF"/>
            <w:noWrap/>
            <w:vAlign w:val="center"/>
          </w:tcPr>
          <w:p w14:paraId="1F65807E">
            <w:pPr>
              <w:widowControl/>
              <w:spacing w:line="240" w:lineRule="exact"/>
              <w:jc w:val="center"/>
              <w:rPr>
                <w:rFonts w:ascii="宋体" w:hAnsi="宋体" w:cs="宋体"/>
                <w:kern w:val="0"/>
                <w:sz w:val="21"/>
                <w:szCs w:val="21"/>
              </w:rPr>
            </w:pPr>
            <w:r>
              <w:rPr>
                <w:rFonts w:hint="eastAsia" w:ascii="宋体" w:hAnsi="宋体" w:cs="宋体"/>
                <w:kern w:val="0"/>
                <w:sz w:val="21"/>
                <w:szCs w:val="21"/>
              </w:rPr>
              <w:t>2024—2027</w:t>
            </w:r>
          </w:p>
        </w:tc>
        <w:tc>
          <w:tcPr>
            <w:tcW w:w="6520" w:type="dxa"/>
            <w:tcBorders>
              <w:top w:val="nil"/>
              <w:left w:val="nil"/>
              <w:bottom w:val="single" w:color="auto" w:sz="4" w:space="0"/>
              <w:right w:val="single" w:color="auto" w:sz="4" w:space="0"/>
            </w:tcBorders>
            <w:shd w:val="clear" w:color="000000" w:fill="FFFFFF"/>
            <w:vAlign w:val="center"/>
          </w:tcPr>
          <w:p w14:paraId="403BFFCE">
            <w:pPr>
              <w:widowControl/>
              <w:spacing w:line="240" w:lineRule="exact"/>
              <w:rPr>
                <w:rFonts w:ascii="宋体" w:hAnsi="宋体" w:cs="宋体"/>
                <w:kern w:val="0"/>
                <w:sz w:val="21"/>
                <w:szCs w:val="21"/>
              </w:rPr>
            </w:pPr>
            <w:r>
              <w:rPr>
                <w:rFonts w:hint="eastAsia" w:ascii="宋体" w:hAnsi="宋体" w:cs="宋体"/>
                <w:kern w:val="0"/>
                <w:sz w:val="21"/>
                <w:szCs w:val="21"/>
              </w:rPr>
              <w:t>该项目位于锦湖街道最西侧，温福铁路以东，靠近白象地块，共80亩，涉及工业标准厂房，加油站，公交首末站。</w:t>
            </w:r>
          </w:p>
        </w:tc>
        <w:tc>
          <w:tcPr>
            <w:tcW w:w="992" w:type="dxa"/>
            <w:tcBorders>
              <w:top w:val="nil"/>
              <w:left w:val="nil"/>
              <w:bottom w:val="single" w:color="auto" w:sz="4" w:space="0"/>
              <w:right w:val="single" w:color="auto" w:sz="4" w:space="0"/>
            </w:tcBorders>
            <w:shd w:val="clear" w:color="000000" w:fill="FFFFFF"/>
            <w:noWrap/>
            <w:vAlign w:val="center"/>
          </w:tcPr>
          <w:p w14:paraId="6EC0FF99">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4.00 </w:t>
            </w:r>
          </w:p>
        </w:tc>
        <w:tc>
          <w:tcPr>
            <w:tcW w:w="2552" w:type="dxa"/>
            <w:tcBorders>
              <w:top w:val="nil"/>
              <w:left w:val="nil"/>
              <w:bottom w:val="single" w:color="auto" w:sz="4" w:space="0"/>
              <w:right w:val="single" w:color="auto" w:sz="4" w:space="0"/>
            </w:tcBorders>
            <w:shd w:val="clear" w:color="000000" w:fill="FFFFFF"/>
            <w:vAlign w:val="center"/>
          </w:tcPr>
          <w:p w14:paraId="17B3C816">
            <w:pPr>
              <w:widowControl/>
              <w:spacing w:line="240" w:lineRule="exact"/>
              <w:jc w:val="center"/>
              <w:rPr>
                <w:rFonts w:ascii="宋体" w:hAnsi="宋体" w:cs="宋体"/>
                <w:kern w:val="0"/>
                <w:sz w:val="21"/>
                <w:szCs w:val="21"/>
              </w:rPr>
            </w:pPr>
            <w:r>
              <w:rPr>
                <w:rFonts w:hint="eastAsia" w:ascii="宋体" w:hAnsi="宋体" w:cs="宋体"/>
                <w:kern w:val="0"/>
                <w:sz w:val="21"/>
                <w:szCs w:val="21"/>
              </w:rPr>
              <w:t>锦湖街道办事处</w:t>
            </w:r>
          </w:p>
        </w:tc>
      </w:tr>
      <w:tr w14:paraId="61575A4C">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436E58CE">
            <w:pPr>
              <w:widowControl/>
              <w:spacing w:line="240" w:lineRule="exact"/>
              <w:jc w:val="center"/>
              <w:rPr>
                <w:rFonts w:ascii="宋体" w:hAnsi="宋体" w:cs="宋体"/>
                <w:kern w:val="0"/>
                <w:sz w:val="21"/>
                <w:szCs w:val="21"/>
              </w:rPr>
            </w:pPr>
            <w:r>
              <w:rPr>
                <w:rFonts w:hint="eastAsia" w:ascii="宋体" w:hAnsi="宋体" w:cs="宋体"/>
                <w:kern w:val="0"/>
                <w:sz w:val="21"/>
                <w:szCs w:val="21"/>
              </w:rPr>
              <w:t>67</w:t>
            </w:r>
          </w:p>
        </w:tc>
        <w:tc>
          <w:tcPr>
            <w:tcW w:w="2269" w:type="dxa"/>
            <w:tcBorders>
              <w:top w:val="nil"/>
              <w:left w:val="nil"/>
              <w:bottom w:val="single" w:color="auto" w:sz="4" w:space="0"/>
              <w:right w:val="single" w:color="auto" w:sz="4" w:space="0"/>
            </w:tcBorders>
            <w:shd w:val="clear" w:color="000000" w:fill="FFFFFF"/>
            <w:vAlign w:val="center"/>
          </w:tcPr>
          <w:p w14:paraId="605C5865">
            <w:pPr>
              <w:widowControl/>
              <w:spacing w:line="240" w:lineRule="exact"/>
              <w:jc w:val="center"/>
              <w:rPr>
                <w:rFonts w:ascii="仿宋_GB2312" w:hAnsi="宋体" w:cs="宋体"/>
                <w:kern w:val="0"/>
                <w:sz w:val="21"/>
                <w:szCs w:val="21"/>
              </w:rPr>
            </w:pPr>
            <w:r>
              <w:rPr>
                <w:rFonts w:hint="eastAsia" w:ascii="宋体" w:hAnsi="宋体" w:cs="宋体"/>
                <w:kern w:val="0"/>
                <w:sz w:val="21"/>
                <w:szCs w:val="21"/>
              </w:rPr>
              <w:t>年产3000台(套)一体化智能高端鞋机装备生产线建设项目</w:t>
            </w:r>
          </w:p>
        </w:tc>
        <w:tc>
          <w:tcPr>
            <w:tcW w:w="1276" w:type="dxa"/>
            <w:tcBorders>
              <w:top w:val="nil"/>
              <w:left w:val="nil"/>
              <w:bottom w:val="single" w:color="auto" w:sz="4" w:space="0"/>
              <w:right w:val="single" w:color="auto" w:sz="4" w:space="0"/>
            </w:tcBorders>
            <w:shd w:val="clear" w:color="000000" w:fill="FFFFFF"/>
            <w:vAlign w:val="center"/>
          </w:tcPr>
          <w:p w14:paraId="1DFDB7EE">
            <w:pPr>
              <w:widowControl/>
              <w:spacing w:line="240" w:lineRule="exact"/>
              <w:jc w:val="center"/>
              <w:rPr>
                <w:rFonts w:ascii="Times New Roman" w:hAnsi="Times New Roman"/>
                <w:kern w:val="0"/>
                <w:sz w:val="21"/>
                <w:szCs w:val="21"/>
              </w:rPr>
            </w:pPr>
            <w:r>
              <w:rPr>
                <w:rFonts w:ascii="Times New Roman" w:hAnsi="Times New Roman"/>
                <w:kern w:val="0"/>
                <w:sz w:val="21"/>
                <w:szCs w:val="21"/>
              </w:rPr>
              <w:t>2023-2026</w:t>
            </w:r>
          </w:p>
        </w:tc>
        <w:tc>
          <w:tcPr>
            <w:tcW w:w="6520" w:type="dxa"/>
            <w:tcBorders>
              <w:top w:val="nil"/>
              <w:left w:val="nil"/>
              <w:bottom w:val="single" w:color="auto" w:sz="4" w:space="0"/>
              <w:right w:val="single" w:color="auto" w:sz="4" w:space="0"/>
            </w:tcBorders>
            <w:shd w:val="clear" w:color="000000" w:fill="FFFFFF"/>
            <w:vAlign w:val="center"/>
          </w:tcPr>
          <w:p w14:paraId="61C534E0">
            <w:pPr>
              <w:widowControl/>
              <w:spacing w:line="240" w:lineRule="exact"/>
              <w:rPr>
                <w:rFonts w:ascii="宋体" w:hAnsi="宋体" w:cs="宋体"/>
                <w:kern w:val="0"/>
                <w:sz w:val="21"/>
                <w:szCs w:val="21"/>
              </w:rPr>
            </w:pPr>
            <w:r>
              <w:rPr>
                <w:rFonts w:hint="eastAsia" w:ascii="宋体" w:hAnsi="宋体" w:cs="宋体"/>
                <w:kern w:val="0"/>
                <w:sz w:val="21"/>
                <w:szCs w:val="21"/>
              </w:rPr>
              <w:t>项目总用地面积约369.27亩:总建筑面积573880平方米。建设内容包括设计研发中心、生产智造中心、成品检验中心、办公楼等;项目购置国内外先进的五轴联动加工中心、智能激光切割设备、智控系统等关键设备:形成年产3000台(套)一体化智能高端鞋机装备的生产能力。</w:t>
            </w:r>
          </w:p>
        </w:tc>
        <w:tc>
          <w:tcPr>
            <w:tcW w:w="992" w:type="dxa"/>
            <w:tcBorders>
              <w:top w:val="nil"/>
              <w:left w:val="nil"/>
              <w:bottom w:val="single" w:color="auto" w:sz="4" w:space="0"/>
              <w:right w:val="single" w:color="auto" w:sz="4" w:space="0"/>
            </w:tcBorders>
            <w:shd w:val="clear" w:color="000000" w:fill="FFFFFF"/>
            <w:vAlign w:val="center"/>
          </w:tcPr>
          <w:p w14:paraId="73723F3E">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22.36 </w:t>
            </w:r>
          </w:p>
        </w:tc>
        <w:tc>
          <w:tcPr>
            <w:tcW w:w="2552" w:type="dxa"/>
            <w:tcBorders>
              <w:top w:val="nil"/>
              <w:left w:val="nil"/>
              <w:bottom w:val="single" w:color="auto" w:sz="4" w:space="0"/>
              <w:right w:val="single" w:color="auto" w:sz="4" w:space="0"/>
            </w:tcBorders>
            <w:shd w:val="clear" w:color="000000" w:fill="FFFFFF"/>
            <w:vAlign w:val="center"/>
          </w:tcPr>
          <w:p w14:paraId="0E40A656">
            <w:pPr>
              <w:widowControl/>
              <w:spacing w:line="240" w:lineRule="exact"/>
              <w:jc w:val="center"/>
              <w:rPr>
                <w:rFonts w:ascii="宋体" w:hAnsi="宋体" w:cs="宋体"/>
                <w:kern w:val="0"/>
                <w:sz w:val="21"/>
                <w:szCs w:val="21"/>
              </w:rPr>
            </w:pPr>
            <w:r>
              <w:rPr>
                <w:rFonts w:hint="eastAsia" w:ascii="宋体" w:hAnsi="宋体" w:cs="宋体"/>
                <w:kern w:val="0"/>
                <w:sz w:val="21"/>
                <w:szCs w:val="21"/>
              </w:rPr>
              <w:t>仙降街道办事处</w:t>
            </w:r>
          </w:p>
        </w:tc>
      </w:tr>
      <w:tr w14:paraId="7D6F7271">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FE4D86B">
            <w:pPr>
              <w:widowControl/>
              <w:spacing w:line="240" w:lineRule="exact"/>
              <w:jc w:val="center"/>
              <w:rPr>
                <w:rFonts w:ascii="宋体" w:hAnsi="宋体" w:cs="宋体"/>
                <w:kern w:val="0"/>
                <w:sz w:val="21"/>
                <w:szCs w:val="21"/>
              </w:rPr>
            </w:pPr>
            <w:r>
              <w:rPr>
                <w:rFonts w:hint="eastAsia" w:ascii="宋体" w:hAnsi="宋体" w:cs="宋体"/>
                <w:kern w:val="0"/>
                <w:sz w:val="21"/>
                <w:szCs w:val="21"/>
              </w:rPr>
              <w:t>68</w:t>
            </w:r>
          </w:p>
        </w:tc>
        <w:tc>
          <w:tcPr>
            <w:tcW w:w="2269" w:type="dxa"/>
            <w:tcBorders>
              <w:top w:val="nil"/>
              <w:left w:val="nil"/>
              <w:bottom w:val="single" w:color="auto" w:sz="4" w:space="0"/>
              <w:right w:val="single" w:color="auto" w:sz="4" w:space="0"/>
            </w:tcBorders>
            <w:shd w:val="clear" w:color="000000" w:fill="FFFFFF"/>
            <w:vAlign w:val="center"/>
          </w:tcPr>
          <w:p w14:paraId="021E41D4">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繁荣、杏垟老旧工业区改造提升工程</w:t>
            </w:r>
          </w:p>
        </w:tc>
        <w:tc>
          <w:tcPr>
            <w:tcW w:w="1276" w:type="dxa"/>
            <w:tcBorders>
              <w:top w:val="nil"/>
              <w:left w:val="nil"/>
              <w:bottom w:val="single" w:color="auto" w:sz="4" w:space="0"/>
              <w:right w:val="single" w:color="auto" w:sz="4" w:space="0"/>
            </w:tcBorders>
            <w:shd w:val="clear" w:color="auto" w:fill="auto"/>
            <w:vAlign w:val="center"/>
          </w:tcPr>
          <w:p w14:paraId="4EF23A16">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2024-2026</w:t>
            </w:r>
          </w:p>
        </w:tc>
        <w:tc>
          <w:tcPr>
            <w:tcW w:w="6520" w:type="dxa"/>
            <w:tcBorders>
              <w:top w:val="nil"/>
              <w:left w:val="nil"/>
              <w:bottom w:val="single" w:color="auto" w:sz="4" w:space="0"/>
              <w:right w:val="single" w:color="auto" w:sz="4" w:space="0"/>
            </w:tcBorders>
            <w:shd w:val="clear" w:color="auto" w:fill="auto"/>
            <w:vAlign w:val="center"/>
          </w:tcPr>
          <w:p w14:paraId="6D06C5D6">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位于云周街道繁荣工业区、杏垟工业区范围，涉及老旧企业改建及低效土地利用。</w:t>
            </w:r>
          </w:p>
        </w:tc>
        <w:tc>
          <w:tcPr>
            <w:tcW w:w="992" w:type="dxa"/>
            <w:tcBorders>
              <w:top w:val="nil"/>
              <w:left w:val="nil"/>
              <w:bottom w:val="single" w:color="auto" w:sz="4" w:space="0"/>
              <w:right w:val="single" w:color="auto" w:sz="4" w:space="0"/>
            </w:tcBorders>
            <w:shd w:val="clear" w:color="auto" w:fill="auto"/>
            <w:vAlign w:val="center"/>
          </w:tcPr>
          <w:p w14:paraId="2BC35CC7">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6.00 </w:t>
            </w:r>
          </w:p>
        </w:tc>
        <w:tc>
          <w:tcPr>
            <w:tcW w:w="2552" w:type="dxa"/>
            <w:tcBorders>
              <w:top w:val="nil"/>
              <w:left w:val="nil"/>
              <w:bottom w:val="single" w:color="auto" w:sz="4" w:space="0"/>
              <w:right w:val="single" w:color="auto" w:sz="4" w:space="0"/>
            </w:tcBorders>
            <w:shd w:val="clear" w:color="auto" w:fill="auto"/>
            <w:vAlign w:val="center"/>
          </w:tcPr>
          <w:p w14:paraId="7A2A7B20">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云周街道办事处</w:t>
            </w:r>
          </w:p>
        </w:tc>
      </w:tr>
      <w:tr w14:paraId="385F3402">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3254AD39">
            <w:pPr>
              <w:widowControl/>
              <w:spacing w:line="240" w:lineRule="exact"/>
              <w:jc w:val="center"/>
              <w:rPr>
                <w:rFonts w:ascii="宋体" w:hAnsi="宋体" w:cs="宋体"/>
                <w:bCs/>
                <w:kern w:val="0"/>
                <w:sz w:val="21"/>
                <w:szCs w:val="21"/>
              </w:rPr>
            </w:pPr>
            <w:r>
              <w:rPr>
                <w:rFonts w:hint="eastAsia" w:ascii="宋体" w:hAnsi="宋体" w:cs="宋体"/>
                <w:bCs/>
                <w:kern w:val="0"/>
                <w:sz w:val="21"/>
                <w:szCs w:val="21"/>
              </w:rPr>
              <w:t>69</w:t>
            </w:r>
          </w:p>
        </w:tc>
        <w:tc>
          <w:tcPr>
            <w:tcW w:w="2269" w:type="dxa"/>
            <w:tcBorders>
              <w:top w:val="nil"/>
              <w:left w:val="nil"/>
              <w:bottom w:val="single" w:color="auto" w:sz="4" w:space="0"/>
              <w:right w:val="single" w:color="auto" w:sz="4" w:space="0"/>
            </w:tcBorders>
            <w:shd w:val="clear" w:color="000000" w:fill="FFFFFF"/>
            <w:vAlign w:val="center"/>
          </w:tcPr>
          <w:p w14:paraId="59C0CABF">
            <w:pPr>
              <w:widowControl/>
              <w:spacing w:line="240" w:lineRule="exact"/>
              <w:jc w:val="center"/>
              <w:rPr>
                <w:rFonts w:ascii="宋体" w:hAnsi="宋体" w:cs="宋体"/>
                <w:kern w:val="0"/>
                <w:sz w:val="21"/>
                <w:szCs w:val="21"/>
              </w:rPr>
            </w:pPr>
            <w:r>
              <w:rPr>
                <w:rFonts w:hint="eastAsia" w:ascii="宋体" w:hAnsi="宋体" w:cs="宋体"/>
                <w:kern w:val="0"/>
                <w:sz w:val="21"/>
                <w:szCs w:val="21"/>
              </w:rPr>
              <w:t>东山垃圾填埋场有机更新项目</w:t>
            </w:r>
          </w:p>
        </w:tc>
        <w:tc>
          <w:tcPr>
            <w:tcW w:w="1276" w:type="dxa"/>
            <w:tcBorders>
              <w:top w:val="nil"/>
              <w:left w:val="nil"/>
              <w:bottom w:val="single" w:color="auto" w:sz="4" w:space="0"/>
              <w:right w:val="single" w:color="auto" w:sz="4" w:space="0"/>
            </w:tcBorders>
            <w:shd w:val="clear" w:color="000000" w:fill="FFFFFF"/>
            <w:noWrap/>
            <w:vAlign w:val="center"/>
          </w:tcPr>
          <w:p w14:paraId="3536989A">
            <w:pPr>
              <w:widowControl/>
              <w:spacing w:line="240" w:lineRule="exact"/>
              <w:jc w:val="center"/>
              <w:rPr>
                <w:rFonts w:ascii="宋体" w:hAnsi="宋体" w:cs="宋体"/>
                <w:kern w:val="0"/>
                <w:sz w:val="21"/>
                <w:szCs w:val="21"/>
              </w:rPr>
            </w:pPr>
            <w:r>
              <w:rPr>
                <w:rFonts w:hint="eastAsia" w:ascii="宋体" w:hAnsi="宋体" w:cs="宋体"/>
                <w:kern w:val="0"/>
                <w:sz w:val="21"/>
                <w:szCs w:val="21"/>
              </w:rPr>
              <w:t>2024-2029</w:t>
            </w:r>
          </w:p>
        </w:tc>
        <w:tc>
          <w:tcPr>
            <w:tcW w:w="6520" w:type="dxa"/>
            <w:tcBorders>
              <w:top w:val="nil"/>
              <w:left w:val="nil"/>
              <w:bottom w:val="single" w:color="auto" w:sz="4" w:space="0"/>
              <w:right w:val="single" w:color="auto" w:sz="4" w:space="0"/>
            </w:tcBorders>
            <w:shd w:val="clear" w:color="000000" w:fill="FFFFFF"/>
            <w:vAlign w:val="center"/>
          </w:tcPr>
          <w:p w14:paraId="7398F1D8">
            <w:pPr>
              <w:widowControl/>
              <w:spacing w:line="240" w:lineRule="exact"/>
              <w:rPr>
                <w:rFonts w:ascii="宋体" w:hAnsi="宋体" w:cs="宋体"/>
                <w:kern w:val="0"/>
                <w:sz w:val="21"/>
                <w:szCs w:val="21"/>
              </w:rPr>
            </w:pPr>
            <w:r>
              <w:rPr>
                <w:rFonts w:hint="eastAsia" w:ascii="宋体" w:hAnsi="宋体" w:cs="宋体"/>
                <w:kern w:val="0"/>
                <w:sz w:val="21"/>
                <w:szCs w:val="21"/>
              </w:rPr>
              <w:t>位于瑞安经济开发区高速公路桥西侧，垃圾填埋场总占地约350亩，需治理垃圾存量约212.76万m³。拟建设绿色建材产业园，总建筑面积25万㎡，植入机制砂、预制件、沥青和混凝土拌合等产业。</w:t>
            </w:r>
          </w:p>
        </w:tc>
        <w:tc>
          <w:tcPr>
            <w:tcW w:w="992" w:type="dxa"/>
            <w:tcBorders>
              <w:top w:val="nil"/>
              <w:left w:val="nil"/>
              <w:bottom w:val="single" w:color="auto" w:sz="4" w:space="0"/>
              <w:right w:val="single" w:color="auto" w:sz="4" w:space="0"/>
            </w:tcBorders>
            <w:shd w:val="clear" w:color="000000" w:fill="FFFFFF"/>
            <w:noWrap/>
            <w:vAlign w:val="center"/>
          </w:tcPr>
          <w:p w14:paraId="60A6C16E">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15.00 </w:t>
            </w:r>
          </w:p>
        </w:tc>
        <w:tc>
          <w:tcPr>
            <w:tcW w:w="2552" w:type="dxa"/>
            <w:tcBorders>
              <w:top w:val="nil"/>
              <w:left w:val="nil"/>
              <w:bottom w:val="single" w:color="auto" w:sz="4" w:space="0"/>
              <w:right w:val="single" w:color="auto" w:sz="4" w:space="0"/>
            </w:tcBorders>
            <w:shd w:val="clear" w:color="000000" w:fill="FFFFFF"/>
            <w:vAlign w:val="center"/>
          </w:tcPr>
          <w:p w14:paraId="623A984B">
            <w:pPr>
              <w:widowControl/>
              <w:spacing w:line="240" w:lineRule="exact"/>
              <w:jc w:val="center"/>
              <w:rPr>
                <w:rFonts w:ascii="宋体" w:hAnsi="宋体" w:cs="宋体"/>
                <w:kern w:val="0"/>
                <w:sz w:val="21"/>
                <w:szCs w:val="21"/>
              </w:rPr>
            </w:pPr>
            <w:r>
              <w:rPr>
                <w:rFonts w:hint="eastAsia" w:ascii="宋体" w:hAnsi="宋体" w:cs="宋体"/>
                <w:kern w:val="0"/>
                <w:sz w:val="21"/>
                <w:szCs w:val="21"/>
              </w:rPr>
              <w:t>市产发集团</w:t>
            </w:r>
          </w:p>
        </w:tc>
      </w:tr>
      <w:tr w14:paraId="1EC831D6">
        <w:tblPrEx>
          <w:tblCellMar>
            <w:top w:w="0" w:type="dxa"/>
            <w:left w:w="108" w:type="dxa"/>
            <w:bottom w:w="0" w:type="dxa"/>
            <w:right w:w="108" w:type="dxa"/>
          </w:tblCellMar>
        </w:tblPrEx>
        <w:trPr>
          <w:trHeight w:val="20" w:hRule="atLeast"/>
        </w:trPr>
        <w:tc>
          <w:tcPr>
            <w:tcW w:w="283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AC4A125">
            <w:pPr>
              <w:widowControl/>
              <w:spacing w:line="240" w:lineRule="exact"/>
              <w:jc w:val="center"/>
              <w:rPr>
                <w:rFonts w:ascii="宋体" w:hAnsi="宋体" w:cs="宋体"/>
                <w:kern w:val="0"/>
                <w:sz w:val="21"/>
                <w:szCs w:val="21"/>
              </w:rPr>
            </w:pPr>
            <w:r>
              <w:rPr>
                <w:rFonts w:hint="eastAsia" w:ascii="宋体" w:hAnsi="宋体" w:cs="宋体"/>
                <w:b/>
                <w:bCs/>
                <w:kern w:val="0"/>
                <w:sz w:val="21"/>
                <w:szCs w:val="21"/>
              </w:rPr>
              <w:t>6、现代服务业及其他项目（10个）</w:t>
            </w:r>
          </w:p>
        </w:tc>
        <w:tc>
          <w:tcPr>
            <w:tcW w:w="1276" w:type="dxa"/>
            <w:tcBorders>
              <w:top w:val="nil"/>
              <w:left w:val="nil"/>
              <w:bottom w:val="single" w:color="auto" w:sz="4" w:space="0"/>
              <w:right w:val="single" w:color="auto" w:sz="4" w:space="0"/>
            </w:tcBorders>
            <w:shd w:val="clear" w:color="auto" w:fill="auto"/>
            <w:vAlign w:val="center"/>
          </w:tcPr>
          <w:p w14:paraId="6F1D4A19">
            <w:pPr>
              <w:widowControl/>
              <w:spacing w:line="240" w:lineRule="exact"/>
              <w:jc w:val="center"/>
              <w:rPr>
                <w:rFonts w:ascii="宋体" w:hAnsi="宋体" w:cs="宋体"/>
                <w:color w:val="000000"/>
                <w:kern w:val="0"/>
                <w:sz w:val="21"/>
                <w:szCs w:val="21"/>
              </w:rPr>
            </w:pPr>
          </w:p>
        </w:tc>
        <w:tc>
          <w:tcPr>
            <w:tcW w:w="6520" w:type="dxa"/>
            <w:tcBorders>
              <w:top w:val="nil"/>
              <w:left w:val="nil"/>
              <w:bottom w:val="single" w:color="auto" w:sz="4" w:space="0"/>
              <w:right w:val="single" w:color="auto" w:sz="4" w:space="0"/>
            </w:tcBorders>
            <w:shd w:val="clear" w:color="auto" w:fill="auto"/>
            <w:vAlign w:val="center"/>
          </w:tcPr>
          <w:p w14:paraId="5E682D0C">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　</w:t>
            </w:r>
          </w:p>
        </w:tc>
        <w:tc>
          <w:tcPr>
            <w:tcW w:w="992" w:type="dxa"/>
            <w:tcBorders>
              <w:top w:val="nil"/>
              <w:left w:val="nil"/>
              <w:bottom w:val="single" w:color="auto" w:sz="4" w:space="0"/>
              <w:right w:val="single" w:color="auto" w:sz="4" w:space="0"/>
            </w:tcBorders>
            <w:shd w:val="clear" w:color="auto" w:fill="auto"/>
            <w:vAlign w:val="center"/>
          </w:tcPr>
          <w:p w14:paraId="3A4CC963">
            <w:pPr>
              <w:widowControl/>
              <w:spacing w:line="240" w:lineRule="exact"/>
              <w:jc w:val="center"/>
              <w:rPr>
                <w:rFonts w:ascii="宋体" w:hAnsi="宋体" w:cs="宋体"/>
                <w:b/>
                <w:bCs/>
                <w:color w:val="000000"/>
                <w:kern w:val="0"/>
                <w:sz w:val="21"/>
                <w:szCs w:val="21"/>
              </w:rPr>
            </w:pPr>
            <w:r>
              <w:rPr>
                <w:rFonts w:hint="eastAsia" w:ascii="宋体" w:hAnsi="宋体" w:cs="宋体"/>
                <w:b/>
                <w:bCs/>
                <w:color w:val="000000"/>
                <w:kern w:val="0"/>
                <w:sz w:val="21"/>
                <w:szCs w:val="21"/>
              </w:rPr>
              <w:t xml:space="preserve">101.82 </w:t>
            </w:r>
          </w:p>
        </w:tc>
        <w:tc>
          <w:tcPr>
            <w:tcW w:w="2552" w:type="dxa"/>
            <w:tcBorders>
              <w:top w:val="nil"/>
              <w:left w:val="nil"/>
              <w:bottom w:val="single" w:color="auto" w:sz="4" w:space="0"/>
              <w:right w:val="single" w:color="auto" w:sz="4" w:space="0"/>
            </w:tcBorders>
            <w:shd w:val="clear" w:color="auto" w:fill="auto"/>
            <w:vAlign w:val="center"/>
          </w:tcPr>
          <w:p w14:paraId="345F067C">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0DA8EA33">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CDCBDB3">
            <w:pPr>
              <w:widowControl/>
              <w:spacing w:line="240" w:lineRule="exact"/>
              <w:jc w:val="center"/>
              <w:rPr>
                <w:rFonts w:ascii="宋体" w:hAnsi="宋体" w:cs="宋体"/>
                <w:kern w:val="0"/>
                <w:sz w:val="21"/>
                <w:szCs w:val="21"/>
              </w:rPr>
            </w:pPr>
            <w:r>
              <w:rPr>
                <w:rFonts w:hint="eastAsia" w:ascii="宋体" w:hAnsi="宋体" w:cs="宋体"/>
                <w:kern w:val="0"/>
                <w:sz w:val="21"/>
                <w:szCs w:val="21"/>
              </w:rPr>
              <w:t>70</w:t>
            </w:r>
          </w:p>
        </w:tc>
        <w:tc>
          <w:tcPr>
            <w:tcW w:w="2269" w:type="dxa"/>
            <w:tcBorders>
              <w:top w:val="nil"/>
              <w:left w:val="nil"/>
              <w:bottom w:val="single" w:color="auto" w:sz="4" w:space="0"/>
              <w:right w:val="single" w:color="auto" w:sz="4" w:space="0"/>
            </w:tcBorders>
            <w:shd w:val="clear" w:color="000000" w:fill="FFFFFF"/>
            <w:vAlign w:val="center"/>
          </w:tcPr>
          <w:p w14:paraId="744EDB94">
            <w:pPr>
              <w:widowControl/>
              <w:spacing w:line="240" w:lineRule="exact"/>
              <w:jc w:val="center"/>
              <w:rPr>
                <w:rFonts w:ascii="宋体" w:hAnsi="宋体" w:cs="宋体"/>
                <w:kern w:val="0"/>
                <w:sz w:val="21"/>
                <w:szCs w:val="21"/>
              </w:rPr>
            </w:pPr>
            <w:r>
              <w:rPr>
                <w:rFonts w:hint="eastAsia" w:ascii="宋体" w:hAnsi="宋体" w:cs="宋体"/>
                <w:kern w:val="0"/>
                <w:sz w:val="21"/>
                <w:szCs w:val="21"/>
              </w:rPr>
              <w:t>城隍庙地块改造建设项目</w:t>
            </w:r>
          </w:p>
        </w:tc>
        <w:tc>
          <w:tcPr>
            <w:tcW w:w="1276" w:type="dxa"/>
            <w:tcBorders>
              <w:top w:val="nil"/>
              <w:left w:val="single" w:color="auto" w:sz="4" w:space="0"/>
              <w:bottom w:val="single" w:color="auto" w:sz="4" w:space="0"/>
              <w:right w:val="single" w:color="auto" w:sz="4" w:space="0"/>
            </w:tcBorders>
            <w:shd w:val="clear" w:color="000000" w:fill="FFFFFF"/>
            <w:noWrap/>
            <w:vAlign w:val="center"/>
          </w:tcPr>
          <w:p w14:paraId="54FE2A5B">
            <w:pPr>
              <w:widowControl/>
              <w:spacing w:line="240" w:lineRule="exact"/>
              <w:jc w:val="center"/>
              <w:rPr>
                <w:rFonts w:ascii="宋体" w:hAnsi="宋体" w:cs="宋体"/>
                <w:kern w:val="0"/>
                <w:sz w:val="21"/>
                <w:szCs w:val="21"/>
              </w:rPr>
            </w:pPr>
            <w:r>
              <w:rPr>
                <w:rFonts w:hint="eastAsia" w:ascii="宋体" w:hAnsi="宋体" w:cs="宋体"/>
                <w:kern w:val="0"/>
                <w:sz w:val="21"/>
                <w:szCs w:val="21"/>
              </w:rPr>
              <w:t>2023-2027</w:t>
            </w:r>
          </w:p>
        </w:tc>
        <w:tc>
          <w:tcPr>
            <w:tcW w:w="6520" w:type="dxa"/>
            <w:tcBorders>
              <w:top w:val="nil"/>
              <w:left w:val="nil"/>
              <w:bottom w:val="single" w:color="auto" w:sz="4" w:space="0"/>
              <w:right w:val="single" w:color="auto" w:sz="4" w:space="0"/>
            </w:tcBorders>
            <w:shd w:val="clear" w:color="000000" w:fill="FFFFFF"/>
            <w:vAlign w:val="center"/>
          </w:tcPr>
          <w:p w14:paraId="0F260FCD">
            <w:pPr>
              <w:widowControl/>
              <w:spacing w:line="240" w:lineRule="exact"/>
              <w:rPr>
                <w:rFonts w:ascii="宋体" w:hAnsi="宋体" w:cs="宋体"/>
                <w:kern w:val="0"/>
                <w:sz w:val="21"/>
                <w:szCs w:val="21"/>
              </w:rPr>
            </w:pPr>
            <w:r>
              <w:rPr>
                <w:rFonts w:hint="eastAsia" w:ascii="宋体" w:hAnsi="宋体" w:cs="宋体"/>
                <w:kern w:val="0"/>
                <w:sz w:val="21"/>
                <w:szCs w:val="21"/>
              </w:rPr>
              <w:t>通过岭下（城隍庙）地块旧村改造，扩大东门商业范围，将白岩桥、东门码头、塘河印象等项目有机融合，打造团块式城隍庙文化街区，植入文化产业，形成有一定规模的文旅商圈。向西与玉海古城丰湖街历史街区联通，向东与塘 河文化走廊联通。</w:t>
            </w:r>
          </w:p>
        </w:tc>
        <w:tc>
          <w:tcPr>
            <w:tcW w:w="992" w:type="dxa"/>
            <w:tcBorders>
              <w:top w:val="nil"/>
              <w:left w:val="nil"/>
              <w:bottom w:val="single" w:color="auto" w:sz="4" w:space="0"/>
              <w:right w:val="single" w:color="auto" w:sz="4" w:space="0"/>
            </w:tcBorders>
            <w:shd w:val="clear" w:color="000000" w:fill="FFFFFF"/>
            <w:noWrap/>
            <w:vAlign w:val="center"/>
          </w:tcPr>
          <w:p w14:paraId="301E3E34">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4.00 </w:t>
            </w:r>
          </w:p>
        </w:tc>
        <w:tc>
          <w:tcPr>
            <w:tcW w:w="2552" w:type="dxa"/>
            <w:tcBorders>
              <w:top w:val="nil"/>
              <w:left w:val="nil"/>
              <w:bottom w:val="single" w:color="auto" w:sz="4" w:space="0"/>
              <w:right w:val="single" w:color="auto" w:sz="4" w:space="0"/>
            </w:tcBorders>
            <w:shd w:val="clear" w:color="000000" w:fill="FFFFFF"/>
            <w:vAlign w:val="center"/>
          </w:tcPr>
          <w:p w14:paraId="37B9977F">
            <w:pPr>
              <w:widowControl/>
              <w:spacing w:line="240" w:lineRule="exact"/>
              <w:jc w:val="center"/>
              <w:rPr>
                <w:rFonts w:ascii="宋体" w:hAnsi="宋体" w:cs="宋体"/>
                <w:kern w:val="0"/>
                <w:sz w:val="21"/>
                <w:szCs w:val="21"/>
              </w:rPr>
            </w:pPr>
            <w:r>
              <w:rPr>
                <w:rFonts w:hint="eastAsia" w:ascii="宋体" w:hAnsi="宋体" w:cs="宋体"/>
                <w:kern w:val="0"/>
                <w:sz w:val="21"/>
                <w:szCs w:val="21"/>
              </w:rPr>
              <w:t>市温瑞塘河工程建设中心、安阳街道办事处。</w:t>
            </w:r>
          </w:p>
        </w:tc>
      </w:tr>
      <w:tr w14:paraId="5A0CA809">
        <w:tblPrEx>
          <w:tblCellMar>
            <w:top w:w="0" w:type="dxa"/>
            <w:left w:w="108" w:type="dxa"/>
            <w:bottom w:w="0" w:type="dxa"/>
            <w:right w:w="108"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D7C4E3">
            <w:pPr>
              <w:widowControl/>
              <w:spacing w:line="240" w:lineRule="exact"/>
              <w:jc w:val="center"/>
              <w:rPr>
                <w:rFonts w:ascii="宋体" w:hAnsi="宋体" w:cs="宋体"/>
                <w:kern w:val="0"/>
                <w:sz w:val="21"/>
                <w:szCs w:val="21"/>
              </w:rPr>
            </w:pPr>
            <w:r>
              <w:rPr>
                <w:rFonts w:hint="eastAsia" w:ascii="宋体" w:hAnsi="宋体" w:cs="宋体"/>
                <w:kern w:val="0"/>
                <w:sz w:val="21"/>
                <w:szCs w:val="21"/>
              </w:rPr>
              <w:t>71</w:t>
            </w:r>
          </w:p>
        </w:tc>
        <w:tc>
          <w:tcPr>
            <w:tcW w:w="2269" w:type="dxa"/>
            <w:tcBorders>
              <w:top w:val="single" w:color="auto" w:sz="4" w:space="0"/>
              <w:left w:val="nil"/>
              <w:bottom w:val="single" w:color="auto" w:sz="4" w:space="0"/>
              <w:right w:val="single" w:color="auto" w:sz="4" w:space="0"/>
            </w:tcBorders>
            <w:shd w:val="clear" w:color="000000" w:fill="FFFFFF"/>
            <w:vAlign w:val="center"/>
          </w:tcPr>
          <w:p w14:paraId="6F0C1ABE">
            <w:pPr>
              <w:widowControl/>
              <w:spacing w:line="240" w:lineRule="exact"/>
              <w:jc w:val="center"/>
              <w:rPr>
                <w:rFonts w:ascii="宋体" w:hAnsi="宋体" w:cs="宋体"/>
                <w:kern w:val="0"/>
                <w:sz w:val="21"/>
                <w:szCs w:val="21"/>
              </w:rPr>
            </w:pPr>
            <w:r>
              <w:rPr>
                <w:rFonts w:hint="eastAsia" w:ascii="宋体" w:hAnsi="宋体" w:cs="宋体"/>
                <w:kern w:val="0"/>
                <w:sz w:val="21"/>
                <w:szCs w:val="21"/>
              </w:rPr>
              <w:t>九里汇传统历史风貌片区综合开发</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14:paraId="3A27C98E">
            <w:pPr>
              <w:widowControl/>
              <w:spacing w:line="240" w:lineRule="exact"/>
              <w:jc w:val="center"/>
              <w:rPr>
                <w:rFonts w:ascii="宋体" w:hAnsi="宋体" w:cs="宋体"/>
                <w:kern w:val="0"/>
                <w:sz w:val="21"/>
                <w:szCs w:val="21"/>
              </w:rPr>
            </w:pPr>
            <w:r>
              <w:rPr>
                <w:rFonts w:hint="eastAsia" w:ascii="宋体" w:hAnsi="宋体" w:cs="宋体"/>
                <w:kern w:val="0"/>
                <w:sz w:val="21"/>
                <w:szCs w:val="21"/>
              </w:rPr>
              <w:t>2021-2027</w:t>
            </w:r>
          </w:p>
        </w:tc>
        <w:tc>
          <w:tcPr>
            <w:tcW w:w="6520" w:type="dxa"/>
            <w:tcBorders>
              <w:top w:val="single" w:color="auto" w:sz="4" w:space="0"/>
              <w:left w:val="nil"/>
              <w:bottom w:val="single" w:color="auto" w:sz="4" w:space="0"/>
              <w:right w:val="single" w:color="auto" w:sz="4" w:space="0"/>
            </w:tcBorders>
            <w:shd w:val="clear" w:color="000000" w:fill="FFFFFF"/>
            <w:vAlign w:val="center"/>
          </w:tcPr>
          <w:p w14:paraId="090706A6">
            <w:pPr>
              <w:widowControl/>
              <w:spacing w:line="240" w:lineRule="exact"/>
              <w:rPr>
                <w:rFonts w:ascii="宋体" w:hAnsi="宋体" w:cs="宋体"/>
                <w:kern w:val="0"/>
                <w:sz w:val="21"/>
                <w:szCs w:val="21"/>
              </w:rPr>
            </w:pPr>
            <w:r>
              <w:rPr>
                <w:rFonts w:hint="eastAsia" w:ascii="宋体" w:hAnsi="宋体" w:cs="宋体"/>
                <w:kern w:val="0"/>
                <w:sz w:val="21"/>
                <w:szCs w:val="21"/>
              </w:rPr>
              <w:t>对九里汇及莘塍东街历史街区老建保护、修缮；新建历史风貌街区及内部道路景观节点等建设，还原历史街区商业文化（含政策处理费）。</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B490ACA">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20.00 </w:t>
            </w:r>
          </w:p>
        </w:tc>
        <w:tc>
          <w:tcPr>
            <w:tcW w:w="2552" w:type="dxa"/>
            <w:tcBorders>
              <w:top w:val="single" w:color="auto" w:sz="4" w:space="0"/>
              <w:left w:val="nil"/>
              <w:bottom w:val="single" w:color="auto" w:sz="4" w:space="0"/>
              <w:right w:val="single" w:color="auto" w:sz="4" w:space="0"/>
            </w:tcBorders>
            <w:shd w:val="clear" w:color="000000" w:fill="FFFFFF"/>
            <w:vAlign w:val="center"/>
          </w:tcPr>
          <w:p w14:paraId="0729FD29">
            <w:pPr>
              <w:widowControl/>
              <w:spacing w:line="240" w:lineRule="exact"/>
              <w:jc w:val="center"/>
              <w:rPr>
                <w:rFonts w:ascii="宋体" w:hAnsi="宋体" w:cs="宋体"/>
                <w:kern w:val="0"/>
                <w:sz w:val="21"/>
                <w:szCs w:val="21"/>
              </w:rPr>
            </w:pPr>
            <w:r>
              <w:rPr>
                <w:rFonts w:hint="eastAsia" w:ascii="宋体" w:hAnsi="宋体" w:cs="宋体"/>
                <w:kern w:val="0"/>
                <w:sz w:val="21"/>
                <w:szCs w:val="21"/>
              </w:rPr>
              <w:t>市温瑞塘河工程建设中心、莘塍街道办事处。</w:t>
            </w:r>
          </w:p>
        </w:tc>
      </w:tr>
      <w:tr w14:paraId="483FD799">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77C0D80A">
            <w:pPr>
              <w:widowControl/>
              <w:spacing w:line="240" w:lineRule="exact"/>
              <w:jc w:val="center"/>
              <w:rPr>
                <w:rFonts w:ascii="宋体" w:hAnsi="宋体" w:cs="宋体"/>
                <w:kern w:val="0"/>
                <w:sz w:val="21"/>
                <w:szCs w:val="21"/>
              </w:rPr>
            </w:pPr>
            <w:r>
              <w:rPr>
                <w:rFonts w:hint="eastAsia" w:ascii="宋体" w:hAnsi="宋体" w:cs="宋体"/>
                <w:kern w:val="0"/>
                <w:sz w:val="21"/>
                <w:szCs w:val="21"/>
              </w:rPr>
              <w:t>72</w:t>
            </w:r>
          </w:p>
        </w:tc>
        <w:tc>
          <w:tcPr>
            <w:tcW w:w="2269" w:type="dxa"/>
            <w:tcBorders>
              <w:top w:val="nil"/>
              <w:left w:val="nil"/>
              <w:bottom w:val="single" w:color="auto" w:sz="4" w:space="0"/>
              <w:right w:val="single" w:color="auto" w:sz="4" w:space="0"/>
            </w:tcBorders>
            <w:shd w:val="clear" w:color="000000" w:fill="FFFFFF"/>
            <w:vAlign w:val="center"/>
          </w:tcPr>
          <w:p w14:paraId="492B2209">
            <w:pPr>
              <w:widowControl/>
              <w:spacing w:line="240" w:lineRule="exact"/>
              <w:jc w:val="center"/>
              <w:rPr>
                <w:rFonts w:ascii="宋体" w:hAnsi="宋体" w:cs="宋体"/>
                <w:kern w:val="0"/>
                <w:sz w:val="21"/>
                <w:szCs w:val="21"/>
              </w:rPr>
            </w:pPr>
            <w:r>
              <w:rPr>
                <w:rFonts w:hint="eastAsia" w:ascii="宋体" w:hAnsi="宋体" w:cs="宋体"/>
                <w:kern w:val="0"/>
                <w:sz w:val="21"/>
                <w:szCs w:val="21"/>
              </w:rPr>
              <w:t>南镇一期（缪氏故居）旅游开发项目</w:t>
            </w:r>
          </w:p>
        </w:tc>
        <w:tc>
          <w:tcPr>
            <w:tcW w:w="1276" w:type="dxa"/>
            <w:tcBorders>
              <w:top w:val="nil"/>
              <w:left w:val="nil"/>
              <w:bottom w:val="single" w:color="auto" w:sz="4" w:space="0"/>
              <w:right w:val="single" w:color="auto" w:sz="4" w:space="0"/>
            </w:tcBorders>
            <w:shd w:val="clear" w:color="000000" w:fill="FFFFFF"/>
            <w:noWrap/>
            <w:vAlign w:val="center"/>
          </w:tcPr>
          <w:p w14:paraId="3D148281">
            <w:pPr>
              <w:widowControl/>
              <w:spacing w:line="240" w:lineRule="exact"/>
              <w:jc w:val="center"/>
              <w:rPr>
                <w:rFonts w:ascii="宋体" w:hAnsi="宋体" w:cs="宋体"/>
                <w:kern w:val="0"/>
                <w:sz w:val="21"/>
                <w:szCs w:val="21"/>
              </w:rPr>
            </w:pPr>
            <w:r>
              <w:rPr>
                <w:rFonts w:hint="eastAsia" w:ascii="宋体" w:hAnsi="宋体" w:cs="宋体"/>
                <w:kern w:val="0"/>
                <w:sz w:val="21"/>
                <w:szCs w:val="21"/>
              </w:rPr>
              <w:t>2023-2027</w:t>
            </w:r>
          </w:p>
        </w:tc>
        <w:tc>
          <w:tcPr>
            <w:tcW w:w="6520" w:type="dxa"/>
            <w:tcBorders>
              <w:top w:val="nil"/>
              <w:left w:val="nil"/>
              <w:bottom w:val="single" w:color="auto" w:sz="4" w:space="0"/>
              <w:right w:val="single" w:color="auto" w:sz="4" w:space="0"/>
            </w:tcBorders>
            <w:shd w:val="clear" w:color="000000" w:fill="FFFFFF"/>
            <w:vAlign w:val="center"/>
          </w:tcPr>
          <w:p w14:paraId="62C2B72C">
            <w:pPr>
              <w:widowControl/>
              <w:spacing w:line="240" w:lineRule="exact"/>
              <w:rPr>
                <w:rFonts w:ascii="宋体" w:hAnsi="宋体" w:cs="宋体"/>
                <w:kern w:val="0"/>
                <w:sz w:val="21"/>
                <w:szCs w:val="21"/>
              </w:rPr>
            </w:pPr>
            <w:r>
              <w:rPr>
                <w:rFonts w:hint="eastAsia" w:ascii="宋体" w:hAnsi="宋体" w:cs="宋体"/>
                <w:kern w:val="0"/>
                <w:sz w:val="21"/>
                <w:szCs w:val="21"/>
              </w:rPr>
              <w:t>南镇村城中村改造范围用地面积12.75公顷，项目位于莘塍街道南镇村，政府收购、修旧如旧，把缪氏故居打造成文化馆，可促进资源有效盘活利用，同时纳入全市网红旅游点，发挥老宅激励后学、联络游子、促进旅游、带动经济等综合效用。</w:t>
            </w:r>
          </w:p>
        </w:tc>
        <w:tc>
          <w:tcPr>
            <w:tcW w:w="992" w:type="dxa"/>
            <w:tcBorders>
              <w:top w:val="nil"/>
              <w:left w:val="nil"/>
              <w:bottom w:val="single" w:color="auto" w:sz="4" w:space="0"/>
              <w:right w:val="single" w:color="auto" w:sz="4" w:space="0"/>
            </w:tcBorders>
            <w:shd w:val="clear" w:color="000000" w:fill="FFFFFF"/>
            <w:noWrap/>
            <w:vAlign w:val="center"/>
          </w:tcPr>
          <w:p w14:paraId="77ACB1BC">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17.50 </w:t>
            </w:r>
          </w:p>
        </w:tc>
        <w:tc>
          <w:tcPr>
            <w:tcW w:w="2552" w:type="dxa"/>
            <w:tcBorders>
              <w:top w:val="nil"/>
              <w:left w:val="nil"/>
              <w:bottom w:val="single" w:color="auto" w:sz="4" w:space="0"/>
              <w:right w:val="single" w:color="auto" w:sz="4" w:space="0"/>
            </w:tcBorders>
            <w:shd w:val="clear" w:color="000000" w:fill="FFFFFF"/>
            <w:vAlign w:val="center"/>
          </w:tcPr>
          <w:p w14:paraId="6C06DEB1">
            <w:pPr>
              <w:widowControl/>
              <w:spacing w:line="240" w:lineRule="exact"/>
              <w:jc w:val="center"/>
              <w:rPr>
                <w:rFonts w:ascii="宋体" w:hAnsi="宋体" w:cs="宋体"/>
                <w:kern w:val="0"/>
                <w:sz w:val="21"/>
                <w:szCs w:val="21"/>
              </w:rPr>
            </w:pPr>
            <w:r>
              <w:rPr>
                <w:rFonts w:hint="eastAsia" w:ascii="宋体" w:hAnsi="宋体" w:cs="宋体"/>
                <w:kern w:val="0"/>
                <w:sz w:val="21"/>
                <w:szCs w:val="21"/>
              </w:rPr>
              <w:t>市温瑞塘河工程建设中心、莘塍街道办事处。</w:t>
            </w:r>
          </w:p>
        </w:tc>
      </w:tr>
      <w:tr w14:paraId="1A2FEA84">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0ABE302A">
            <w:pPr>
              <w:widowControl/>
              <w:spacing w:line="240" w:lineRule="exact"/>
              <w:jc w:val="center"/>
              <w:rPr>
                <w:rFonts w:ascii="宋体" w:hAnsi="宋体" w:cs="宋体"/>
                <w:kern w:val="0"/>
                <w:sz w:val="21"/>
                <w:szCs w:val="21"/>
              </w:rPr>
            </w:pPr>
            <w:r>
              <w:rPr>
                <w:rFonts w:hint="eastAsia" w:ascii="宋体" w:hAnsi="宋体" w:cs="宋体"/>
                <w:kern w:val="0"/>
                <w:sz w:val="21"/>
                <w:szCs w:val="21"/>
              </w:rPr>
              <w:t>73</w:t>
            </w:r>
          </w:p>
        </w:tc>
        <w:tc>
          <w:tcPr>
            <w:tcW w:w="2269" w:type="dxa"/>
            <w:tcBorders>
              <w:top w:val="nil"/>
              <w:left w:val="nil"/>
              <w:bottom w:val="single" w:color="auto" w:sz="4" w:space="0"/>
              <w:right w:val="single" w:color="auto" w:sz="4" w:space="0"/>
            </w:tcBorders>
            <w:shd w:val="clear" w:color="000000" w:fill="FFFFFF"/>
            <w:vAlign w:val="center"/>
          </w:tcPr>
          <w:p w14:paraId="7CCE964D">
            <w:pPr>
              <w:widowControl/>
              <w:spacing w:line="240" w:lineRule="exact"/>
              <w:jc w:val="center"/>
              <w:rPr>
                <w:rFonts w:ascii="宋体" w:hAnsi="宋体" w:cs="宋体"/>
                <w:kern w:val="0"/>
                <w:sz w:val="21"/>
                <w:szCs w:val="21"/>
              </w:rPr>
            </w:pPr>
            <w:r>
              <w:rPr>
                <w:rFonts w:hint="eastAsia" w:ascii="宋体" w:hAnsi="宋体" w:cs="宋体"/>
                <w:kern w:val="0"/>
                <w:sz w:val="21"/>
                <w:szCs w:val="21"/>
              </w:rPr>
              <w:t>集云山汽车产业园西区项目</w:t>
            </w:r>
          </w:p>
        </w:tc>
        <w:tc>
          <w:tcPr>
            <w:tcW w:w="1276" w:type="dxa"/>
            <w:tcBorders>
              <w:top w:val="nil"/>
              <w:left w:val="nil"/>
              <w:bottom w:val="single" w:color="auto" w:sz="4" w:space="0"/>
              <w:right w:val="single" w:color="auto" w:sz="4" w:space="0"/>
            </w:tcBorders>
            <w:shd w:val="clear" w:color="000000" w:fill="FFFFFF"/>
            <w:noWrap/>
            <w:vAlign w:val="center"/>
          </w:tcPr>
          <w:p w14:paraId="10ECE1D5">
            <w:pPr>
              <w:widowControl/>
              <w:spacing w:line="240" w:lineRule="exact"/>
              <w:jc w:val="center"/>
              <w:rPr>
                <w:rFonts w:ascii="宋体" w:hAnsi="宋体" w:cs="宋体"/>
                <w:kern w:val="0"/>
                <w:sz w:val="21"/>
                <w:szCs w:val="21"/>
              </w:rPr>
            </w:pPr>
            <w:r>
              <w:rPr>
                <w:rFonts w:hint="eastAsia" w:ascii="宋体" w:hAnsi="宋体" w:cs="宋体"/>
                <w:kern w:val="0"/>
                <w:sz w:val="21"/>
                <w:szCs w:val="21"/>
              </w:rPr>
              <w:t>2025-2028</w:t>
            </w:r>
          </w:p>
        </w:tc>
        <w:tc>
          <w:tcPr>
            <w:tcW w:w="6520" w:type="dxa"/>
            <w:tcBorders>
              <w:top w:val="nil"/>
              <w:left w:val="nil"/>
              <w:bottom w:val="single" w:color="auto" w:sz="4" w:space="0"/>
              <w:right w:val="single" w:color="auto" w:sz="4" w:space="0"/>
            </w:tcBorders>
            <w:shd w:val="clear" w:color="000000" w:fill="FFFFFF"/>
            <w:vAlign w:val="center"/>
          </w:tcPr>
          <w:p w14:paraId="41718AC3">
            <w:pPr>
              <w:widowControl/>
              <w:spacing w:line="240" w:lineRule="exact"/>
              <w:rPr>
                <w:rFonts w:ascii="宋体" w:hAnsi="宋体" w:cs="宋体"/>
                <w:kern w:val="0"/>
                <w:sz w:val="21"/>
                <w:szCs w:val="21"/>
              </w:rPr>
            </w:pPr>
            <w:r>
              <w:rPr>
                <w:rFonts w:hint="eastAsia" w:ascii="宋体" w:hAnsi="宋体" w:cs="宋体"/>
                <w:kern w:val="0"/>
                <w:sz w:val="21"/>
                <w:szCs w:val="21"/>
              </w:rPr>
              <w:t>在陈宅旺、小南山村，规划建设商业综合体，汽车后市场创新港，汽车博物馆，集云山运动公园，模型车室外赛道，打造成汽车后市场文化。</w:t>
            </w:r>
          </w:p>
        </w:tc>
        <w:tc>
          <w:tcPr>
            <w:tcW w:w="992" w:type="dxa"/>
            <w:tcBorders>
              <w:top w:val="nil"/>
              <w:left w:val="nil"/>
              <w:bottom w:val="single" w:color="auto" w:sz="4" w:space="0"/>
              <w:right w:val="single" w:color="auto" w:sz="4" w:space="0"/>
            </w:tcBorders>
            <w:shd w:val="clear" w:color="000000" w:fill="FFFFFF"/>
            <w:noWrap/>
            <w:vAlign w:val="center"/>
          </w:tcPr>
          <w:p w14:paraId="107E14D7">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10.00 </w:t>
            </w:r>
          </w:p>
        </w:tc>
        <w:tc>
          <w:tcPr>
            <w:tcW w:w="2552" w:type="dxa"/>
            <w:tcBorders>
              <w:top w:val="nil"/>
              <w:left w:val="nil"/>
              <w:bottom w:val="single" w:color="auto" w:sz="4" w:space="0"/>
              <w:right w:val="single" w:color="auto" w:sz="4" w:space="0"/>
            </w:tcBorders>
            <w:shd w:val="clear" w:color="000000" w:fill="FFFFFF"/>
            <w:vAlign w:val="center"/>
          </w:tcPr>
          <w:p w14:paraId="696D11FD">
            <w:pPr>
              <w:widowControl/>
              <w:spacing w:line="240" w:lineRule="exact"/>
              <w:jc w:val="center"/>
              <w:rPr>
                <w:rFonts w:ascii="宋体" w:hAnsi="宋体" w:cs="宋体"/>
                <w:kern w:val="0"/>
                <w:sz w:val="21"/>
                <w:szCs w:val="21"/>
              </w:rPr>
            </w:pPr>
            <w:r>
              <w:rPr>
                <w:rFonts w:hint="eastAsia" w:ascii="宋体" w:hAnsi="宋体" w:cs="宋体"/>
                <w:kern w:val="0"/>
                <w:sz w:val="21"/>
                <w:szCs w:val="21"/>
              </w:rPr>
              <w:t>塘下镇政府</w:t>
            </w:r>
          </w:p>
        </w:tc>
      </w:tr>
      <w:tr w14:paraId="521501E5">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4BA67CF9">
            <w:pPr>
              <w:widowControl/>
              <w:spacing w:line="240" w:lineRule="exact"/>
              <w:jc w:val="center"/>
              <w:rPr>
                <w:rFonts w:ascii="宋体" w:hAnsi="宋体" w:cs="宋体"/>
                <w:kern w:val="0"/>
                <w:sz w:val="21"/>
                <w:szCs w:val="21"/>
              </w:rPr>
            </w:pPr>
            <w:r>
              <w:rPr>
                <w:rFonts w:hint="eastAsia" w:ascii="宋体" w:hAnsi="宋体" w:cs="宋体"/>
                <w:kern w:val="0"/>
                <w:sz w:val="21"/>
                <w:szCs w:val="21"/>
              </w:rPr>
              <w:t>74</w:t>
            </w:r>
          </w:p>
        </w:tc>
        <w:tc>
          <w:tcPr>
            <w:tcW w:w="2269" w:type="dxa"/>
            <w:tcBorders>
              <w:top w:val="nil"/>
              <w:left w:val="nil"/>
              <w:bottom w:val="single" w:color="auto" w:sz="4" w:space="0"/>
              <w:right w:val="single" w:color="auto" w:sz="4" w:space="0"/>
            </w:tcBorders>
            <w:shd w:val="clear" w:color="000000" w:fill="FFFFFF"/>
            <w:vAlign w:val="center"/>
          </w:tcPr>
          <w:p w14:paraId="24D39DE7">
            <w:pPr>
              <w:widowControl/>
              <w:spacing w:line="240" w:lineRule="exact"/>
              <w:jc w:val="center"/>
              <w:rPr>
                <w:rFonts w:ascii="宋体" w:hAnsi="宋体" w:cs="宋体"/>
                <w:kern w:val="0"/>
                <w:sz w:val="21"/>
                <w:szCs w:val="21"/>
              </w:rPr>
            </w:pPr>
            <w:r>
              <w:rPr>
                <w:rFonts w:hint="eastAsia" w:ascii="宋体" w:hAnsi="宋体" w:cs="宋体"/>
                <w:kern w:val="0"/>
                <w:sz w:val="21"/>
                <w:szCs w:val="21"/>
              </w:rPr>
              <w:t>北麂全域旅游开发项目</w:t>
            </w:r>
          </w:p>
        </w:tc>
        <w:tc>
          <w:tcPr>
            <w:tcW w:w="1276" w:type="dxa"/>
            <w:tcBorders>
              <w:top w:val="nil"/>
              <w:left w:val="nil"/>
              <w:bottom w:val="single" w:color="auto" w:sz="4" w:space="0"/>
              <w:right w:val="single" w:color="auto" w:sz="4" w:space="0"/>
            </w:tcBorders>
            <w:shd w:val="clear" w:color="000000" w:fill="FFFFFF"/>
            <w:noWrap/>
            <w:vAlign w:val="center"/>
          </w:tcPr>
          <w:p w14:paraId="04B9BA94">
            <w:pPr>
              <w:widowControl/>
              <w:spacing w:line="240" w:lineRule="exact"/>
              <w:jc w:val="center"/>
              <w:rPr>
                <w:rFonts w:ascii="宋体" w:hAnsi="宋体" w:cs="宋体"/>
                <w:kern w:val="0"/>
                <w:sz w:val="21"/>
                <w:szCs w:val="21"/>
              </w:rPr>
            </w:pPr>
            <w:r>
              <w:rPr>
                <w:rFonts w:hint="eastAsia" w:ascii="宋体" w:hAnsi="宋体" w:cs="宋体"/>
                <w:kern w:val="0"/>
                <w:sz w:val="21"/>
                <w:szCs w:val="21"/>
              </w:rPr>
              <w:t>2023-2028</w:t>
            </w:r>
          </w:p>
        </w:tc>
        <w:tc>
          <w:tcPr>
            <w:tcW w:w="6520" w:type="dxa"/>
            <w:tcBorders>
              <w:top w:val="nil"/>
              <w:left w:val="nil"/>
              <w:bottom w:val="single" w:color="auto" w:sz="4" w:space="0"/>
              <w:right w:val="single" w:color="auto" w:sz="4" w:space="0"/>
            </w:tcBorders>
            <w:shd w:val="clear" w:color="000000" w:fill="FFFFFF"/>
            <w:vAlign w:val="center"/>
          </w:tcPr>
          <w:p w14:paraId="1FC0288E">
            <w:pPr>
              <w:widowControl/>
              <w:spacing w:line="240" w:lineRule="exact"/>
              <w:rPr>
                <w:rFonts w:ascii="宋体" w:hAnsi="宋体" w:cs="宋体"/>
                <w:kern w:val="0"/>
                <w:sz w:val="21"/>
                <w:szCs w:val="21"/>
              </w:rPr>
            </w:pPr>
            <w:r>
              <w:rPr>
                <w:rFonts w:hint="eastAsia" w:ascii="宋体" w:hAnsi="宋体" w:cs="宋体"/>
                <w:kern w:val="0"/>
                <w:sz w:val="21"/>
                <w:szCs w:val="21"/>
              </w:rPr>
              <w:t>包含日出酒店、日落酒店、气象观测研学基地、本岛景观提升项目、环岛交通设施建设及其他配套设施，总建筑面积51980㎡。</w:t>
            </w:r>
          </w:p>
        </w:tc>
        <w:tc>
          <w:tcPr>
            <w:tcW w:w="992" w:type="dxa"/>
            <w:tcBorders>
              <w:top w:val="nil"/>
              <w:left w:val="nil"/>
              <w:bottom w:val="single" w:color="auto" w:sz="4" w:space="0"/>
              <w:right w:val="single" w:color="auto" w:sz="4" w:space="0"/>
            </w:tcBorders>
            <w:shd w:val="clear" w:color="000000" w:fill="FFFFFF"/>
            <w:noWrap/>
            <w:vAlign w:val="center"/>
          </w:tcPr>
          <w:p w14:paraId="577F14B7">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10.90 </w:t>
            </w:r>
          </w:p>
        </w:tc>
        <w:tc>
          <w:tcPr>
            <w:tcW w:w="2552" w:type="dxa"/>
            <w:tcBorders>
              <w:top w:val="nil"/>
              <w:left w:val="nil"/>
              <w:bottom w:val="single" w:color="auto" w:sz="4" w:space="0"/>
              <w:right w:val="single" w:color="auto" w:sz="4" w:space="0"/>
            </w:tcBorders>
            <w:shd w:val="clear" w:color="000000" w:fill="FFFFFF"/>
            <w:vAlign w:val="center"/>
          </w:tcPr>
          <w:p w14:paraId="134E4430">
            <w:pPr>
              <w:widowControl/>
              <w:spacing w:line="240" w:lineRule="exact"/>
              <w:jc w:val="center"/>
              <w:rPr>
                <w:rFonts w:ascii="宋体" w:hAnsi="宋体" w:cs="宋体"/>
                <w:kern w:val="0"/>
                <w:sz w:val="21"/>
                <w:szCs w:val="21"/>
              </w:rPr>
            </w:pPr>
            <w:r>
              <w:rPr>
                <w:rFonts w:hint="eastAsia" w:ascii="宋体" w:hAnsi="宋体" w:cs="宋体"/>
                <w:kern w:val="0"/>
                <w:sz w:val="21"/>
                <w:szCs w:val="21"/>
              </w:rPr>
              <w:t>市产发集团</w:t>
            </w:r>
          </w:p>
        </w:tc>
      </w:tr>
      <w:tr w14:paraId="799E12E9">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E105436">
            <w:pPr>
              <w:widowControl/>
              <w:spacing w:line="240" w:lineRule="exact"/>
              <w:jc w:val="center"/>
              <w:rPr>
                <w:rFonts w:ascii="宋体" w:hAnsi="宋体" w:cs="宋体"/>
                <w:kern w:val="0"/>
                <w:sz w:val="21"/>
                <w:szCs w:val="21"/>
              </w:rPr>
            </w:pPr>
            <w:r>
              <w:rPr>
                <w:rFonts w:hint="eastAsia" w:ascii="宋体" w:hAnsi="宋体" w:cs="宋体"/>
                <w:kern w:val="0"/>
                <w:sz w:val="21"/>
                <w:szCs w:val="21"/>
              </w:rPr>
              <w:t>75</w:t>
            </w:r>
          </w:p>
        </w:tc>
        <w:tc>
          <w:tcPr>
            <w:tcW w:w="2269" w:type="dxa"/>
            <w:tcBorders>
              <w:top w:val="single" w:color="auto" w:sz="4" w:space="0"/>
              <w:left w:val="single" w:color="auto" w:sz="4" w:space="0"/>
              <w:bottom w:val="single" w:color="auto" w:sz="4" w:space="0"/>
              <w:right w:val="single" w:color="auto" w:sz="4" w:space="0"/>
            </w:tcBorders>
            <w:shd w:val="clear" w:color="000000" w:fill="FFFFFF"/>
            <w:vAlign w:val="center"/>
          </w:tcPr>
          <w:p w14:paraId="04D9688F">
            <w:pPr>
              <w:widowControl/>
              <w:spacing w:line="240" w:lineRule="exact"/>
              <w:jc w:val="center"/>
              <w:rPr>
                <w:rFonts w:ascii="宋体" w:hAnsi="宋体" w:cs="宋体"/>
                <w:kern w:val="0"/>
                <w:sz w:val="21"/>
                <w:szCs w:val="21"/>
              </w:rPr>
            </w:pPr>
            <w:r>
              <w:rPr>
                <w:rFonts w:hint="eastAsia" w:ascii="宋体" w:hAnsi="宋体" w:cs="宋体"/>
                <w:kern w:val="0"/>
                <w:sz w:val="21"/>
                <w:szCs w:val="21"/>
              </w:rPr>
              <w:t>马屿镇院校共享中心项目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14:paraId="452D2072">
            <w:pPr>
              <w:widowControl/>
              <w:spacing w:line="240" w:lineRule="exact"/>
              <w:jc w:val="center"/>
              <w:rPr>
                <w:rFonts w:ascii="宋体" w:hAnsi="宋体" w:cs="宋体"/>
                <w:kern w:val="0"/>
                <w:sz w:val="21"/>
                <w:szCs w:val="21"/>
              </w:rPr>
            </w:pPr>
            <w:r>
              <w:rPr>
                <w:rFonts w:hint="eastAsia" w:ascii="宋体" w:hAnsi="宋体" w:cs="宋体"/>
                <w:kern w:val="0"/>
                <w:sz w:val="21"/>
                <w:szCs w:val="21"/>
              </w:rPr>
              <w:t>2024-2026</w:t>
            </w:r>
          </w:p>
        </w:tc>
        <w:tc>
          <w:tcPr>
            <w:tcW w:w="6520" w:type="dxa"/>
            <w:tcBorders>
              <w:top w:val="single" w:color="auto" w:sz="4" w:space="0"/>
              <w:left w:val="nil"/>
              <w:bottom w:val="single" w:color="auto" w:sz="4" w:space="0"/>
              <w:right w:val="single" w:color="auto" w:sz="4" w:space="0"/>
            </w:tcBorders>
            <w:shd w:val="clear" w:color="000000" w:fill="FFFFFF"/>
            <w:vAlign w:val="center"/>
          </w:tcPr>
          <w:p w14:paraId="66A6219B">
            <w:pPr>
              <w:widowControl/>
              <w:spacing w:line="240" w:lineRule="exact"/>
              <w:rPr>
                <w:rFonts w:ascii="宋体" w:hAnsi="宋体" w:cs="宋体"/>
                <w:kern w:val="0"/>
                <w:sz w:val="21"/>
                <w:szCs w:val="21"/>
              </w:rPr>
            </w:pPr>
            <w:r>
              <w:rPr>
                <w:rFonts w:hint="eastAsia" w:ascii="宋体" w:hAnsi="宋体" w:cs="宋体"/>
                <w:kern w:val="0"/>
                <w:sz w:val="21"/>
                <w:szCs w:val="21"/>
              </w:rPr>
              <w:t>项目分两部分实施：规划总用地面积约752亩（康养230亩，院校共享中心522亩），马屿镇院校共享中心项目位于院校组合的中间，与公共开敞空间相结合。将布设重要共享设施，如图书馆、融媒体中心（会堂、展示）、体育中心、创新中心、共享教室、商业休闲、共享生活中心等场所形成共享单元。其中康养地快一期约35亩，建筑面积约42000㎡。项目位于马屿眼镜特色小镇的中心，东首为马屿眼镜产业基地，北首为马屿集镇，西首为石垟湖风景区，拥有全国重点文保单位晚商西周时期文物棋盘山石棚墓，被誉之为“亚洲金字塔”。</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2D0462B4">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21.00 </w:t>
            </w:r>
          </w:p>
        </w:tc>
        <w:tc>
          <w:tcPr>
            <w:tcW w:w="2552" w:type="dxa"/>
            <w:tcBorders>
              <w:top w:val="single" w:color="auto" w:sz="4" w:space="0"/>
              <w:left w:val="nil"/>
              <w:bottom w:val="single" w:color="auto" w:sz="4" w:space="0"/>
              <w:right w:val="single" w:color="auto" w:sz="4" w:space="0"/>
            </w:tcBorders>
            <w:shd w:val="clear" w:color="000000" w:fill="FFFFFF"/>
            <w:noWrap/>
            <w:vAlign w:val="center"/>
          </w:tcPr>
          <w:p w14:paraId="26318056">
            <w:pPr>
              <w:widowControl/>
              <w:spacing w:line="240" w:lineRule="exact"/>
              <w:jc w:val="center"/>
              <w:rPr>
                <w:rFonts w:ascii="宋体" w:hAnsi="宋体" w:cs="宋体"/>
                <w:kern w:val="0"/>
                <w:sz w:val="21"/>
                <w:szCs w:val="21"/>
              </w:rPr>
            </w:pPr>
            <w:r>
              <w:rPr>
                <w:rFonts w:hint="eastAsia" w:ascii="宋体" w:hAnsi="宋体" w:cs="宋体"/>
                <w:kern w:val="0"/>
                <w:sz w:val="21"/>
                <w:szCs w:val="21"/>
              </w:rPr>
              <w:t>马屿镇政府</w:t>
            </w:r>
          </w:p>
        </w:tc>
      </w:tr>
      <w:tr w14:paraId="0B98A86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5D068F4D">
            <w:pPr>
              <w:widowControl/>
              <w:spacing w:line="240" w:lineRule="exact"/>
              <w:jc w:val="center"/>
              <w:rPr>
                <w:rFonts w:ascii="宋体" w:hAnsi="宋体" w:cs="宋体"/>
                <w:kern w:val="0"/>
                <w:sz w:val="21"/>
                <w:szCs w:val="21"/>
              </w:rPr>
            </w:pPr>
            <w:r>
              <w:rPr>
                <w:rFonts w:hint="eastAsia" w:ascii="宋体" w:hAnsi="宋体" w:cs="宋体"/>
                <w:kern w:val="0"/>
                <w:sz w:val="21"/>
                <w:szCs w:val="21"/>
              </w:rPr>
              <w:t>76</w:t>
            </w:r>
          </w:p>
        </w:tc>
        <w:tc>
          <w:tcPr>
            <w:tcW w:w="2269" w:type="dxa"/>
            <w:tcBorders>
              <w:top w:val="single" w:color="auto" w:sz="4" w:space="0"/>
              <w:left w:val="nil"/>
              <w:bottom w:val="single" w:color="auto" w:sz="4" w:space="0"/>
              <w:right w:val="single" w:color="auto" w:sz="4" w:space="0"/>
            </w:tcBorders>
            <w:shd w:val="clear" w:color="000000" w:fill="FFFFFF"/>
            <w:vAlign w:val="center"/>
          </w:tcPr>
          <w:p w14:paraId="4B85D861">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平阳坑全域文旅开发项目</w:t>
            </w:r>
          </w:p>
        </w:tc>
        <w:tc>
          <w:tcPr>
            <w:tcW w:w="1276" w:type="dxa"/>
            <w:tcBorders>
              <w:top w:val="single" w:color="auto" w:sz="4" w:space="0"/>
              <w:left w:val="nil"/>
              <w:bottom w:val="single" w:color="auto" w:sz="4" w:space="0"/>
              <w:right w:val="single" w:color="auto" w:sz="4" w:space="0"/>
            </w:tcBorders>
            <w:shd w:val="clear" w:color="auto" w:fill="auto"/>
            <w:vAlign w:val="center"/>
          </w:tcPr>
          <w:p w14:paraId="123E4FB7">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2024-2025</w:t>
            </w:r>
          </w:p>
        </w:tc>
        <w:tc>
          <w:tcPr>
            <w:tcW w:w="6520" w:type="dxa"/>
            <w:tcBorders>
              <w:top w:val="single" w:color="auto" w:sz="4" w:space="0"/>
              <w:left w:val="nil"/>
              <w:bottom w:val="single" w:color="auto" w:sz="4" w:space="0"/>
              <w:right w:val="single" w:color="auto" w:sz="4" w:space="0"/>
            </w:tcBorders>
            <w:shd w:val="clear" w:color="auto" w:fill="auto"/>
            <w:vAlign w:val="center"/>
          </w:tcPr>
          <w:p w14:paraId="27628D89">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平阳坑全域文旅开发项目拟在全镇范围内打造建设绿道景区，主题酒店，非遗创意园，研学基地，文旅综合体等项目，用地面积约300亩。</w:t>
            </w:r>
          </w:p>
        </w:tc>
        <w:tc>
          <w:tcPr>
            <w:tcW w:w="992" w:type="dxa"/>
            <w:tcBorders>
              <w:top w:val="single" w:color="auto" w:sz="4" w:space="0"/>
              <w:left w:val="nil"/>
              <w:bottom w:val="single" w:color="auto" w:sz="4" w:space="0"/>
              <w:right w:val="single" w:color="auto" w:sz="4" w:space="0"/>
            </w:tcBorders>
            <w:shd w:val="clear" w:color="auto" w:fill="auto"/>
            <w:vAlign w:val="center"/>
          </w:tcPr>
          <w:p w14:paraId="0B9BDD66">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5.00 </w:t>
            </w:r>
          </w:p>
        </w:tc>
        <w:tc>
          <w:tcPr>
            <w:tcW w:w="2552" w:type="dxa"/>
            <w:tcBorders>
              <w:top w:val="single" w:color="auto" w:sz="4" w:space="0"/>
              <w:left w:val="nil"/>
              <w:bottom w:val="single" w:color="auto" w:sz="4" w:space="0"/>
              <w:right w:val="single" w:color="auto" w:sz="4" w:space="0"/>
            </w:tcBorders>
            <w:shd w:val="clear" w:color="000000" w:fill="FFFFFF"/>
            <w:vAlign w:val="center"/>
          </w:tcPr>
          <w:p w14:paraId="45B0DF35">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平阳坑镇政府</w:t>
            </w:r>
          </w:p>
        </w:tc>
      </w:tr>
      <w:tr w14:paraId="6DD61EA3">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5D4753A8">
            <w:pPr>
              <w:widowControl/>
              <w:spacing w:line="240" w:lineRule="exact"/>
              <w:jc w:val="center"/>
              <w:rPr>
                <w:rFonts w:ascii="宋体" w:hAnsi="宋体" w:cs="宋体"/>
                <w:kern w:val="0"/>
                <w:sz w:val="21"/>
                <w:szCs w:val="21"/>
              </w:rPr>
            </w:pPr>
            <w:r>
              <w:rPr>
                <w:rFonts w:hint="eastAsia" w:ascii="宋体" w:hAnsi="宋体" w:cs="宋体"/>
                <w:kern w:val="0"/>
                <w:sz w:val="21"/>
                <w:szCs w:val="21"/>
              </w:rPr>
              <w:t>77</w:t>
            </w:r>
          </w:p>
        </w:tc>
        <w:tc>
          <w:tcPr>
            <w:tcW w:w="2269" w:type="dxa"/>
            <w:tcBorders>
              <w:top w:val="nil"/>
              <w:left w:val="nil"/>
              <w:bottom w:val="single" w:color="auto" w:sz="4" w:space="0"/>
              <w:right w:val="single" w:color="auto" w:sz="4" w:space="0"/>
            </w:tcBorders>
            <w:shd w:val="clear" w:color="000000" w:fill="FFFFFF"/>
            <w:vAlign w:val="center"/>
          </w:tcPr>
          <w:p w14:paraId="7FF7E165">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平阳坑商住开发项目</w:t>
            </w:r>
          </w:p>
        </w:tc>
        <w:tc>
          <w:tcPr>
            <w:tcW w:w="1276" w:type="dxa"/>
            <w:tcBorders>
              <w:top w:val="nil"/>
              <w:left w:val="nil"/>
              <w:bottom w:val="single" w:color="auto" w:sz="4" w:space="0"/>
              <w:right w:val="single" w:color="auto" w:sz="4" w:space="0"/>
            </w:tcBorders>
            <w:shd w:val="clear" w:color="auto" w:fill="auto"/>
            <w:vAlign w:val="center"/>
          </w:tcPr>
          <w:p w14:paraId="66F64C16">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2024-2025</w:t>
            </w:r>
          </w:p>
        </w:tc>
        <w:tc>
          <w:tcPr>
            <w:tcW w:w="6520" w:type="dxa"/>
            <w:tcBorders>
              <w:top w:val="nil"/>
              <w:left w:val="nil"/>
              <w:bottom w:val="single" w:color="auto" w:sz="4" w:space="0"/>
              <w:right w:val="single" w:color="auto" w:sz="4" w:space="0"/>
            </w:tcBorders>
            <w:shd w:val="clear" w:color="auto" w:fill="auto"/>
            <w:vAlign w:val="center"/>
          </w:tcPr>
          <w:p w14:paraId="4EF79E3E">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平阳坑商住开发项目拟在全镇范围内建设商住项目，包括普通住宅、商业、安置房及停车场等综合配套服务设施，用地面积约100亩。</w:t>
            </w:r>
          </w:p>
        </w:tc>
        <w:tc>
          <w:tcPr>
            <w:tcW w:w="992" w:type="dxa"/>
            <w:tcBorders>
              <w:top w:val="nil"/>
              <w:left w:val="nil"/>
              <w:bottom w:val="single" w:color="auto" w:sz="4" w:space="0"/>
              <w:right w:val="single" w:color="auto" w:sz="4" w:space="0"/>
            </w:tcBorders>
            <w:shd w:val="clear" w:color="auto" w:fill="auto"/>
            <w:vAlign w:val="center"/>
          </w:tcPr>
          <w:p w14:paraId="55E807D8">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2.60 </w:t>
            </w:r>
          </w:p>
        </w:tc>
        <w:tc>
          <w:tcPr>
            <w:tcW w:w="2552" w:type="dxa"/>
            <w:tcBorders>
              <w:top w:val="nil"/>
              <w:left w:val="nil"/>
              <w:bottom w:val="single" w:color="auto" w:sz="4" w:space="0"/>
              <w:right w:val="single" w:color="auto" w:sz="4" w:space="0"/>
            </w:tcBorders>
            <w:shd w:val="clear" w:color="000000" w:fill="FFFFFF"/>
            <w:vAlign w:val="center"/>
          </w:tcPr>
          <w:p w14:paraId="0D2354D1">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平阳坑镇政府</w:t>
            </w:r>
          </w:p>
        </w:tc>
      </w:tr>
      <w:tr w14:paraId="7DDA3FBF">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1B469A4A">
            <w:pPr>
              <w:widowControl/>
              <w:spacing w:line="240" w:lineRule="exact"/>
              <w:jc w:val="center"/>
              <w:rPr>
                <w:rFonts w:ascii="宋体" w:hAnsi="宋体" w:cs="宋体"/>
                <w:kern w:val="0"/>
                <w:sz w:val="21"/>
                <w:szCs w:val="21"/>
              </w:rPr>
            </w:pPr>
            <w:r>
              <w:rPr>
                <w:rFonts w:hint="eastAsia" w:ascii="宋体" w:hAnsi="宋体" w:cs="宋体"/>
                <w:kern w:val="0"/>
                <w:sz w:val="21"/>
                <w:szCs w:val="21"/>
              </w:rPr>
              <w:t>78</w:t>
            </w:r>
          </w:p>
        </w:tc>
        <w:tc>
          <w:tcPr>
            <w:tcW w:w="2269" w:type="dxa"/>
            <w:tcBorders>
              <w:top w:val="nil"/>
              <w:left w:val="nil"/>
              <w:bottom w:val="single" w:color="auto" w:sz="4" w:space="0"/>
              <w:right w:val="single" w:color="auto" w:sz="4" w:space="0"/>
            </w:tcBorders>
            <w:shd w:val="clear" w:color="000000" w:fill="FFFFFF"/>
            <w:vAlign w:val="center"/>
          </w:tcPr>
          <w:p w14:paraId="5C63A83A">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桐溪生态康养小镇及配套项目</w:t>
            </w:r>
          </w:p>
        </w:tc>
        <w:tc>
          <w:tcPr>
            <w:tcW w:w="1276" w:type="dxa"/>
            <w:tcBorders>
              <w:top w:val="nil"/>
              <w:left w:val="nil"/>
              <w:bottom w:val="single" w:color="auto" w:sz="4" w:space="0"/>
              <w:right w:val="single" w:color="auto" w:sz="4" w:space="0"/>
            </w:tcBorders>
            <w:shd w:val="clear" w:color="auto" w:fill="auto"/>
            <w:vAlign w:val="center"/>
          </w:tcPr>
          <w:p w14:paraId="3A2653C4">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2023-2027</w:t>
            </w:r>
          </w:p>
        </w:tc>
        <w:tc>
          <w:tcPr>
            <w:tcW w:w="6520" w:type="dxa"/>
            <w:tcBorders>
              <w:top w:val="nil"/>
              <w:left w:val="nil"/>
              <w:bottom w:val="single" w:color="auto" w:sz="4" w:space="0"/>
              <w:right w:val="single" w:color="auto" w:sz="4" w:space="0"/>
            </w:tcBorders>
            <w:shd w:val="clear" w:color="auto" w:fill="auto"/>
            <w:vAlign w:val="center"/>
          </w:tcPr>
          <w:p w14:paraId="35F210BB">
            <w:pPr>
              <w:widowControl/>
              <w:spacing w:line="240" w:lineRule="exact"/>
              <w:rPr>
                <w:rFonts w:ascii="宋体" w:hAnsi="宋体" w:cs="宋体"/>
                <w:color w:val="000000"/>
                <w:kern w:val="0"/>
                <w:sz w:val="21"/>
                <w:szCs w:val="21"/>
              </w:rPr>
            </w:pPr>
            <w:r>
              <w:rPr>
                <w:rFonts w:hint="eastAsia" w:ascii="宋体" w:hAnsi="宋体" w:cs="宋体"/>
                <w:color w:val="000000"/>
                <w:kern w:val="0"/>
                <w:sz w:val="21"/>
                <w:szCs w:val="21"/>
              </w:rPr>
              <w:t>包括：1、桐溪生态康养小镇，包括桐溪景区旅游集散中心、桐岭峡谷研学示范基地和康养基地；2、桐溪河小流域生态综合治理项目，包括护岸工程、堰坝工程及生态护坡；3、桐溪河周边农村污水整治工程；4、康养基地：收购颐和家园和康馨颐养园；5、樱花谷旅游配套设施建设，含游客集散中心及其配套设施建设；6、樱花谷博物馆。</w:t>
            </w:r>
          </w:p>
        </w:tc>
        <w:tc>
          <w:tcPr>
            <w:tcW w:w="992" w:type="dxa"/>
            <w:tcBorders>
              <w:top w:val="nil"/>
              <w:left w:val="nil"/>
              <w:bottom w:val="single" w:color="auto" w:sz="4" w:space="0"/>
              <w:right w:val="single" w:color="auto" w:sz="4" w:space="0"/>
            </w:tcBorders>
            <w:shd w:val="clear" w:color="auto" w:fill="auto"/>
            <w:vAlign w:val="center"/>
          </w:tcPr>
          <w:p w14:paraId="35D2CD8D">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5.82 </w:t>
            </w:r>
          </w:p>
        </w:tc>
        <w:tc>
          <w:tcPr>
            <w:tcW w:w="2552" w:type="dxa"/>
            <w:tcBorders>
              <w:top w:val="nil"/>
              <w:left w:val="nil"/>
              <w:bottom w:val="single" w:color="auto" w:sz="4" w:space="0"/>
              <w:right w:val="single" w:color="auto" w:sz="4" w:space="0"/>
            </w:tcBorders>
            <w:shd w:val="clear" w:color="auto" w:fill="auto"/>
            <w:noWrap/>
            <w:vAlign w:val="center"/>
          </w:tcPr>
          <w:p w14:paraId="74CE5F14">
            <w:pPr>
              <w:widowControl/>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桐浦镇政府</w:t>
            </w:r>
          </w:p>
        </w:tc>
      </w:tr>
      <w:tr w14:paraId="6AACBFAD">
        <w:tblPrEx>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000000" w:fill="FFFFFF"/>
            <w:noWrap/>
            <w:vAlign w:val="center"/>
          </w:tcPr>
          <w:p w14:paraId="609A4E74">
            <w:pPr>
              <w:widowControl/>
              <w:spacing w:line="240" w:lineRule="exact"/>
              <w:jc w:val="center"/>
              <w:rPr>
                <w:rFonts w:ascii="宋体" w:hAnsi="宋体" w:cs="宋体"/>
                <w:kern w:val="0"/>
                <w:sz w:val="21"/>
                <w:szCs w:val="21"/>
              </w:rPr>
            </w:pPr>
            <w:r>
              <w:rPr>
                <w:rFonts w:hint="eastAsia" w:ascii="宋体" w:hAnsi="宋体" w:cs="宋体"/>
                <w:kern w:val="0"/>
                <w:sz w:val="21"/>
                <w:szCs w:val="21"/>
              </w:rPr>
              <w:t>79</w:t>
            </w:r>
          </w:p>
        </w:tc>
        <w:tc>
          <w:tcPr>
            <w:tcW w:w="2269" w:type="dxa"/>
            <w:tcBorders>
              <w:top w:val="nil"/>
              <w:left w:val="nil"/>
              <w:bottom w:val="single" w:color="auto" w:sz="4" w:space="0"/>
              <w:right w:val="single" w:color="auto" w:sz="4" w:space="0"/>
            </w:tcBorders>
            <w:shd w:val="clear" w:color="000000" w:fill="FFFFFF"/>
            <w:vAlign w:val="center"/>
          </w:tcPr>
          <w:p w14:paraId="68A54018">
            <w:pPr>
              <w:widowControl/>
              <w:spacing w:line="240" w:lineRule="exact"/>
              <w:jc w:val="center"/>
              <w:rPr>
                <w:rFonts w:ascii="宋体" w:hAnsi="宋体" w:cs="宋体"/>
                <w:kern w:val="0"/>
                <w:sz w:val="21"/>
                <w:szCs w:val="21"/>
              </w:rPr>
            </w:pPr>
            <w:r>
              <w:rPr>
                <w:rFonts w:hint="eastAsia" w:ascii="宋体" w:hAnsi="宋体" w:cs="宋体"/>
                <w:kern w:val="0"/>
                <w:sz w:val="21"/>
                <w:szCs w:val="21"/>
              </w:rPr>
              <w:t>寨寮湖景区建设工程（二期）</w:t>
            </w:r>
          </w:p>
        </w:tc>
        <w:tc>
          <w:tcPr>
            <w:tcW w:w="1276" w:type="dxa"/>
            <w:tcBorders>
              <w:top w:val="nil"/>
              <w:left w:val="nil"/>
              <w:bottom w:val="single" w:color="auto" w:sz="4" w:space="0"/>
              <w:right w:val="single" w:color="auto" w:sz="4" w:space="0"/>
            </w:tcBorders>
            <w:shd w:val="clear" w:color="000000" w:fill="FFFFFF"/>
            <w:vAlign w:val="center"/>
          </w:tcPr>
          <w:p w14:paraId="59FFDF28">
            <w:pPr>
              <w:widowControl/>
              <w:spacing w:line="240" w:lineRule="exact"/>
              <w:jc w:val="center"/>
              <w:rPr>
                <w:rFonts w:ascii="宋体" w:hAnsi="宋体" w:cs="宋体"/>
                <w:kern w:val="0"/>
                <w:sz w:val="21"/>
                <w:szCs w:val="21"/>
              </w:rPr>
            </w:pPr>
            <w:r>
              <w:rPr>
                <w:rFonts w:hint="eastAsia" w:ascii="宋体" w:hAnsi="宋体" w:cs="宋体"/>
                <w:kern w:val="0"/>
                <w:sz w:val="21"/>
                <w:szCs w:val="21"/>
              </w:rPr>
              <w:t>2026-2030</w:t>
            </w:r>
          </w:p>
        </w:tc>
        <w:tc>
          <w:tcPr>
            <w:tcW w:w="6520" w:type="dxa"/>
            <w:tcBorders>
              <w:top w:val="nil"/>
              <w:left w:val="nil"/>
              <w:bottom w:val="single" w:color="auto" w:sz="4" w:space="0"/>
              <w:right w:val="single" w:color="auto" w:sz="4" w:space="0"/>
            </w:tcBorders>
            <w:shd w:val="clear" w:color="000000" w:fill="FFFFFF"/>
            <w:vAlign w:val="center"/>
          </w:tcPr>
          <w:p w14:paraId="27393C4E">
            <w:pPr>
              <w:widowControl/>
              <w:spacing w:line="240" w:lineRule="exact"/>
              <w:rPr>
                <w:rFonts w:ascii="宋体" w:hAnsi="宋体" w:cs="宋体"/>
                <w:kern w:val="0"/>
                <w:sz w:val="21"/>
                <w:szCs w:val="21"/>
              </w:rPr>
            </w:pPr>
            <w:r>
              <w:rPr>
                <w:rFonts w:hint="eastAsia" w:ascii="宋体" w:hAnsi="宋体" w:cs="宋体"/>
                <w:color w:val="000000"/>
                <w:kern w:val="0"/>
                <w:sz w:val="21"/>
                <w:szCs w:val="21"/>
              </w:rPr>
              <w:t>包含：1、高楼镇弦湾文旅商住地块项目，拟建设文旅配套包括酒店、住宅等综合配套设施；2、高楼镇沿江大道龙腾地块项目，拟建设停车场、商业住宅等综合配套设施；3、高楼镇寨寮之星风栖文旅项目，拟建建设主题酒店、水上乐园等集游乐、户外亲子和度假为一体的综合游玩项目；4、高楼镇龙腾村商住地块，打造宜居宜养为一体的康养旅游度假项目；5、高楼镇寨寮半岛田园综合体，打造集水上游乐、生态农业、综合配套等功能为一体的田园综合体。</w:t>
            </w:r>
          </w:p>
        </w:tc>
        <w:tc>
          <w:tcPr>
            <w:tcW w:w="992" w:type="dxa"/>
            <w:tcBorders>
              <w:top w:val="nil"/>
              <w:left w:val="nil"/>
              <w:bottom w:val="single" w:color="auto" w:sz="4" w:space="0"/>
              <w:right w:val="single" w:color="auto" w:sz="4" w:space="0"/>
            </w:tcBorders>
            <w:shd w:val="clear" w:color="000000" w:fill="FFFFFF"/>
            <w:vAlign w:val="center"/>
          </w:tcPr>
          <w:p w14:paraId="006BBF09">
            <w:pPr>
              <w:widowControl/>
              <w:spacing w:line="240" w:lineRule="exact"/>
              <w:jc w:val="center"/>
              <w:rPr>
                <w:rFonts w:ascii="宋体" w:hAnsi="宋体" w:cs="宋体"/>
                <w:kern w:val="0"/>
                <w:sz w:val="21"/>
                <w:szCs w:val="21"/>
              </w:rPr>
            </w:pPr>
            <w:r>
              <w:rPr>
                <w:rFonts w:hint="eastAsia" w:ascii="宋体" w:hAnsi="宋体" w:cs="宋体"/>
                <w:kern w:val="0"/>
                <w:sz w:val="21"/>
                <w:szCs w:val="21"/>
              </w:rPr>
              <w:t xml:space="preserve">5.00 </w:t>
            </w:r>
          </w:p>
        </w:tc>
        <w:tc>
          <w:tcPr>
            <w:tcW w:w="2552" w:type="dxa"/>
            <w:tcBorders>
              <w:top w:val="nil"/>
              <w:left w:val="nil"/>
              <w:bottom w:val="single" w:color="auto" w:sz="4" w:space="0"/>
              <w:right w:val="single" w:color="auto" w:sz="4" w:space="0"/>
            </w:tcBorders>
            <w:shd w:val="clear" w:color="000000" w:fill="FFFFFF"/>
            <w:vAlign w:val="center"/>
          </w:tcPr>
          <w:p w14:paraId="506ABE21">
            <w:pPr>
              <w:widowControl/>
              <w:spacing w:line="240" w:lineRule="exact"/>
              <w:jc w:val="center"/>
              <w:rPr>
                <w:rFonts w:ascii="宋体" w:hAnsi="宋体" w:cs="宋体"/>
                <w:kern w:val="0"/>
                <w:sz w:val="21"/>
                <w:szCs w:val="21"/>
              </w:rPr>
            </w:pPr>
            <w:r>
              <w:rPr>
                <w:rFonts w:hint="eastAsia" w:ascii="宋体" w:hAnsi="宋体" w:cs="宋体"/>
                <w:kern w:val="0"/>
                <w:sz w:val="21"/>
                <w:szCs w:val="21"/>
              </w:rPr>
              <w:t>高楼镇政府</w:t>
            </w:r>
          </w:p>
        </w:tc>
      </w:tr>
    </w:tbl>
    <w:p w14:paraId="1699F768">
      <w:pPr>
        <w:widowControl/>
        <w:spacing w:line="280" w:lineRule="exact"/>
        <w:jc w:val="left"/>
        <w:textAlignment w:val="center"/>
        <w:rPr>
          <w:rFonts w:ascii="宋体" w:hAnsi="宋体" w:eastAsia="宋体" w:cs="宋体"/>
          <w:color w:val="000000"/>
          <w:kern w:val="0"/>
          <w:sz w:val="18"/>
          <w:szCs w:val="18"/>
          <w:lang w:bidi="ar"/>
        </w:rPr>
      </w:pPr>
    </w:p>
    <w:sectPr>
      <w:pgSz w:w="16838" w:h="11906" w:orient="landscape"/>
      <w:pgMar w:top="1800" w:right="1440" w:bottom="1800" w:left="144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AA76C">
    <w:pPr>
      <w:pStyle w:val="11"/>
      <w:ind w:firstLine="360"/>
      <w:jc w:val="center"/>
    </w:pPr>
  </w:p>
  <w:p w14:paraId="5CA6E76E">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BBB14">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B3662">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0BCDD">
    <w:pPr>
      <w:pStyle w:val="11"/>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8"/>
                              <w:szCs w:val="28"/>
                            </w:rPr>
                            <w:id w:val="150"/>
                          </w:sdtPr>
                          <w:sdtEndPr>
                            <w:rPr>
                              <w:rFonts w:hint="eastAsia" w:asciiTheme="minorEastAsia" w:hAnsiTheme="minorEastAsia" w:eastAsiaTheme="minorEastAsia" w:cstheme="minorEastAsia"/>
                              <w:sz w:val="28"/>
                              <w:szCs w:val="28"/>
                            </w:rPr>
                          </w:sdtEndPr>
                          <w:sdtContent>
                            <w:p w14:paraId="74948617">
                              <w:pPr>
                                <w:pStyle w:val="11"/>
                                <w:ind w:firstLine="56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14:paraId="4BBFFF03">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rPr>
                        <w:rFonts w:hint="eastAsia" w:asciiTheme="minorEastAsia" w:hAnsiTheme="minorEastAsia" w:eastAsiaTheme="minorEastAsia" w:cstheme="minorEastAsia"/>
                        <w:sz w:val="28"/>
                        <w:szCs w:val="28"/>
                      </w:rPr>
                      <w:id w:val="150"/>
                    </w:sdtPr>
                    <w:sdtEndPr>
                      <w:rPr>
                        <w:rFonts w:hint="eastAsia" w:asciiTheme="minorEastAsia" w:hAnsiTheme="minorEastAsia" w:eastAsiaTheme="minorEastAsia" w:cstheme="minorEastAsia"/>
                        <w:sz w:val="28"/>
                        <w:szCs w:val="28"/>
                      </w:rPr>
                    </w:sdtEndPr>
                    <w:sdtContent>
                      <w:p w14:paraId="74948617">
                        <w:pPr>
                          <w:pStyle w:val="11"/>
                          <w:ind w:firstLine="56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14:paraId="4BBFFF03">
                    <w:pPr>
                      <w:pStyle w:val="8"/>
                    </w:pPr>
                  </w:p>
                </w:txbxContent>
              </v:textbox>
            </v:shape>
          </w:pict>
        </mc:Fallback>
      </mc:AlternateContent>
    </w:r>
  </w:p>
  <w:p w14:paraId="1C3DD19D">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008F1">
    <w:pPr>
      <w:pStyle w:val="11"/>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8"/>
                              <w:szCs w:val="28"/>
                            </w:rPr>
                            <w:id w:val="151"/>
                          </w:sdtPr>
                          <w:sdtEndPr>
                            <w:rPr>
                              <w:rFonts w:hint="eastAsia" w:asciiTheme="minorEastAsia" w:hAnsiTheme="minorEastAsia" w:eastAsiaTheme="minorEastAsia" w:cstheme="minorEastAsia"/>
                              <w:sz w:val="28"/>
                              <w:szCs w:val="28"/>
                            </w:rPr>
                          </w:sdtEndPr>
                          <w:sdtContent>
                            <w:p w14:paraId="746A8B05">
                              <w:pPr>
                                <w:pStyle w:val="11"/>
                                <w:ind w:firstLine="56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14:paraId="042F45DB">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hint="eastAsia" w:asciiTheme="minorEastAsia" w:hAnsiTheme="minorEastAsia" w:eastAsiaTheme="minorEastAsia" w:cstheme="minorEastAsia"/>
                        <w:sz w:val="28"/>
                        <w:szCs w:val="28"/>
                      </w:rPr>
                      <w:id w:val="151"/>
                    </w:sdtPr>
                    <w:sdtEndPr>
                      <w:rPr>
                        <w:rFonts w:hint="eastAsia" w:asciiTheme="minorEastAsia" w:hAnsiTheme="minorEastAsia" w:eastAsiaTheme="minorEastAsia" w:cstheme="minorEastAsia"/>
                        <w:sz w:val="28"/>
                        <w:szCs w:val="28"/>
                      </w:rPr>
                    </w:sdtEndPr>
                    <w:sdtContent>
                      <w:p w14:paraId="746A8B05">
                        <w:pPr>
                          <w:pStyle w:val="11"/>
                          <w:ind w:firstLine="56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14:paraId="042F45DB">
                    <w:pPr>
                      <w:pStyle w:val="8"/>
                    </w:pPr>
                  </w:p>
                </w:txbxContent>
              </v:textbox>
            </v:shape>
          </w:pict>
        </mc:Fallback>
      </mc:AlternateContent>
    </w:r>
  </w:p>
  <w:p w14:paraId="54625264">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14:paraId="4E1F398C">
      <w:pPr>
        <w:pStyle w:val="14"/>
        <w:spacing w:line="240" w:lineRule="exact"/>
        <w:rPr>
          <w:sz w:val="21"/>
          <w:szCs w:val="21"/>
        </w:rPr>
      </w:pPr>
      <w:r>
        <w:rPr>
          <w:rStyle w:val="29"/>
          <w:sz w:val="21"/>
          <w:szCs w:val="21"/>
        </w:rPr>
        <w:footnoteRef/>
      </w:r>
      <w:r>
        <w:rPr>
          <w:rFonts w:hint="eastAsia"/>
          <w:sz w:val="21"/>
          <w:szCs w:val="21"/>
        </w:rPr>
        <w:t>“五个零”机制：倾听企业呼声“零距离”机制、提升办事效率“零延误”机制、提速项目建设“零障碍”机制、护航生产经营“零干扰”机制、审慎包容监管“零缺位”机制。</w:t>
      </w:r>
    </w:p>
  </w:footnote>
  <w:footnote w:id="1">
    <w:p w14:paraId="39ABCBC6">
      <w:pPr>
        <w:pStyle w:val="14"/>
        <w:spacing w:line="240" w:lineRule="exact"/>
        <w:rPr>
          <w:sz w:val="21"/>
          <w:szCs w:val="21"/>
        </w:rPr>
      </w:pPr>
      <w:r>
        <w:rPr>
          <w:rStyle w:val="29"/>
          <w:sz w:val="21"/>
          <w:szCs w:val="21"/>
        </w:rPr>
        <w:footnoteRef/>
      </w:r>
      <w:r>
        <w:rPr>
          <w:rFonts w:hint="eastAsia"/>
          <w:sz w:val="21"/>
          <w:szCs w:val="21"/>
        </w:rPr>
        <w:t>“五最优”环境：最优政务环境、最优法治环境、最优市场环境、最优经济生态环境、最优人文环境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66784">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7F33E">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68559">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2C4FE">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zODNmMGEzNjc1ZDJlMmIwNGRhYzIzMmU5ZDlkMWYifQ=="/>
  </w:docVars>
  <w:rsids>
    <w:rsidRoot w:val="4F496293"/>
    <w:rsid w:val="00003049"/>
    <w:rsid w:val="000273CC"/>
    <w:rsid w:val="00037DEA"/>
    <w:rsid w:val="00047158"/>
    <w:rsid w:val="0007673D"/>
    <w:rsid w:val="000B13C2"/>
    <w:rsid w:val="000B534C"/>
    <w:rsid w:val="000B60F2"/>
    <w:rsid w:val="000E06E8"/>
    <w:rsid w:val="00110EA2"/>
    <w:rsid w:val="00163B76"/>
    <w:rsid w:val="001830EA"/>
    <w:rsid w:val="001921CF"/>
    <w:rsid w:val="001A5ADB"/>
    <w:rsid w:val="0026318F"/>
    <w:rsid w:val="00265F5C"/>
    <w:rsid w:val="00272117"/>
    <w:rsid w:val="002D22FB"/>
    <w:rsid w:val="0031434E"/>
    <w:rsid w:val="003578D2"/>
    <w:rsid w:val="00375761"/>
    <w:rsid w:val="003901B8"/>
    <w:rsid w:val="003C5936"/>
    <w:rsid w:val="003D0404"/>
    <w:rsid w:val="00400A23"/>
    <w:rsid w:val="0044641B"/>
    <w:rsid w:val="00463E25"/>
    <w:rsid w:val="00467752"/>
    <w:rsid w:val="004A355C"/>
    <w:rsid w:val="004D1338"/>
    <w:rsid w:val="004F1FBF"/>
    <w:rsid w:val="005000E5"/>
    <w:rsid w:val="00512B04"/>
    <w:rsid w:val="00525648"/>
    <w:rsid w:val="00554E4B"/>
    <w:rsid w:val="005665DF"/>
    <w:rsid w:val="00583F52"/>
    <w:rsid w:val="005C66A2"/>
    <w:rsid w:val="005E3CC7"/>
    <w:rsid w:val="005F0E10"/>
    <w:rsid w:val="006762C0"/>
    <w:rsid w:val="00677E68"/>
    <w:rsid w:val="006B39BA"/>
    <w:rsid w:val="006C3317"/>
    <w:rsid w:val="006C6654"/>
    <w:rsid w:val="006C781D"/>
    <w:rsid w:val="006D0CE9"/>
    <w:rsid w:val="006E38C3"/>
    <w:rsid w:val="006F129B"/>
    <w:rsid w:val="00706395"/>
    <w:rsid w:val="00707B63"/>
    <w:rsid w:val="00712725"/>
    <w:rsid w:val="00736DF5"/>
    <w:rsid w:val="00763629"/>
    <w:rsid w:val="00767F7C"/>
    <w:rsid w:val="00776E02"/>
    <w:rsid w:val="007803FA"/>
    <w:rsid w:val="00792D30"/>
    <w:rsid w:val="007B1E55"/>
    <w:rsid w:val="007C0DB7"/>
    <w:rsid w:val="007C5304"/>
    <w:rsid w:val="007E1017"/>
    <w:rsid w:val="007E2EF7"/>
    <w:rsid w:val="007E3C1C"/>
    <w:rsid w:val="00827609"/>
    <w:rsid w:val="00844511"/>
    <w:rsid w:val="00852CA2"/>
    <w:rsid w:val="00876140"/>
    <w:rsid w:val="008D2AA9"/>
    <w:rsid w:val="008D5F04"/>
    <w:rsid w:val="008E5100"/>
    <w:rsid w:val="008F3C3E"/>
    <w:rsid w:val="00974577"/>
    <w:rsid w:val="0099163B"/>
    <w:rsid w:val="009962C1"/>
    <w:rsid w:val="009E4062"/>
    <w:rsid w:val="00A01462"/>
    <w:rsid w:val="00A12AEB"/>
    <w:rsid w:val="00A148E3"/>
    <w:rsid w:val="00A4224E"/>
    <w:rsid w:val="00A50B57"/>
    <w:rsid w:val="00A51B7A"/>
    <w:rsid w:val="00A6244D"/>
    <w:rsid w:val="00A811D9"/>
    <w:rsid w:val="00AC08FF"/>
    <w:rsid w:val="00AD17F0"/>
    <w:rsid w:val="00AD1A16"/>
    <w:rsid w:val="00AF1302"/>
    <w:rsid w:val="00B05A47"/>
    <w:rsid w:val="00B23664"/>
    <w:rsid w:val="00B3446D"/>
    <w:rsid w:val="00BA7F5C"/>
    <w:rsid w:val="00BE2EF2"/>
    <w:rsid w:val="00C001DD"/>
    <w:rsid w:val="00C26916"/>
    <w:rsid w:val="00C315F4"/>
    <w:rsid w:val="00C4209B"/>
    <w:rsid w:val="00CB62BC"/>
    <w:rsid w:val="00CD5003"/>
    <w:rsid w:val="00D137B5"/>
    <w:rsid w:val="00D4007B"/>
    <w:rsid w:val="00D41DAA"/>
    <w:rsid w:val="00D60304"/>
    <w:rsid w:val="00D625B1"/>
    <w:rsid w:val="00DB35A3"/>
    <w:rsid w:val="00DE5A49"/>
    <w:rsid w:val="00DF4F51"/>
    <w:rsid w:val="00E0450F"/>
    <w:rsid w:val="00E061B3"/>
    <w:rsid w:val="00E17629"/>
    <w:rsid w:val="00E232F2"/>
    <w:rsid w:val="00E41BA7"/>
    <w:rsid w:val="00E52F76"/>
    <w:rsid w:val="00E72292"/>
    <w:rsid w:val="00EC6488"/>
    <w:rsid w:val="00ED682B"/>
    <w:rsid w:val="00EF3155"/>
    <w:rsid w:val="00F16286"/>
    <w:rsid w:val="00F52B33"/>
    <w:rsid w:val="00FB676B"/>
    <w:rsid w:val="010A29DC"/>
    <w:rsid w:val="012670EA"/>
    <w:rsid w:val="0156352C"/>
    <w:rsid w:val="015F7975"/>
    <w:rsid w:val="01BB5A85"/>
    <w:rsid w:val="01D03FA9"/>
    <w:rsid w:val="02021905"/>
    <w:rsid w:val="0224187C"/>
    <w:rsid w:val="022A49B8"/>
    <w:rsid w:val="023207F8"/>
    <w:rsid w:val="02555ED9"/>
    <w:rsid w:val="02572112"/>
    <w:rsid w:val="02655653"/>
    <w:rsid w:val="02661EE7"/>
    <w:rsid w:val="02824DFC"/>
    <w:rsid w:val="028E13EB"/>
    <w:rsid w:val="02A35910"/>
    <w:rsid w:val="02AF717B"/>
    <w:rsid w:val="02B82105"/>
    <w:rsid w:val="02B86A83"/>
    <w:rsid w:val="02C170CB"/>
    <w:rsid w:val="02EB292B"/>
    <w:rsid w:val="03077138"/>
    <w:rsid w:val="030862B4"/>
    <w:rsid w:val="03101E00"/>
    <w:rsid w:val="031418F0"/>
    <w:rsid w:val="033B6382"/>
    <w:rsid w:val="03560202"/>
    <w:rsid w:val="035903B5"/>
    <w:rsid w:val="03873CCA"/>
    <w:rsid w:val="038B03C5"/>
    <w:rsid w:val="038D3451"/>
    <w:rsid w:val="03906A9D"/>
    <w:rsid w:val="03920A67"/>
    <w:rsid w:val="0398426E"/>
    <w:rsid w:val="039B4242"/>
    <w:rsid w:val="03B22EB7"/>
    <w:rsid w:val="03B46017"/>
    <w:rsid w:val="03BA508A"/>
    <w:rsid w:val="03C926DB"/>
    <w:rsid w:val="03D477DE"/>
    <w:rsid w:val="03E7444B"/>
    <w:rsid w:val="04275653"/>
    <w:rsid w:val="043B4C5B"/>
    <w:rsid w:val="043D6D35"/>
    <w:rsid w:val="043E569E"/>
    <w:rsid w:val="045F1030"/>
    <w:rsid w:val="0478689E"/>
    <w:rsid w:val="047F0912"/>
    <w:rsid w:val="04B969D1"/>
    <w:rsid w:val="04BD1410"/>
    <w:rsid w:val="04C9670A"/>
    <w:rsid w:val="04CD5176"/>
    <w:rsid w:val="04D07A99"/>
    <w:rsid w:val="04F67304"/>
    <w:rsid w:val="04FC43EA"/>
    <w:rsid w:val="050E236F"/>
    <w:rsid w:val="05146FD1"/>
    <w:rsid w:val="05393890"/>
    <w:rsid w:val="053F22E2"/>
    <w:rsid w:val="05573D16"/>
    <w:rsid w:val="055C36E7"/>
    <w:rsid w:val="056A3686"/>
    <w:rsid w:val="05900FD6"/>
    <w:rsid w:val="05B44CC5"/>
    <w:rsid w:val="05C10C2D"/>
    <w:rsid w:val="05E86776"/>
    <w:rsid w:val="061F2A86"/>
    <w:rsid w:val="0622219B"/>
    <w:rsid w:val="06432036"/>
    <w:rsid w:val="065E6695"/>
    <w:rsid w:val="066F41C6"/>
    <w:rsid w:val="06712BB6"/>
    <w:rsid w:val="06920E34"/>
    <w:rsid w:val="06A30B9A"/>
    <w:rsid w:val="06A82D00"/>
    <w:rsid w:val="06BA6F68"/>
    <w:rsid w:val="06CB22FB"/>
    <w:rsid w:val="06FC2F68"/>
    <w:rsid w:val="06FC74AE"/>
    <w:rsid w:val="07026A9C"/>
    <w:rsid w:val="07272F0C"/>
    <w:rsid w:val="077D7F4A"/>
    <w:rsid w:val="07966D78"/>
    <w:rsid w:val="07970828"/>
    <w:rsid w:val="07D377FB"/>
    <w:rsid w:val="07D72EEC"/>
    <w:rsid w:val="07DC1CAA"/>
    <w:rsid w:val="07E01BEF"/>
    <w:rsid w:val="07ED2710"/>
    <w:rsid w:val="07F90D99"/>
    <w:rsid w:val="07FA4D13"/>
    <w:rsid w:val="081859DF"/>
    <w:rsid w:val="082025BC"/>
    <w:rsid w:val="08251EAA"/>
    <w:rsid w:val="084A1910"/>
    <w:rsid w:val="08A43C6F"/>
    <w:rsid w:val="08C571E9"/>
    <w:rsid w:val="08CD3009"/>
    <w:rsid w:val="08D163F6"/>
    <w:rsid w:val="08D433FC"/>
    <w:rsid w:val="08D54135"/>
    <w:rsid w:val="08D93C76"/>
    <w:rsid w:val="08EE403A"/>
    <w:rsid w:val="09047D11"/>
    <w:rsid w:val="093B7C41"/>
    <w:rsid w:val="097A6225"/>
    <w:rsid w:val="098D41AA"/>
    <w:rsid w:val="09994E96"/>
    <w:rsid w:val="09A45050"/>
    <w:rsid w:val="09AD03A9"/>
    <w:rsid w:val="09C6602A"/>
    <w:rsid w:val="09C8422E"/>
    <w:rsid w:val="09C84B70"/>
    <w:rsid w:val="09CA10DA"/>
    <w:rsid w:val="09D92F4C"/>
    <w:rsid w:val="09DE7C9B"/>
    <w:rsid w:val="09DF4989"/>
    <w:rsid w:val="09E47B84"/>
    <w:rsid w:val="09FA15C4"/>
    <w:rsid w:val="0A0F765B"/>
    <w:rsid w:val="0A1C72DC"/>
    <w:rsid w:val="0A2C5771"/>
    <w:rsid w:val="0A5922DF"/>
    <w:rsid w:val="0A6429F3"/>
    <w:rsid w:val="0AA438A7"/>
    <w:rsid w:val="0AA96DC2"/>
    <w:rsid w:val="0AAA4A0E"/>
    <w:rsid w:val="0AB47E9D"/>
    <w:rsid w:val="0ADF4C24"/>
    <w:rsid w:val="0AF66CDF"/>
    <w:rsid w:val="0B2529AE"/>
    <w:rsid w:val="0B584344"/>
    <w:rsid w:val="0B6E1DBA"/>
    <w:rsid w:val="0B953E9F"/>
    <w:rsid w:val="0BC33EB3"/>
    <w:rsid w:val="0BD17E48"/>
    <w:rsid w:val="0BF95F1B"/>
    <w:rsid w:val="0C344DB1"/>
    <w:rsid w:val="0C5556CA"/>
    <w:rsid w:val="0C7B478E"/>
    <w:rsid w:val="0C863F12"/>
    <w:rsid w:val="0C8C24F7"/>
    <w:rsid w:val="0C8E44C1"/>
    <w:rsid w:val="0C9C45A4"/>
    <w:rsid w:val="0CA041F5"/>
    <w:rsid w:val="0CA75583"/>
    <w:rsid w:val="0CB73E4B"/>
    <w:rsid w:val="0CBD4786"/>
    <w:rsid w:val="0CF34F9A"/>
    <w:rsid w:val="0D1644B7"/>
    <w:rsid w:val="0D3F57BC"/>
    <w:rsid w:val="0D417786"/>
    <w:rsid w:val="0D49663A"/>
    <w:rsid w:val="0D5C6CAA"/>
    <w:rsid w:val="0D783CF0"/>
    <w:rsid w:val="0D7F7850"/>
    <w:rsid w:val="0D8238FA"/>
    <w:rsid w:val="0D9A5FD7"/>
    <w:rsid w:val="0DC2593A"/>
    <w:rsid w:val="0DE3292D"/>
    <w:rsid w:val="0DED5218"/>
    <w:rsid w:val="0DF20A80"/>
    <w:rsid w:val="0E2F4D4D"/>
    <w:rsid w:val="0E456E02"/>
    <w:rsid w:val="0E6F68A3"/>
    <w:rsid w:val="0E72015A"/>
    <w:rsid w:val="0E866CD7"/>
    <w:rsid w:val="0EA31D7A"/>
    <w:rsid w:val="0EB9159E"/>
    <w:rsid w:val="0EC538B1"/>
    <w:rsid w:val="0EEB7B1C"/>
    <w:rsid w:val="0EEC26ED"/>
    <w:rsid w:val="0EF642DF"/>
    <w:rsid w:val="0F20786F"/>
    <w:rsid w:val="0F47710D"/>
    <w:rsid w:val="0F987405"/>
    <w:rsid w:val="0FA37CB2"/>
    <w:rsid w:val="0FA91612"/>
    <w:rsid w:val="0FF32DB9"/>
    <w:rsid w:val="10081CEE"/>
    <w:rsid w:val="101E5855"/>
    <w:rsid w:val="102351BA"/>
    <w:rsid w:val="102B13EE"/>
    <w:rsid w:val="102C0B4D"/>
    <w:rsid w:val="102D5D9F"/>
    <w:rsid w:val="103C77DB"/>
    <w:rsid w:val="103D0B8E"/>
    <w:rsid w:val="10583D25"/>
    <w:rsid w:val="106E264D"/>
    <w:rsid w:val="107409F0"/>
    <w:rsid w:val="107B4D5D"/>
    <w:rsid w:val="10857989"/>
    <w:rsid w:val="10923E54"/>
    <w:rsid w:val="10C50D41"/>
    <w:rsid w:val="10C6786D"/>
    <w:rsid w:val="10CD1330"/>
    <w:rsid w:val="10E117EA"/>
    <w:rsid w:val="10E70644"/>
    <w:rsid w:val="1109210E"/>
    <w:rsid w:val="110D797F"/>
    <w:rsid w:val="112D6151"/>
    <w:rsid w:val="113969C6"/>
    <w:rsid w:val="117B6FDE"/>
    <w:rsid w:val="118B4876"/>
    <w:rsid w:val="11904838"/>
    <w:rsid w:val="119F0F1F"/>
    <w:rsid w:val="119F5540"/>
    <w:rsid w:val="11A91901"/>
    <w:rsid w:val="11B03029"/>
    <w:rsid w:val="11B258F2"/>
    <w:rsid w:val="11E05DD9"/>
    <w:rsid w:val="11ED5EAE"/>
    <w:rsid w:val="11F50B3F"/>
    <w:rsid w:val="12103BCB"/>
    <w:rsid w:val="1218482D"/>
    <w:rsid w:val="121C3A86"/>
    <w:rsid w:val="12336D16"/>
    <w:rsid w:val="124B69B1"/>
    <w:rsid w:val="127E0CA5"/>
    <w:rsid w:val="12A35335"/>
    <w:rsid w:val="12A52565"/>
    <w:rsid w:val="12C00378"/>
    <w:rsid w:val="12C81DAF"/>
    <w:rsid w:val="12DD0B6F"/>
    <w:rsid w:val="12E36BE9"/>
    <w:rsid w:val="12FB03D7"/>
    <w:rsid w:val="13022C26"/>
    <w:rsid w:val="13107532"/>
    <w:rsid w:val="13315BA7"/>
    <w:rsid w:val="13546039"/>
    <w:rsid w:val="13622204"/>
    <w:rsid w:val="13925EE6"/>
    <w:rsid w:val="13BB3795"/>
    <w:rsid w:val="13BD38DE"/>
    <w:rsid w:val="13D44784"/>
    <w:rsid w:val="141817CE"/>
    <w:rsid w:val="14364B2C"/>
    <w:rsid w:val="143C0BC9"/>
    <w:rsid w:val="14511DCA"/>
    <w:rsid w:val="145E29D3"/>
    <w:rsid w:val="14807F54"/>
    <w:rsid w:val="14834EF9"/>
    <w:rsid w:val="149E54BE"/>
    <w:rsid w:val="14AA3E63"/>
    <w:rsid w:val="14B46F26"/>
    <w:rsid w:val="14B52807"/>
    <w:rsid w:val="14BA7E1E"/>
    <w:rsid w:val="14BF71E2"/>
    <w:rsid w:val="14C92DA2"/>
    <w:rsid w:val="14CA05EA"/>
    <w:rsid w:val="14CA247E"/>
    <w:rsid w:val="14D25167"/>
    <w:rsid w:val="14DB4580"/>
    <w:rsid w:val="14E104C1"/>
    <w:rsid w:val="14F26DCA"/>
    <w:rsid w:val="14F51ED8"/>
    <w:rsid w:val="15033E46"/>
    <w:rsid w:val="154716B1"/>
    <w:rsid w:val="157E7260"/>
    <w:rsid w:val="15AF7257"/>
    <w:rsid w:val="15C076B6"/>
    <w:rsid w:val="15C471A6"/>
    <w:rsid w:val="15CB6525"/>
    <w:rsid w:val="15CE3B81"/>
    <w:rsid w:val="15E8291D"/>
    <w:rsid w:val="15E84AC2"/>
    <w:rsid w:val="16075380"/>
    <w:rsid w:val="160E4BF3"/>
    <w:rsid w:val="16101D7E"/>
    <w:rsid w:val="162045D8"/>
    <w:rsid w:val="1629395A"/>
    <w:rsid w:val="1658169C"/>
    <w:rsid w:val="166718DF"/>
    <w:rsid w:val="167A73B7"/>
    <w:rsid w:val="167F30CD"/>
    <w:rsid w:val="16840E59"/>
    <w:rsid w:val="16873D30"/>
    <w:rsid w:val="169A0EB1"/>
    <w:rsid w:val="16C805D0"/>
    <w:rsid w:val="1700130D"/>
    <w:rsid w:val="17033CFE"/>
    <w:rsid w:val="17255A22"/>
    <w:rsid w:val="172F387D"/>
    <w:rsid w:val="17604AD5"/>
    <w:rsid w:val="176127D3"/>
    <w:rsid w:val="176F6C9D"/>
    <w:rsid w:val="177D585E"/>
    <w:rsid w:val="179610B0"/>
    <w:rsid w:val="17AF1A78"/>
    <w:rsid w:val="17C0399D"/>
    <w:rsid w:val="17E31439"/>
    <w:rsid w:val="18015996"/>
    <w:rsid w:val="18377797"/>
    <w:rsid w:val="1857694E"/>
    <w:rsid w:val="187D363C"/>
    <w:rsid w:val="189B6D51"/>
    <w:rsid w:val="18AD54A5"/>
    <w:rsid w:val="18BC4164"/>
    <w:rsid w:val="18E4445F"/>
    <w:rsid w:val="18ED4FF1"/>
    <w:rsid w:val="19033B41"/>
    <w:rsid w:val="191775ED"/>
    <w:rsid w:val="191C4C03"/>
    <w:rsid w:val="191F1BF4"/>
    <w:rsid w:val="1928405C"/>
    <w:rsid w:val="1945415A"/>
    <w:rsid w:val="19510D51"/>
    <w:rsid w:val="196F285A"/>
    <w:rsid w:val="1978635F"/>
    <w:rsid w:val="19972736"/>
    <w:rsid w:val="199C586D"/>
    <w:rsid w:val="19B61719"/>
    <w:rsid w:val="19B943FD"/>
    <w:rsid w:val="19C213AC"/>
    <w:rsid w:val="19C31523"/>
    <w:rsid w:val="19D21766"/>
    <w:rsid w:val="19E52ADB"/>
    <w:rsid w:val="19F16BFB"/>
    <w:rsid w:val="1A2955F0"/>
    <w:rsid w:val="1A472154"/>
    <w:rsid w:val="1A491A28"/>
    <w:rsid w:val="1A49601E"/>
    <w:rsid w:val="1A4A453E"/>
    <w:rsid w:val="1A640A2C"/>
    <w:rsid w:val="1A711864"/>
    <w:rsid w:val="1A725DE2"/>
    <w:rsid w:val="1A7F587C"/>
    <w:rsid w:val="1A872550"/>
    <w:rsid w:val="1AA17AB6"/>
    <w:rsid w:val="1AD07837"/>
    <w:rsid w:val="1AE34596"/>
    <w:rsid w:val="1AE94B58"/>
    <w:rsid w:val="1AF331D6"/>
    <w:rsid w:val="1B104B14"/>
    <w:rsid w:val="1B3E70B3"/>
    <w:rsid w:val="1B576026"/>
    <w:rsid w:val="1B717730"/>
    <w:rsid w:val="1B950C9D"/>
    <w:rsid w:val="1B9E2247"/>
    <w:rsid w:val="1BB11AF5"/>
    <w:rsid w:val="1BC872C4"/>
    <w:rsid w:val="1BC87C70"/>
    <w:rsid w:val="1C07499A"/>
    <w:rsid w:val="1C1E3C86"/>
    <w:rsid w:val="1C220723"/>
    <w:rsid w:val="1C302C76"/>
    <w:rsid w:val="1C7134B8"/>
    <w:rsid w:val="1C7D6C93"/>
    <w:rsid w:val="1C930EB9"/>
    <w:rsid w:val="1C961170"/>
    <w:rsid w:val="1CB6536F"/>
    <w:rsid w:val="1CC47F67"/>
    <w:rsid w:val="1D13631D"/>
    <w:rsid w:val="1D206CD3"/>
    <w:rsid w:val="1D2D4A96"/>
    <w:rsid w:val="1D346863"/>
    <w:rsid w:val="1D422582"/>
    <w:rsid w:val="1D745740"/>
    <w:rsid w:val="1D84721B"/>
    <w:rsid w:val="1D956C8F"/>
    <w:rsid w:val="1DA3651E"/>
    <w:rsid w:val="1DB9452C"/>
    <w:rsid w:val="1DD41F50"/>
    <w:rsid w:val="1DDB01CB"/>
    <w:rsid w:val="1DF33169"/>
    <w:rsid w:val="1DFD25E4"/>
    <w:rsid w:val="1E357891"/>
    <w:rsid w:val="1E427878"/>
    <w:rsid w:val="1E485F31"/>
    <w:rsid w:val="1E5D33B2"/>
    <w:rsid w:val="1E63162C"/>
    <w:rsid w:val="1E6A2707"/>
    <w:rsid w:val="1E7B6842"/>
    <w:rsid w:val="1E9621D4"/>
    <w:rsid w:val="1EB853CE"/>
    <w:rsid w:val="1EF13407"/>
    <w:rsid w:val="1F0146F7"/>
    <w:rsid w:val="1F253C6E"/>
    <w:rsid w:val="1F422EEA"/>
    <w:rsid w:val="1F453C2F"/>
    <w:rsid w:val="1F4A5D44"/>
    <w:rsid w:val="1F617814"/>
    <w:rsid w:val="1F772570"/>
    <w:rsid w:val="1F7F60C4"/>
    <w:rsid w:val="1FA450A3"/>
    <w:rsid w:val="1FA47700"/>
    <w:rsid w:val="1FA616CA"/>
    <w:rsid w:val="1FAD4CDC"/>
    <w:rsid w:val="1FED1BF6"/>
    <w:rsid w:val="1FF233D2"/>
    <w:rsid w:val="1FF42436"/>
    <w:rsid w:val="200E3310"/>
    <w:rsid w:val="20370574"/>
    <w:rsid w:val="203B0065"/>
    <w:rsid w:val="20401B1F"/>
    <w:rsid w:val="20462800"/>
    <w:rsid w:val="20484530"/>
    <w:rsid w:val="204C4020"/>
    <w:rsid w:val="206C021E"/>
    <w:rsid w:val="20717F2A"/>
    <w:rsid w:val="20C462AC"/>
    <w:rsid w:val="20E55C2B"/>
    <w:rsid w:val="20F12E19"/>
    <w:rsid w:val="20F65F2E"/>
    <w:rsid w:val="20F73BBB"/>
    <w:rsid w:val="21043AB9"/>
    <w:rsid w:val="212154AC"/>
    <w:rsid w:val="21447A99"/>
    <w:rsid w:val="214C52CA"/>
    <w:rsid w:val="215D400B"/>
    <w:rsid w:val="21982F15"/>
    <w:rsid w:val="21E27646"/>
    <w:rsid w:val="21ED7C3B"/>
    <w:rsid w:val="220B1557"/>
    <w:rsid w:val="220B1CB9"/>
    <w:rsid w:val="220C1761"/>
    <w:rsid w:val="221A3813"/>
    <w:rsid w:val="22273E20"/>
    <w:rsid w:val="2233131B"/>
    <w:rsid w:val="22943A5C"/>
    <w:rsid w:val="22B20386"/>
    <w:rsid w:val="22B36E02"/>
    <w:rsid w:val="22C8411F"/>
    <w:rsid w:val="22E5075C"/>
    <w:rsid w:val="23027955"/>
    <w:rsid w:val="231F1910"/>
    <w:rsid w:val="23272B22"/>
    <w:rsid w:val="23483118"/>
    <w:rsid w:val="2369313B"/>
    <w:rsid w:val="238A225F"/>
    <w:rsid w:val="238B30B1"/>
    <w:rsid w:val="23A06790"/>
    <w:rsid w:val="23AE4FF1"/>
    <w:rsid w:val="23DA5DE6"/>
    <w:rsid w:val="23F735CF"/>
    <w:rsid w:val="24293B8D"/>
    <w:rsid w:val="24373239"/>
    <w:rsid w:val="244A678E"/>
    <w:rsid w:val="24B473B2"/>
    <w:rsid w:val="24EF58C2"/>
    <w:rsid w:val="24F35209"/>
    <w:rsid w:val="24FB4266"/>
    <w:rsid w:val="24FE1558"/>
    <w:rsid w:val="253418D0"/>
    <w:rsid w:val="25777D91"/>
    <w:rsid w:val="25835540"/>
    <w:rsid w:val="258560D1"/>
    <w:rsid w:val="25936FEA"/>
    <w:rsid w:val="259A582D"/>
    <w:rsid w:val="259D531E"/>
    <w:rsid w:val="25BD00FE"/>
    <w:rsid w:val="25E15CB8"/>
    <w:rsid w:val="260D24A3"/>
    <w:rsid w:val="260F4D90"/>
    <w:rsid w:val="261521C7"/>
    <w:rsid w:val="263712CE"/>
    <w:rsid w:val="26810F32"/>
    <w:rsid w:val="26A1499A"/>
    <w:rsid w:val="26D10020"/>
    <w:rsid w:val="270B6459"/>
    <w:rsid w:val="271635D9"/>
    <w:rsid w:val="272918A9"/>
    <w:rsid w:val="27445443"/>
    <w:rsid w:val="27561209"/>
    <w:rsid w:val="276F6846"/>
    <w:rsid w:val="2772050E"/>
    <w:rsid w:val="2786213D"/>
    <w:rsid w:val="27A446BF"/>
    <w:rsid w:val="27A85F06"/>
    <w:rsid w:val="27C748D4"/>
    <w:rsid w:val="280E2503"/>
    <w:rsid w:val="280E640F"/>
    <w:rsid w:val="28123DA1"/>
    <w:rsid w:val="281F026C"/>
    <w:rsid w:val="282E04AF"/>
    <w:rsid w:val="28322E57"/>
    <w:rsid w:val="284A0FF5"/>
    <w:rsid w:val="284F6690"/>
    <w:rsid w:val="286E4F80"/>
    <w:rsid w:val="28B11E94"/>
    <w:rsid w:val="28DC43AF"/>
    <w:rsid w:val="29220014"/>
    <w:rsid w:val="293E0BC6"/>
    <w:rsid w:val="29522056"/>
    <w:rsid w:val="29851F68"/>
    <w:rsid w:val="298D4039"/>
    <w:rsid w:val="29954C89"/>
    <w:rsid w:val="299627B0"/>
    <w:rsid w:val="29A104CA"/>
    <w:rsid w:val="29A550B4"/>
    <w:rsid w:val="29BB1F62"/>
    <w:rsid w:val="29BB5D72"/>
    <w:rsid w:val="29CF59C4"/>
    <w:rsid w:val="29D54FEB"/>
    <w:rsid w:val="29E85C9E"/>
    <w:rsid w:val="2A111E36"/>
    <w:rsid w:val="2A475858"/>
    <w:rsid w:val="2A54259B"/>
    <w:rsid w:val="2A9F114D"/>
    <w:rsid w:val="2AD52E64"/>
    <w:rsid w:val="2AF50EB8"/>
    <w:rsid w:val="2B004385"/>
    <w:rsid w:val="2B0100FD"/>
    <w:rsid w:val="2B066EBA"/>
    <w:rsid w:val="2B204A27"/>
    <w:rsid w:val="2B2A443D"/>
    <w:rsid w:val="2B31457F"/>
    <w:rsid w:val="2B4158F6"/>
    <w:rsid w:val="2B4E64E2"/>
    <w:rsid w:val="2B74267D"/>
    <w:rsid w:val="2BA72A52"/>
    <w:rsid w:val="2BAC3761"/>
    <w:rsid w:val="2BCC4488"/>
    <w:rsid w:val="2BE041B6"/>
    <w:rsid w:val="2BFD3414"/>
    <w:rsid w:val="2C022BF7"/>
    <w:rsid w:val="2C11611D"/>
    <w:rsid w:val="2C4E1120"/>
    <w:rsid w:val="2C521317"/>
    <w:rsid w:val="2C536E94"/>
    <w:rsid w:val="2C567FD4"/>
    <w:rsid w:val="2C602C01"/>
    <w:rsid w:val="2C681F1F"/>
    <w:rsid w:val="2C8148F3"/>
    <w:rsid w:val="2C882884"/>
    <w:rsid w:val="2C88401B"/>
    <w:rsid w:val="2C9609D7"/>
    <w:rsid w:val="2C9B21B9"/>
    <w:rsid w:val="2CA07839"/>
    <w:rsid w:val="2CA275BA"/>
    <w:rsid w:val="2CC119F1"/>
    <w:rsid w:val="2CD21B92"/>
    <w:rsid w:val="2CD63DAA"/>
    <w:rsid w:val="2CF47F19"/>
    <w:rsid w:val="2D033AAD"/>
    <w:rsid w:val="2D0F6B01"/>
    <w:rsid w:val="2D265D01"/>
    <w:rsid w:val="2D4A0B33"/>
    <w:rsid w:val="2D6548BB"/>
    <w:rsid w:val="2D74105A"/>
    <w:rsid w:val="2D8D11DF"/>
    <w:rsid w:val="2DBB4593"/>
    <w:rsid w:val="2DC1569D"/>
    <w:rsid w:val="2DCB27F1"/>
    <w:rsid w:val="2DD80BA8"/>
    <w:rsid w:val="2DD92B30"/>
    <w:rsid w:val="2DEA4E78"/>
    <w:rsid w:val="2DF61A6F"/>
    <w:rsid w:val="2DF734CE"/>
    <w:rsid w:val="2E112405"/>
    <w:rsid w:val="2E304FD2"/>
    <w:rsid w:val="2E3713FC"/>
    <w:rsid w:val="2E8B752E"/>
    <w:rsid w:val="2EA339A5"/>
    <w:rsid w:val="2EC1207D"/>
    <w:rsid w:val="2EC60A4A"/>
    <w:rsid w:val="2ECE479A"/>
    <w:rsid w:val="2EE50A24"/>
    <w:rsid w:val="2EF02962"/>
    <w:rsid w:val="2EF75A9F"/>
    <w:rsid w:val="2EF83DF2"/>
    <w:rsid w:val="2F1B0A91"/>
    <w:rsid w:val="2F3E035E"/>
    <w:rsid w:val="2F57478F"/>
    <w:rsid w:val="2F7003F3"/>
    <w:rsid w:val="2F76797E"/>
    <w:rsid w:val="2FB21C23"/>
    <w:rsid w:val="2FCD65E8"/>
    <w:rsid w:val="2FE667B9"/>
    <w:rsid w:val="2FEF8D63"/>
    <w:rsid w:val="300466C5"/>
    <w:rsid w:val="30405CA0"/>
    <w:rsid w:val="305027AC"/>
    <w:rsid w:val="30564A47"/>
    <w:rsid w:val="30576C24"/>
    <w:rsid w:val="306C6942"/>
    <w:rsid w:val="30890978"/>
    <w:rsid w:val="30A13F14"/>
    <w:rsid w:val="30AB4D93"/>
    <w:rsid w:val="30B17F7B"/>
    <w:rsid w:val="30BE18E7"/>
    <w:rsid w:val="30C3032E"/>
    <w:rsid w:val="30D304E7"/>
    <w:rsid w:val="30E402A4"/>
    <w:rsid w:val="30FD0EF8"/>
    <w:rsid w:val="310D77FB"/>
    <w:rsid w:val="31292A95"/>
    <w:rsid w:val="313E79B5"/>
    <w:rsid w:val="31440D43"/>
    <w:rsid w:val="316D7640"/>
    <w:rsid w:val="31AA329C"/>
    <w:rsid w:val="31AC0DC2"/>
    <w:rsid w:val="31AD4B3A"/>
    <w:rsid w:val="31B2784E"/>
    <w:rsid w:val="31B732C3"/>
    <w:rsid w:val="31C84D63"/>
    <w:rsid w:val="31E367AE"/>
    <w:rsid w:val="31E44EB5"/>
    <w:rsid w:val="31E63BA8"/>
    <w:rsid w:val="31FB4EC3"/>
    <w:rsid w:val="31FE7144"/>
    <w:rsid w:val="3206489B"/>
    <w:rsid w:val="32081D71"/>
    <w:rsid w:val="320E1ED6"/>
    <w:rsid w:val="322A3FD0"/>
    <w:rsid w:val="32384404"/>
    <w:rsid w:val="32425283"/>
    <w:rsid w:val="324E00A0"/>
    <w:rsid w:val="32527C83"/>
    <w:rsid w:val="32560D2E"/>
    <w:rsid w:val="325A081E"/>
    <w:rsid w:val="325B4596"/>
    <w:rsid w:val="326E7E26"/>
    <w:rsid w:val="326F1DF0"/>
    <w:rsid w:val="3295408B"/>
    <w:rsid w:val="32B20603"/>
    <w:rsid w:val="32B36180"/>
    <w:rsid w:val="32C345C9"/>
    <w:rsid w:val="32C47A5C"/>
    <w:rsid w:val="32F666BB"/>
    <w:rsid w:val="33042823"/>
    <w:rsid w:val="332E3248"/>
    <w:rsid w:val="33302828"/>
    <w:rsid w:val="33355BB1"/>
    <w:rsid w:val="333C6176"/>
    <w:rsid w:val="33525999"/>
    <w:rsid w:val="33590EA8"/>
    <w:rsid w:val="337D37B5"/>
    <w:rsid w:val="337F6063"/>
    <w:rsid w:val="33A80E65"/>
    <w:rsid w:val="33AB32FB"/>
    <w:rsid w:val="33B86A2F"/>
    <w:rsid w:val="33BF2903"/>
    <w:rsid w:val="33C10429"/>
    <w:rsid w:val="33CE622D"/>
    <w:rsid w:val="33D75E9F"/>
    <w:rsid w:val="33E9429E"/>
    <w:rsid w:val="33F75DDA"/>
    <w:rsid w:val="340016D5"/>
    <w:rsid w:val="34044EAB"/>
    <w:rsid w:val="34125129"/>
    <w:rsid w:val="34441786"/>
    <w:rsid w:val="3458080D"/>
    <w:rsid w:val="3487237B"/>
    <w:rsid w:val="34882F41"/>
    <w:rsid w:val="34A02734"/>
    <w:rsid w:val="34A4390E"/>
    <w:rsid w:val="34B166F0"/>
    <w:rsid w:val="34BE2568"/>
    <w:rsid w:val="34D523DE"/>
    <w:rsid w:val="354E4AE3"/>
    <w:rsid w:val="355F581E"/>
    <w:rsid w:val="35843E04"/>
    <w:rsid w:val="358563FF"/>
    <w:rsid w:val="3586192A"/>
    <w:rsid w:val="358856A2"/>
    <w:rsid w:val="359D4AA4"/>
    <w:rsid w:val="35B30245"/>
    <w:rsid w:val="35BC359E"/>
    <w:rsid w:val="35C70880"/>
    <w:rsid w:val="35C80195"/>
    <w:rsid w:val="35CD6513"/>
    <w:rsid w:val="35EF77F4"/>
    <w:rsid w:val="363C1A12"/>
    <w:rsid w:val="363F1A7D"/>
    <w:rsid w:val="365E6403"/>
    <w:rsid w:val="36804685"/>
    <w:rsid w:val="36935099"/>
    <w:rsid w:val="369C59DB"/>
    <w:rsid w:val="36A06D7D"/>
    <w:rsid w:val="36D13AFF"/>
    <w:rsid w:val="36DC1786"/>
    <w:rsid w:val="37500442"/>
    <w:rsid w:val="37523C3E"/>
    <w:rsid w:val="375C0B95"/>
    <w:rsid w:val="3762412B"/>
    <w:rsid w:val="37680AF8"/>
    <w:rsid w:val="37893954"/>
    <w:rsid w:val="37905EA0"/>
    <w:rsid w:val="379362EF"/>
    <w:rsid w:val="37BF0A7E"/>
    <w:rsid w:val="37D3EEB7"/>
    <w:rsid w:val="37D55A93"/>
    <w:rsid w:val="37D743BE"/>
    <w:rsid w:val="37ED5C91"/>
    <w:rsid w:val="37EF7C5B"/>
    <w:rsid w:val="37F45271"/>
    <w:rsid w:val="38002AE5"/>
    <w:rsid w:val="381E409C"/>
    <w:rsid w:val="382602C5"/>
    <w:rsid w:val="38451629"/>
    <w:rsid w:val="38575800"/>
    <w:rsid w:val="386341A5"/>
    <w:rsid w:val="386A108F"/>
    <w:rsid w:val="387737AC"/>
    <w:rsid w:val="387F3FB0"/>
    <w:rsid w:val="38A00F55"/>
    <w:rsid w:val="38A71C05"/>
    <w:rsid w:val="38B53977"/>
    <w:rsid w:val="38B95B73"/>
    <w:rsid w:val="38D26C34"/>
    <w:rsid w:val="38E14222"/>
    <w:rsid w:val="38F512A1"/>
    <w:rsid w:val="393F076E"/>
    <w:rsid w:val="394E7FDC"/>
    <w:rsid w:val="39591E05"/>
    <w:rsid w:val="396653E1"/>
    <w:rsid w:val="399E2974"/>
    <w:rsid w:val="39A607ED"/>
    <w:rsid w:val="39BA729B"/>
    <w:rsid w:val="39C63990"/>
    <w:rsid w:val="39C66799"/>
    <w:rsid w:val="39CA15F7"/>
    <w:rsid w:val="39D569DC"/>
    <w:rsid w:val="3A3F2785"/>
    <w:rsid w:val="3A5B5BB7"/>
    <w:rsid w:val="3A692ADF"/>
    <w:rsid w:val="3A744447"/>
    <w:rsid w:val="3A773F37"/>
    <w:rsid w:val="3A8A5A19"/>
    <w:rsid w:val="3A931AC6"/>
    <w:rsid w:val="3AAB72AD"/>
    <w:rsid w:val="3AC37CE9"/>
    <w:rsid w:val="3AC70CA5"/>
    <w:rsid w:val="3B010C10"/>
    <w:rsid w:val="3B0E664A"/>
    <w:rsid w:val="3B11613A"/>
    <w:rsid w:val="3B4653C1"/>
    <w:rsid w:val="3B4C7172"/>
    <w:rsid w:val="3B697D24"/>
    <w:rsid w:val="3B7921C4"/>
    <w:rsid w:val="3B91193E"/>
    <w:rsid w:val="3B91391D"/>
    <w:rsid w:val="3BA23236"/>
    <w:rsid w:val="3BCB453B"/>
    <w:rsid w:val="3BE62859"/>
    <w:rsid w:val="3BEA3546"/>
    <w:rsid w:val="3BFF41E4"/>
    <w:rsid w:val="3C3814A4"/>
    <w:rsid w:val="3C575DCE"/>
    <w:rsid w:val="3C722C08"/>
    <w:rsid w:val="3C756255"/>
    <w:rsid w:val="3C8F485E"/>
    <w:rsid w:val="3CA37266"/>
    <w:rsid w:val="3CD94A35"/>
    <w:rsid w:val="3CDF0995"/>
    <w:rsid w:val="3CF85FDC"/>
    <w:rsid w:val="3D211F38"/>
    <w:rsid w:val="3D2866A5"/>
    <w:rsid w:val="3D2B40A4"/>
    <w:rsid w:val="3D3A413E"/>
    <w:rsid w:val="3D6562C9"/>
    <w:rsid w:val="3D681E63"/>
    <w:rsid w:val="3D934BE4"/>
    <w:rsid w:val="3D9646D4"/>
    <w:rsid w:val="3D98044D"/>
    <w:rsid w:val="3DB20D0B"/>
    <w:rsid w:val="3DB72FC9"/>
    <w:rsid w:val="3DB83E1C"/>
    <w:rsid w:val="3DBF6634"/>
    <w:rsid w:val="3DDE30A1"/>
    <w:rsid w:val="3DE509C4"/>
    <w:rsid w:val="3DE511B8"/>
    <w:rsid w:val="3DF7B219"/>
    <w:rsid w:val="3DFB3677"/>
    <w:rsid w:val="3DFFEE74"/>
    <w:rsid w:val="3E047890"/>
    <w:rsid w:val="3E0D61A2"/>
    <w:rsid w:val="3E3A59A8"/>
    <w:rsid w:val="3E4DA055"/>
    <w:rsid w:val="3E73334C"/>
    <w:rsid w:val="3E8F54E1"/>
    <w:rsid w:val="3E9B4698"/>
    <w:rsid w:val="3EA01CAF"/>
    <w:rsid w:val="3EAA48DB"/>
    <w:rsid w:val="3ECB4852"/>
    <w:rsid w:val="3ED6167F"/>
    <w:rsid w:val="3EDB18C5"/>
    <w:rsid w:val="3EEA117C"/>
    <w:rsid w:val="3F0F400B"/>
    <w:rsid w:val="3F5B5BD6"/>
    <w:rsid w:val="3F5C76D1"/>
    <w:rsid w:val="3F724CCD"/>
    <w:rsid w:val="3F816F9F"/>
    <w:rsid w:val="3F830C89"/>
    <w:rsid w:val="3FA94B93"/>
    <w:rsid w:val="3FCC75A7"/>
    <w:rsid w:val="3FFFF5C8"/>
    <w:rsid w:val="40026549"/>
    <w:rsid w:val="401C18F7"/>
    <w:rsid w:val="40297384"/>
    <w:rsid w:val="402F3E4A"/>
    <w:rsid w:val="407707ED"/>
    <w:rsid w:val="40966FE5"/>
    <w:rsid w:val="409B6742"/>
    <w:rsid w:val="40B90A57"/>
    <w:rsid w:val="40C357E1"/>
    <w:rsid w:val="40D82DFB"/>
    <w:rsid w:val="40E85247"/>
    <w:rsid w:val="40F243F1"/>
    <w:rsid w:val="40F41E3E"/>
    <w:rsid w:val="40FA67E4"/>
    <w:rsid w:val="410A340F"/>
    <w:rsid w:val="41171C1E"/>
    <w:rsid w:val="412B0C07"/>
    <w:rsid w:val="41523421"/>
    <w:rsid w:val="4159263F"/>
    <w:rsid w:val="41745410"/>
    <w:rsid w:val="4177481D"/>
    <w:rsid w:val="41806B4D"/>
    <w:rsid w:val="4182569C"/>
    <w:rsid w:val="4193744C"/>
    <w:rsid w:val="41A2426E"/>
    <w:rsid w:val="41B617E9"/>
    <w:rsid w:val="41D70ADD"/>
    <w:rsid w:val="41E33AEE"/>
    <w:rsid w:val="41E40104"/>
    <w:rsid w:val="42070B9A"/>
    <w:rsid w:val="42111E62"/>
    <w:rsid w:val="422B7AE1"/>
    <w:rsid w:val="425E62C1"/>
    <w:rsid w:val="426173AE"/>
    <w:rsid w:val="426A1138"/>
    <w:rsid w:val="42815953"/>
    <w:rsid w:val="428F7412"/>
    <w:rsid w:val="42925DB2"/>
    <w:rsid w:val="42A45AE6"/>
    <w:rsid w:val="42AD275D"/>
    <w:rsid w:val="42AF3335"/>
    <w:rsid w:val="42B62328"/>
    <w:rsid w:val="42BB28BD"/>
    <w:rsid w:val="42CC0F51"/>
    <w:rsid w:val="42D750EA"/>
    <w:rsid w:val="42DC702D"/>
    <w:rsid w:val="42E303BC"/>
    <w:rsid w:val="42E32866"/>
    <w:rsid w:val="42FA5706"/>
    <w:rsid w:val="43136EE9"/>
    <w:rsid w:val="433B6123"/>
    <w:rsid w:val="433C7ACC"/>
    <w:rsid w:val="435E3EE6"/>
    <w:rsid w:val="43687B00"/>
    <w:rsid w:val="439B47F3"/>
    <w:rsid w:val="43CB4450"/>
    <w:rsid w:val="43CC2629"/>
    <w:rsid w:val="43D917BF"/>
    <w:rsid w:val="43D9356D"/>
    <w:rsid w:val="43E22422"/>
    <w:rsid w:val="43E75DBA"/>
    <w:rsid w:val="43FB1735"/>
    <w:rsid w:val="44112ABB"/>
    <w:rsid w:val="4456696C"/>
    <w:rsid w:val="44817E8C"/>
    <w:rsid w:val="448F0AF5"/>
    <w:rsid w:val="449D0E1D"/>
    <w:rsid w:val="44D73F50"/>
    <w:rsid w:val="44FD328B"/>
    <w:rsid w:val="45091B37"/>
    <w:rsid w:val="453E5D7D"/>
    <w:rsid w:val="455A65DF"/>
    <w:rsid w:val="4572185E"/>
    <w:rsid w:val="45833790"/>
    <w:rsid w:val="45AC19CC"/>
    <w:rsid w:val="45C33F05"/>
    <w:rsid w:val="45D60869"/>
    <w:rsid w:val="45D870F5"/>
    <w:rsid w:val="45E84550"/>
    <w:rsid w:val="45F572A7"/>
    <w:rsid w:val="46177DFD"/>
    <w:rsid w:val="46431172"/>
    <w:rsid w:val="464614E3"/>
    <w:rsid w:val="46843C64"/>
    <w:rsid w:val="46965745"/>
    <w:rsid w:val="469C1DF3"/>
    <w:rsid w:val="46B207D1"/>
    <w:rsid w:val="46BC1650"/>
    <w:rsid w:val="46CB53EF"/>
    <w:rsid w:val="46EE63EF"/>
    <w:rsid w:val="46F10EFC"/>
    <w:rsid w:val="46FD732B"/>
    <w:rsid w:val="470A10AA"/>
    <w:rsid w:val="471C71E0"/>
    <w:rsid w:val="4729480B"/>
    <w:rsid w:val="474F5AFF"/>
    <w:rsid w:val="47700BDA"/>
    <w:rsid w:val="477B7058"/>
    <w:rsid w:val="477C1864"/>
    <w:rsid w:val="47855EE6"/>
    <w:rsid w:val="478D4D9A"/>
    <w:rsid w:val="479255DF"/>
    <w:rsid w:val="47AC615E"/>
    <w:rsid w:val="47C63E08"/>
    <w:rsid w:val="47DEFFF8"/>
    <w:rsid w:val="47F67E27"/>
    <w:rsid w:val="480C5CBF"/>
    <w:rsid w:val="48164D90"/>
    <w:rsid w:val="4829546D"/>
    <w:rsid w:val="48462CE3"/>
    <w:rsid w:val="484752C1"/>
    <w:rsid w:val="48531BE9"/>
    <w:rsid w:val="48686106"/>
    <w:rsid w:val="48742EFF"/>
    <w:rsid w:val="487A531F"/>
    <w:rsid w:val="487C4DA1"/>
    <w:rsid w:val="488F069E"/>
    <w:rsid w:val="48972A51"/>
    <w:rsid w:val="48A136C6"/>
    <w:rsid w:val="48D9507B"/>
    <w:rsid w:val="48FA1FBB"/>
    <w:rsid w:val="48FF6CB3"/>
    <w:rsid w:val="492F278C"/>
    <w:rsid w:val="493469A2"/>
    <w:rsid w:val="493A2D00"/>
    <w:rsid w:val="4955275C"/>
    <w:rsid w:val="49591568"/>
    <w:rsid w:val="49861AA1"/>
    <w:rsid w:val="49885819"/>
    <w:rsid w:val="49940B3C"/>
    <w:rsid w:val="49AB59AC"/>
    <w:rsid w:val="49EA4A54"/>
    <w:rsid w:val="49F92273"/>
    <w:rsid w:val="4A040C80"/>
    <w:rsid w:val="4A0B0B6D"/>
    <w:rsid w:val="4A1A3515"/>
    <w:rsid w:val="4A3F01E5"/>
    <w:rsid w:val="4A623256"/>
    <w:rsid w:val="4A6C6EE9"/>
    <w:rsid w:val="4A712751"/>
    <w:rsid w:val="4A7B3C02"/>
    <w:rsid w:val="4A831514"/>
    <w:rsid w:val="4A8F7A4B"/>
    <w:rsid w:val="4AAE7501"/>
    <w:rsid w:val="4ABC01DB"/>
    <w:rsid w:val="4AC07235"/>
    <w:rsid w:val="4AC5101D"/>
    <w:rsid w:val="4AD8457E"/>
    <w:rsid w:val="4ADF677D"/>
    <w:rsid w:val="4AE274E7"/>
    <w:rsid w:val="4B1670AE"/>
    <w:rsid w:val="4B176459"/>
    <w:rsid w:val="4B58746D"/>
    <w:rsid w:val="4B690DD1"/>
    <w:rsid w:val="4B6E5990"/>
    <w:rsid w:val="4B72052F"/>
    <w:rsid w:val="4B78366B"/>
    <w:rsid w:val="4B7C2F5D"/>
    <w:rsid w:val="4B7D6ED4"/>
    <w:rsid w:val="4B881494"/>
    <w:rsid w:val="4BA2184A"/>
    <w:rsid w:val="4BAD5A0B"/>
    <w:rsid w:val="4BDE0179"/>
    <w:rsid w:val="4BE156B5"/>
    <w:rsid w:val="4BE24643"/>
    <w:rsid w:val="4C06511B"/>
    <w:rsid w:val="4C0724C6"/>
    <w:rsid w:val="4C371778"/>
    <w:rsid w:val="4C5B78FE"/>
    <w:rsid w:val="4C6065D9"/>
    <w:rsid w:val="4C681932"/>
    <w:rsid w:val="4C7327B1"/>
    <w:rsid w:val="4C8F18CC"/>
    <w:rsid w:val="4CA02E7A"/>
    <w:rsid w:val="4CA87AFB"/>
    <w:rsid w:val="4CB10557"/>
    <w:rsid w:val="4CC113AD"/>
    <w:rsid w:val="4CC254E6"/>
    <w:rsid w:val="4CCE3E8B"/>
    <w:rsid w:val="4CD47509"/>
    <w:rsid w:val="4CED0E58"/>
    <w:rsid w:val="4CF431C6"/>
    <w:rsid w:val="4CFC7C5F"/>
    <w:rsid w:val="4D266991"/>
    <w:rsid w:val="4D2F41FE"/>
    <w:rsid w:val="4D7011EF"/>
    <w:rsid w:val="4D8E2C4F"/>
    <w:rsid w:val="4DA4641D"/>
    <w:rsid w:val="4DB459E6"/>
    <w:rsid w:val="4DB52C4D"/>
    <w:rsid w:val="4DBE0454"/>
    <w:rsid w:val="4DDA685F"/>
    <w:rsid w:val="4DEF522A"/>
    <w:rsid w:val="4E0B4C6B"/>
    <w:rsid w:val="4E125FF9"/>
    <w:rsid w:val="4E4125AE"/>
    <w:rsid w:val="4E412682"/>
    <w:rsid w:val="4E4A0AB9"/>
    <w:rsid w:val="4E4C150B"/>
    <w:rsid w:val="4E7A6F75"/>
    <w:rsid w:val="4EA83CBF"/>
    <w:rsid w:val="4EAA3618"/>
    <w:rsid w:val="4EAD5D22"/>
    <w:rsid w:val="4EB01C0C"/>
    <w:rsid w:val="4ECD418D"/>
    <w:rsid w:val="4F0C0C9A"/>
    <w:rsid w:val="4F12289B"/>
    <w:rsid w:val="4F2844FE"/>
    <w:rsid w:val="4F2B7038"/>
    <w:rsid w:val="4F4421E2"/>
    <w:rsid w:val="4F496293"/>
    <w:rsid w:val="4F4E4E0F"/>
    <w:rsid w:val="4F583EE0"/>
    <w:rsid w:val="4F6D1E98"/>
    <w:rsid w:val="4F844CD5"/>
    <w:rsid w:val="4F920DBB"/>
    <w:rsid w:val="4FC20464"/>
    <w:rsid w:val="500D6A78"/>
    <w:rsid w:val="501D240C"/>
    <w:rsid w:val="505C7A00"/>
    <w:rsid w:val="507C64A1"/>
    <w:rsid w:val="5083773D"/>
    <w:rsid w:val="50AB7A1C"/>
    <w:rsid w:val="50B67110"/>
    <w:rsid w:val="50C85B0B"/>
    <w:rsid w:val="50CF59AD"/>
    <w:rsid w:val="50EA4A7A"/>
    <w:rsid w:val="50F003C4"/>
    <w:rsid w:val="511931FB"/>
    <w:rsid w:val="511C010B"/>
    <w:rsid w:val="51523EF4"/>
    <w:rsid w:val="519E2843"/>
    <w:rsid w:val="51BF443D"/>
    <w:rsid w:val="51DA443A"/>
    <w:rsid w:val="51F83758"/>
    <w:rsid w:val="520926F2"/>
    <w:rsid w:val="520D7A81"/>
    <w:rsid w:val="524C2AAE"/>
    <w:rsid w:val="52552958"/>
    <w:rsid w:val="52854FEC"/>
    <w:rsid w:val="52CA29FF"/>
    <w:rsid w:val="52D675F5"/>
    <w:rsid w:val="53034162"/>
    <w:rsid w:val="53220A8C"/>
    <w:rsid w:val="5342189D"/>
    <w:rsid w:val="53555488"/>
    <w:rsid w:val="53680C7C"/>
    <w:rsid w:val="536F3D6C"/>
    <w:rsid w:val="538C7014"/>
    <w:rsid w:val="53990623"/>
    <w:rsid w:val="53A771E4"/>
    <w:rsid w:val="53B50713"/>
    <w:rsid w:val="53B95FB2"/>
    <w:rsid w:val="53D047F3"/>
    <w:rsid w:val="53E47AF0"/>
    <w:rsid w:val="53F34990"/>
    <w:rsid w:val="53F35F85"/>
    <w:rsid w:val="53F82657"/>
    <w:rsid w:val="540979B4"/>
    <w:rsid w:val="54120B01"/>
    <w:rsid w:val="54174EDF"/>
    <w:rsid w:val="541C372E"/>
    <w:rsid w:val="542C1497"/>
    <w:rsid w:val="543842E0"/>
    <w:rsid w:val="54392249"/>
    <w:rsid w:val="543A0058"/>
    <w:rsid w:val="546A4033"/>
    <w:rsid w:val="54707217"/>
    <w:rsid w:val="54750651"/>
    <w:rsid w:val="5480311C"/>
    <w:rsid w:val="54841680"/>
    <w:rsid w:val="548A13A6"/>
    <w:rsid w:val="54992FD0"/>
    <w:rsid w:val="54B576DE"/>
    <w:rsid w:val="54C80111"/>
    <w:rsid w:val="54DC6BBB"/>
    <w:rsid w:val="54DE6C35"/>
    <w:rsid w:val="553B5E36"/>
    <w:rsid w:val="555D2250"/>
    <w:rsid w:val="556C4241"/>
    <w:rsid w:val="557914C7"/>
    <w:rsid w:val="557B05CF"/>
    <w:rsid w:val="558E2409"/>
    <w:rsid w:val="55BF28D2"/>
    <w:rsid w:val="55DDF531"/>
    <w:rsid w:val="55FB150F"/>
    <w:rsid w:val="564B02FA"/>
    <w:rsid w:val="564D5947"/>
    <w:rsid w:val="56554CD5"/>
    <w:rsid w:val="56586573"/>
    <w:rsid w:val="565D1E21"/>
    <w:rsid w:val="565D3B8A"/>
    <w:rsid w:val="567677CB"/>
    <w:rsid w:val="567F795E"/>
    <w:rsid w:val="5682571F"/>
    <w:rsid w:val="56F72230"/>
    <w:rsid w:val="56FE536D"/>
    <w:rsid w:val="57106609"/>
    <w:rsid w:val="573610C9"/>
    <w:rsid w:val="57412D12"/>
    <w:rsid w:val="57546EB8"/>
    <w:rsid w:val="575548AE"/>
    <w:rsid w:val="5765719A"/>
    <w:rsid w:val="57787490"/>
    <w:rsid w:val="57A62E07"/>
    <w:rsid w:val="57B40121"/>
    <w:rsid w:val="57E47C99"/>
    <w:rsid w:val="57EA22F8"/>
    <w:rsid w:val="57EEBA52"/>
    <w:rsid w:val="57F66044"/>
    <w:rsid w:val="57FF8353"/>
    <w:rsid w:val="58190752"/>
    <w:rsid w:val="582901C7"/>
    <w:rsid w:val="58297C9B"/>
    <w:rsid w:val="58417026"/>
    <w:rsid w:val="584A63E6"/>
    <w:rsid w:val="584E7C2E"/>
    <w:rsid w:val="584F6442"/>
    <w:rsid w:val="58627B7D"/>
    <w:rsid w:val="58647037"/>
    <w:rsid w:val="58660CE3"/>
    <w:rsid w:val="586B4D4E"/>
    <w:rsid w:val="586C4558"/>
    <w:rsid w:val="58A46B3B"/>
    <w:rsid w:val="58A921CB"/>
    <w:rsid w:val="58AB63E6"/>
    <w:rsid w:val="58AC4737"/>
    <w:rsid w:val="58B02697"/>
    <w:rsid w:val="58B63D67"/>
    <w:rsid w:val="58BA3515"/>
    <w:rsid w:val="58D17AEF"/>
    <w:rsid w:val="58DC16DE"/>
    <w:rsid w:val="58FA5DED"/>
    <w:rsid w:val="590A05FC"/>
    <w:rsid w:val="591A3FB4"/>
    <w:rsid w:val="591B0440"/>
    <w:rsid w:val="591B1F9B"/>
    <w:rsid w:val="59360DE3"/>
    <w:rsid w:val="593C7C34"/>
    <w:rsid w:val="595D6DC9"/>
    <w:rsid w:val="59892044"/>
    <w:rsid w:val="599F4E32"/>
    <w:rsid w:val="59B66EB3"/>
    <w:rsid w:val="59B843A4"/>
    <w:rsid w:val="59BBFB9A"/>
    <w:rsid w:val="59C00507"/>
    <w:rsid w:val="59EF41BA"/>
    <w:rsid w:val="59F14D15"/>
    <w:rsid w:val="59F667CF"/>
    <w:rsid w:val="5A1A070F"/>
    <w:rsid w:val="5A4412E8"/>
    <w:rsid w:val="5A4E6C50"/>
    <w:rsid w:val="5A61348C"/>
    <w:rsid w:val="5AAB7BE7"/>
    <w:rsid w:val="5ACE14FA"/>
    <w:rsid w:val="5AE8436A"/>
    <w:rsid w:val="5AF745AD"/>
    <w:rsid w:val="5B046CCA"/>
    <w:rsid w:val="5B0F4685"/>
    <w:rsid w:val="5B5B309C"/>
    <w:rsid w:val="5B5F7C32"/>
    <w:rsid w:val="5B633E84"/>
    <w:rsid w:val="5B6D0D13"/>
    <w:rsid w:val="5B70610D"/>
    <w:rsid w:val="5B720572"/>
    <w:rsid w:val="5B75502D"/>
    <w:rsid w:val="5B767BE6"/>
    <w:rsid w:val="5B7B5D04"/>
    <w:rsid w:val="5B7D1757"/>
    <w:rsid w:val="5B9938B6"/>
    <w:rsid w:val="5B9D05D6"/>
    <w:rsid w:val="5BA74539"/>
    <w:rsid w:val="5BAC1E7C"/>
    <w:rsid w:val="5BBF3AE1"/>
    <w:rsid w:val="5BE659F3"/>
    <w:rsid w:val="5BE772A1"/>
    <w:rsid w:val="5BF8682E"/>
    <w:rsid w:val="5C100812"/>
    <w:rsid w:val="5C2A09B2"/>
    <w:rsid w:val="5C302F43"/>
    <w:rsid w:val="5C451ADF"/>
    <w:rsid w:val="5C6C40DA"/>
    <w:rsid w:val="5C785019"/>
    <w:rsid w:val="5C8C51C9"/>
    <w:rsid w:val="5CAD362D"/>
    <w:rsid w:val="5CE3AB12"/>
    <w:rsid w:val="5CFC234E"/>
    <w:rsid w:val="5CFD1AAD"/>
    <w:rsid w:val="5D09707E"/>
    <w:rsid w:val="5D2031A1"/>
    <w:rsid w:val="5D2378DB"/>
    <w:rsid w:val="5D5761BB"/>
    <w:rsid w:val="5D5A247C"/>
    <w:rsid w:val="5D7A7717"/>
    <w:rsid w:val="5D7F0FB0"/>
    <w:rsid w:val="5D964551"/>
    <w:rsid w:val="5D9C7924"/>
    <w:rsid w:val="5DAC29AB"/>
    <w:rsid w:val="5DBE2D9F"/>
    <w:rsid w:val="5DD426FD"/>
    <w:rsid w:val="5DE70071"/>
    <w:rsid w:val="5DEF1EB3"/>
    <w:rsid w:val="5DF474C9"/>
    <w:rsid w:val="5DF66D9E"/>
    <w:rsid w:val="5E011535"/>
    <w:rsid w:val="5E1B261B"/>
    <w:rsid w:val="5E2733FB"/>
    <w:rsid w:val="5E6D421F"/>
    <w:rsid w:val="5E7E0C13"/>
    <w:rsid w:val="5E8545C5"/>
    <w:rsid w:val="5EA05BE0"/>
    <w:rsid w:val="5EEB267A"/>
    <w:rsid w:val="5EF02083"/>
    <w:rsid w:val="5EFC4888"/>
    <w:rsid w:val="5F0D0843"/>
    <w:rsid w:val="5F10721B"/>
    <w:rsid w:val="5F2D2C93"/>
    <w:rsid w:val="5F9C1BC7"/>
    <w:rsid w:val="5FA23A48"/>
    <w:rsid w:val="5FD80C9E"/>
    <w:rsid w:val="5FEB60FD"/>
    <w:rsid w:val="5FF3789F"/>
    <w:rsid w:val="5FFC4413"/>
    <w:rsid w:val="600A2FD4"/>
    <w:rsid w:val="60172113"/>
    <w:rsid w:val="60395667"/>
    <w:rsid w:val="604D1FAD"/>
    <w:rsid w:val="604F4D4B"/>
    <w:rsid w:val="605602F3"/>
    <w:rsid w:val="60600E46"/>
    <w:rsid w:val="606C02F6"/>
    <w:rsid w:val="608809FC"/>
    <w:rsid w:val="60946F10"/>
    <w:rsid w:val="60E20D99"/>
    <w:rsid w:val="60EA36AB"/>
    <w:rsid w:val="610572F8"/>
    <w:rsid w:val="6113099A"/>
    <w:rsid w:val="611F6F3D"/>
    <w:rsid w:val="61371BA7"/>
    <w:rsid w:val="61521F2D"/>
    <w:rsid w:val="615B397E"/>
    <w:rsid w:val="615D5386"/>
    <w:rsid w:val="61671D60"/>
    <w:rsid w:val="61741EA9"/>
    <w:rsid w:val="61786E15"/>
    <w:rsid w:val="617A5F38"/>
    <w:rsid w:val="617D1369"/>
    <w:rsid w:val="6183303E"/>
    <w:rsid w:val="61930DA7"/>
    <w:rsid w:val="6195412E"/>
    <w:rsid w:val="619D0D68"/>
    <w:rsid w:val="61C12377"/>
    <w:rsid w:val="61C94FA9"/>
    <w:rsid w:val="61D7370C"/>
    <w:rsid w:val="61E433B1"/>
    <w:rsid w:val="61E76BCF"/>
    <w:rsid w:val="620852F1"/>
    <w:rsid w:val="62195750"/>
    <w:rsid w:val="62214605"/>
    <w:rsid w:val="6229647D"/>
    <w:rsid w:val="62407530"/>
    <w:rsid w:val="62465E1A"/>
    <w:rsid w:val="62586279"/>
    <w:rsid w:val="626369CC"/>
    <w:rsid w:val="62675B5F"/>
    <w:rsid w:val="626F5D49"/>
    <w:rsid w:val="62724D32"/>
    <w:rsid w:val="62797F9D"/>
    <w:rsid w:val="6283706E"/>
    <w:rsid w:val="62860036"/>
    <w:rsid w:val="628A3147"/>
    <w:rsid w:val="628B6E42"/>
    <w:rsid w:val="62944DD7"/>
    <w:rsid w:val="62A920F6"/>
    <w:rsid w:val="62B92A90"/>
    <w:rsid w:val="62DE1A06"/>
    <w:rsid w:val="62E61C15"/>
    <w:rsid w:val="62E85904"/>
    <w:rsid w:val="62F05149"/>
    <w:rsid w:val="630E4B89"/>
    <w:rsid w:val="63212B0F"/>
    <w:rsid w:val="63640C4D"/>
    <w:rsid w:val="63795CCD"/>
    <w:rsid w:val="639C03D4"/>
    <w:rsid w:val="63B03E93"/>
    <w:rsid w:val="63B04A47"/>
    <w:rsid w:val="63CC7F28"/>
    <w:rsid w:val="63E93516"/>
    <w:rsid w:val="640A35A3"/>
    <w:rsid w:val="64151F48"/>
    <w:rsid w:val="64634A61"/>
    <w:rsid w:val="646938B4"/>
    <w:rsid w:val="647729F1"/>
    <w:rsid w:val="649566C9"/>
    <w:rsid w:val="649D65BE"/>
    <w:rsid w:val="64C54405"/>
    <w:rsid w:val="64D45527"/>
    <w:rsid w:val="64D63485"/>
    <w:rsid w:val="64DB4988"/>
    <w:rsid w:val="64FD4EB5"/>
    <w:rsid w:val="652F2B95"/>
    <w:rsid w:val="65387C9C"/>
    <w:rsid w:val="6549634D"/>
    <w:rsid w:val="65586590"/>
    <w:rsid w:val="65790BAB"/>
    <w:rsid w:val="65887E73"/>
    <w:rsid w:val="65A823AD"/>
    <w:rsid w:val="65AA63F8"/>
    <w:rsid w:val="65AA7E63"/>
    <w:rsid w:val="65B535FF"/>
    <w:rsid w:val="65CB0B10"/>
    <w:rsid w:val="65EB2F60"/>
    <w:rsid w:val="66134265"/>
    <w:rsid w:val="663303D2"/>
    <w:rsid w:val="66542908"/>
    <w:rsid w:val="66766AFB"/>
    <w:rsid w:val="668D2269"/>
    <w:rsid w:val="66954390"/>
    <w:rsid w:val="66BE2423"/>
    <w:rsid w:val="66E60851"/>
    <w:rsid w:val="671D183F"/>
    <w:rsid w:val="67380427"/>
    <w:rsid w:val="673D4944"/>
    <w:rsid w:val="674943E2"/>
    <w:rsid w:val="679A2E90"/>
    <w:rsid w:val="67C1666E"/>
    <w:rsid w:val="67D5070B"/>
    <w:rsid w:val="67EC296B"/>
    <w:rsid w:val="682C4A12"/>
    <w:rsid w:val="68394E57"/>
    <w:rsid w:val="686E45E4"/>
    <w:rsid w:val="687C6C1A"/>
    <w:rsid w:val="68863414"/>
    <w:rsid w:val="68896A60"/>
    <w:rsid w:val="68AB3AA2"/>
    <w:rsid w:val="68ADC21E"/>
    <w:rsid w:val="68CF4DBB"/>
    <w:rsid w:val="68DB72BC"/>
    <w:rsid w:val="68EF39DD"/>
    <w:rsid w:val="68F260D2"/>
    <w:rsid w:val="69006D22"/>
    <w:rsid w:val="6931512E"/>
    <w:rsid w:val="69690D6B"/>
    <w:rsid w:val="698677F4"/>
    <w:rsid w:val="69905263"/>
    <w:rsid w:val="69953C45"/>
    <w:rsid w:val="699A2F00"/>
    <w:rsid w:val="69AA4EE0"/>
    <w:rsid w:val="69C212AA"/>
    <w:rsid w:val="69CE6E20"/>
    <w:rsid w:val="69CF69A7"/>
    <w:rsid w:val="69DF4B8A"/>
    <w:rsid w:val="69EA352F"/>
    <w:rsid w:val="69F148BD"/>
    <w:rsid w:val="6A2B7DCF"/>
    <w:rsid w:val="6A401A6E"/>
    <w:rsid w:val="6A7C1F1D"/>
    <w:rsid w:val="6A8120E5"/>
    <w:rsid w:val="6A8C76F3"/>
    <w:rsid w:val="6A936D2C"/>
    <w:rsid w:val="6AD519BD"/>
    <w:rsid w:val="6B141D4A"/>
    <w:rsid w:val="6B1940CB"/>
    <w:rsid w:val="6B2A0087"/>
    <w:rsid w:val="6B33379F"/>
    <w:rsid w:val="6B4F5D3F"/>
    <w:rsid w:val="6B511AB7"/>
    <w:rsid w:val="6B513865"/>
    <w:rsid w:val="6B591D99"/>
    <w:rsid w:val="6B5C5C82"/>
    <w:rsid w:val="6B621F16"/>
    <w:rsid w:val="6B6340AD"/>
    <w:rsid w:val="6B652C83"/>
    <w:rsid w:val="6B7C78A9"/>
    <w:rsid w:val="6B800D59"/>
    <w:rsid w:val="6B8974A3"/>
    <w:rsid w:val="6B8B54C6"/>
    <w:rsid w:val="6B9320D0"/>
    <w:rsid w:val="6B9C080D"/>
    <w:rsid w:val="6BD31AA4"/>
    <w:rsid w:val="6BE02E3B"/>
    <w:rsid w:val="6BFD01BF"/>
    <w:rsid w:val="6C183E4D"/>
    <w:rsid w:val="6C1C0317"/>
    <w:rsid w:val="6C32BBB9"/>
    <w:rsid w:val="6C3364CD"/>
    <w:rsid w:val="6C6501E7"/>
    <w:rsid w:val="6C776483"/>
    <w:rsid w:val="6C951E77"/>
    <w:rsid w:val="6CD521A0"/>
    <w:rsid w:val="6D0143BD"/>
    <w:rsid w:val="6D045452"/>
    <w:rsid w:val="6D050DAB"/>
    <w:rsid w:val="6D061E46"/>
    <w:rsid w:val="6D12234A"/>
    <w:rsid w:val="6D574447"/>
    <w:rsid w:val="6D5D3324"/>
    <w:rsid w:val="6D8D3218"/>
    <w:rsid w:val="6D9B5E69"/>
    <w:rsid w:val="6D9B6652"/>
    <w:rsid w:val="6DB27026"/>
    <w:rsid w:val="6DBE53FE"/>
    <w:rsid w:val="6DCA2E3B"/>
    <w:rsid w:val="6DD32C57"/>
    <w:rsid w:val="6DDA2238"/>
    <w:rsid w:val="6DE84317"/>
    <w:rsid w:val="6DFF1C9E"/>
    <w:rsid w:val="6E033707"/>
    <w:rsid w:val="6E0B6B0F"/>
    <w:rsid w:val="6E6E472E"/>
    <w:rsid w:val="6E6F440B"/>
    <w:rsid w:val="6E750A32"/>
    <w:rsid w:val="6E7A488E"/>
    <w:rsid w:val="6E8D0E01"/>
    <w:rsid w:val="6EA308D5"/>
    <w:rsid w:val="6EB45E97"/>
    <w:rsid w:val="6EBD1602"/>
    <w:rsid w:val="6EBF1029"/>
    <w:rsid w:val="6ED3504F"/>
    <w:rsid w:val="6ED7796E"/>
    <w:rsid w:val="6EEA7239"/>
    <w:rsid w:val="6EEC6702"/>
    <w:rsid w:val="6EF971F8"/>
    <w:rsid w:val="6F307C36"/>
    <w:rsid w:val="6F353037"/>
    <w:rsid w:val="6F3A213D"/>
    <w:rsid w:val="6F3E2352"/>
    <w:rsid w:val="6F4A6F49"/>
    <w:rsid w:val="6F5516B4"/>
    <w:rsid w:val="6F562E77"/>
    <w:rsid w:val="6F5A2F04"/>
    <w:rsid w:val="6F7D52B5"/>
    <w:rsid w:val="6F8B43F1"/>
    <w:rsid w:val="70115CB9"/>
    <w:rsid w:val="70383EEB"/>
    <w:rsid w:val="70386C15"/>
    <w:rsid w:val="70432DA3"/>
    <w:rsid w:val="704B2DFA"/>
    <w:rsid w:val="704B5D09"/>
    <w:rsid w:val="70560679"/>
    <w:rsid w:val="706A28AB"/>
    <w:rsid w:val="706F4BFF"/>
    <w:rsid w:val="70820965"/>
    <w:rsid w:val="70887E33"/>
    <w:rsid w:val="708E730A"/>
    <w:rsid w:val="709A3BD7"/>
    <w:rsid w:val="70B34FC2"/>
    <w:rsid w:val="70DA70D7"/>
    <w:rsid w:val="71003969"/>
    <w:rsid w:val="710B6BAC"/>
    <w:rsid w:val="71233EF6"/>
    <w:rsid w:val="71327C95"/>
    <w:rsid w:val="715776FB"/>
    <w:rsid w:val="717F4431"/>
    <w:rsid w:val="718F6E95"/>
    <w:rsid w:val="71A566B9"/>
    <w:rsid w:val="71B66B18"/>
    <w:rsid w:val="71DD6189"/>
    <w:rsid w:val="71DF76EC"/>
    <w:rsid w:val="71E511AB"/>
    <w:rsid w:val="71E696B5"/>
    <w:rsid w:val="71E91334"/>
    <w:rsid w:val="71F87D49"/>
    <w:rsid w:val="72150868"/>
    <w:rsid w:val="72172541"/>
    <w:rsid w:val="723E2357"/>
    <w:rsid w:val="725C373A"/>
    <w:rsid w:val="729D5DEB"/>
    <w:rsid w:val="72EC1383"/>
    <w:rsid w:val="72FA7564"/>
    <w:rsid w:val="72FBB722"/>
    <w:rsid w:val="732800D5"/>
    <w:rsid w:val="734343DB"/>
    <w:rsid w:val="73467A28"/>
    <w:rsid w:val="734E4B2E"/>
    <w:rsid w:val="735E5D7E"/>
    <w:rsid w:val="735F4F8D"/>
    <w:rsid w:val="73830C7C"/>
    <w:rsid w:val="73972979"/>
    <w:rsid w:val="73C179F6"/>
    <w:rsid w:val="73DE4104"/>
    <w:rsid w:val="73F13E37"/>
    <w:rsid w:val="74157F65"/>
    <w:rsid w:val="74273CFD"/>
    <w:rsid w:val="742D0BE7"/>
    <w:rsid w:val="7436355C"/>
    <w:rsid w:val="74363F40"/>
    <w:rsid w:val="74387CB8"/>
    <w:rsid w:val="745D14CD"/>
    <w:rsid w:val="74813ECF"/>
    <w:rsid w:val="74827185"/>
    <w:rsid w:val="748778FB"/>
    <w:rsid w:val="7492302B"/>
    <w:rsid w:val="74B35591"/>
    <w:rsid w:val="74E76A90"/>
    <w:rsid w:val="74E9318D"/>
    <w:rsid w:val="74EBCABF"/>
    <w:rsid w:val="750162FC"/>
    <w:rsid w:val="75151DA7"/>
    <w:rsid w:val="75272066"/>
    <w:rsid w:val="75381F44"/>
    <w:rsid w:val="753D4E5A"/>
    <w:rsid w:val="754D0A8B"/>
    <w:rsid w:val="75512651"/>
    <w:rsid w:val="755C1339"/>
    <w:rsid w:val="755D54FC"/>
    <w:rsid w:val="755E45F0"/>
    <w:rsid w:val="75C630A2"/>
    <w:rsid w:val="75CA1C7B"/>
    <w:rsid w:val="75D25EEA"/>
    <w:rsid w:val="75E706DE"/>
    <w:rsid w:val="75FB5580"/>
    <w:rsid w:val="760065B4"/>
    <w:rsid w:val="76051E1C"/>
    <w:rsid w:val="76085468"/>
    <w:rsid w:val="76195E75"/>
    <w:rsid w:val="761A519B"/>
    <w:rsid w:val="762A1882"/>
    <w:rsid w:val="763B5183"/>
    <w:rsid w:val="764B35A7"/>
    <w:rsid w:val="764C0FDD"/>
    <w:rsid w:val="76522B87"/>
    <w:rsid w:val="76566171"/>
    <w:rsid w:val="765661D4"/>
    <w:rsid w:val="766F5727"/>
    <w:rsid w:val="76811CB7"/>
    <w:rsid w:val="76B05511"/>
    <w:rsid w:val="76B80988"/>
    <w:rsid w:val="76BBF697"/>
    <w:rsid w:val="76C56F7C"/>
    <w:rsid w:val="772B3B04"/>
    <w:rsid w:val="773C186D"/>
    <w:rsid w:val="773D4FFC"/>
    <w:rsid w:val="774F4E26"/>
    <w:rsid w:val="775B70DB"/>
    <w:rsid w:val="776C0568"/>
    <w:rsid w:val="77717CEC"/>
    <w:rsid w:val="7789082B"/>
    <w:rsid w:val="77926BEF"/>
    <w:rsid w:val="77A318EC"/>
    <w:rsid w:val="77AD190E"/>
    <w:rsid w:val="77B84D3B"/>
    <w:rsid w:val="77D9F2F5"/>
    <w:rsid w:val="77DC4DFE"/>
    <w:rsid w:val="77DD668F"/>
    <w:rsid w:val="77FE4A83"/>
    <w:rsid w:val="77FE4D75"/>
    <w:rsid w:val="77FEE410"/>
    <w:rsid w:val="780236F1"/>
    <w:rsid w:val="78175E36"/>
    <w:rsid w:val="78221490"/>
    <w:rsid w:val="78401B5F"/>
    <w:rsid w:val="78414C61"/>
    <w:rsid w:val="7849395D"/>
    <w:rsid w:val="78A27DF6"/>
    <w:rsid w:val="78A53586"/>
    <w:rsid w:val="78AF2513"/>
    <w:rsid w:val="78C31426"/>
    <w:rsid w:val="78C75A59"/>
    <w:rsid w:val="78DA7590"/>
    <w:rsid w:val="78E957D1"/>
    <w:rsid w:val="78F00B8F"/>
    <w:rsid w:val="79297A45"/>
    <w:rsid w:val="79406FE8"/>
    <w:rsid w:val="79474F14"/>
    <w:rsid w:val="795151D0"/>
    <w:rsid w:val="79527BC0"/>
    <w:rsid w:val="795C2796"/>
    <w:rsid w:val="79667075"/>
    <w:rsid w:val="79683DA9"/>
    <w:rsid w:val="796B0AE7"/>
    <w:rsid w:val="798E2128"/>
    <w:rsid w:val="799F2B9A"/>
    <w:rsid w:val="79D917B8"/>
    <w:rsid w:val="79EB757B"/>
    <w:rsid w:val="79F25CAF"/>
    <w:rsid w:val="79FF24A8"/>
    <w:rsid w:val="7A07062C"/>
    <w:rsid w:val="7A0D63E1"/>
    <w:rsid w:val="7A3D7DFA"/>
    <w:rsid w:val="7A4776B9"/>
    <w:rsid w:val="7A4A24F3"/>
    <w:rsid w:val="7A505630"/>
    <w:rsid w:val="7A5275FA"/>
    <w:rsid w:val="7A863002"/>
    <w:rsid w:val="7ABC51E6"/>
    <w:rsid w:val="7AE83F9D"/>
    <w:rsid w:val="7AEF2DA3"/>
    <w:rsid w:val="7B18439F"/>
    <w:rsid w:val="7B2E5971"/>
    <w:rsid w:val="7B47113B"/>
    <w:rsid w:val="7B4C09F2"/>
    <w:rsid w:val="7B51165F"/>
    <w:rsid w:val="7B544624"/>
    <w:rsid w:val="7B5D1DB2"/>
    <w:rsid w:val="7B737828"/>
    <w:rsid w:val="7B77578E"/>
    <w:rsid w:val="7B7B08E0"/>
    <w:rsid w:val="7B8C6B3B"/>
    <w:rsid w:val="7B910373"/>
    <w:rsid w:val="7BA67BFD"/>
    <w:rsid w:val="7BB3231A"/>
    <w:rsid w:val="7BD02338"/>
    <w:rsid w:val="7BFF639D"/>
    <w:rsid w:val="7C28344E"/>
    <w:rsid w:val="7C30396B"/>
    <w:rsid w:val="7C490459"/>
    <w:rsid w:val="7C6158D2"/>
    <w:rsid w:val="7C66738C"/>
    <w:rsid w:val="7C67749B"/>
    <w:rsid w:val="7C70678B"/>
    <w:rsid w:val="7C8C559B"/>
    <w:rsid w:val="7CA35EEB"/>
    <w:rsid w:val="7CAD3B1A"/>
    <w:rsid w:val="7CB60617"/>
    <w:rsid w:val="7CD57E28"/>
    <w:rsid w:val="7CE22E28"/>
    <w:rsid w:val="7CED53B8"/>
    <w:rsid w:val="7CEEA15A"/>
    <w:rsid w:val="7CF60710"/>
    <w:rsid w:val="7CFA3BCB"/>
    <w:rsid w:val="7D062B10"/>
    <w:rsid w:val="7D0B3C3B"/>
    <w:rsid w:val="7D0E2CFF"/>
    <w:rsid w:val="7D0F3C0D"/>
    <w:rsid w:val="7D172B13"/>
    <w:rsid w:val="7D5D2E67"/>
    <w:rsid w:val="7D637428"/>
    <w:rsid w:val="7D9225A0"/>
    <w:rsid w:val="7D96415A"/>
    <w:rsid w:val="7DAF3BCD"/>
    <w:rsid w:val="7DB163E5"/>
    <w:rsid w:val="7DBB3FE6"/>
    <w:rsid w:val="7DDBDF79"/>
    <w:rsid w:val="7DDC9BAB"/>
    <w:rsid w:val="7DEF2BEB"/>
    <w:rsid w:val="7DF355A5"/>
    <w:rsid w:val="7DFB8FCA"/>
    <w:rsid w:val="7E094473"/>
    <w:rsid w:val="7E103DD1"/>
    <w:rsid w:val="7E123328"/>
    <w:rsid w:val="7E1E6144"/>
    <w:rsid w:val="7E2C4AFF"/>
    <w:rsid w:val="7E2E3EDA"/>
    <w:rsid w:val="7E2E7A36"/>
    <w:rsid w:val="7E301A00"/>
    <w:rsid w:val="7E3B4C1D"/>
    <w:rsid w:val="7E3B5341"/>
    <w:rsid w:val="7E4159BB"/>
    <w:rsid w:val="7E552DFD"/>
    <w:rsid w:val="7E59506D"/>
    <w:rsid w:val="7E6F077A"/>
    <w:rsid w:val="7E755ED2"/>
    <w:rsid w:val="7E8835EA"/>
    <w:rsid w:val="7E8D5AD8"/>
    <w:rsid w:val="7E8E6727"/>
    <w:rsid w:val="7E8F0CEC"/>
    <w:rsid w:val="7ECF0821"/>
    <w:rsid w:val="7EDE145C"/>
    <w:rsid w:val="7EDE320A"/>
    <w:rsid w:val="7EED169F"/>
    <w:rsid w:val="7F08297D"/>
    <w:rsid w:val="7F315A30"/>
    <w:rsid w:val="7F323556"/>
    <w:rsid w:val="7F482CAC"/>
    <w:rsid w:val="7F4B005C"/>
    <w:rsid w:val="7F71407E"/>
    <w:rsid w:val="7F76BEE1"/>
    <w:rsid w:val="7F7D760A"/>
    <w:rsid w:val="7F7E29BB"/>
    <w:rsid w:val="7F7F6E1D"/>
    <w:rsid w:val="7F7FDD2E"/>
    <w:rsid w:val="7F86183D"/>
    <w:rsid w:val="7FC46E2A"/>
    <w:rsid w:val="7FC64498"/>
    <w:rsid w:val="7FCF601B"/>
    <w:rsid w:val="7FD868BB"/>
    <w:rsid w:val="7FF401DB"/>
    <w:rsid w:val="7FFA4074"/>
    <w:rsid w:val="7FFDA6DB"/>
    <w:rsid w:val="9F771589"/>
    <w:rsid w:val="9F9F76F1"/>
    <w:rsid w:val="A58F11A8"/>
    <w:rsid w:val="ADFBC615"/>
    <w:rsid w:val="BF97A7A4"/>
    <w:rsid w:val="BFD97BED"/>
    <w:rsid w:val="CB5F2647"/>
    <w:rsid w:val="CF6D1DC1"/>
    <w:rsid w:val="CFB7CF92"/>
    <w:rsid w:val="D4FC6B81"/>
    <w:rsid w:val="D5CE1F9C"/>
    <w:rsid w:val="D5D3CD60"/>
    <w:rsid w:val="D7EE33CE"/>
    <w:rsid w:val="DA1EE1BB"/>
    <w:rsid w:val="DCE7D296"/>
    <w:rsid w:val="DFFF01BD"/>
    <w:rsid w:val="DFFFE83E"/>
    <w:rsid w:val="E0AF397E"/>
    <w:rsid w:val="EF77D577"/>
    <w:rsid w:val="EFBCF625"/>
    <w:rsid w:val="F7EF0103"/>
    <w:rsid w:val="F7FC9030"/>
    <w:rsid w:val="FAF3DBB2"/>
    <w:rsid w:val="FB7D724C"/>
    <w:rsid w:val="FB998F73"/>
    <w:rsid w:val="FBBD4AE2"/>
    <w:rsid w:val="FBE75468"/>
    <w:rsid w:val="FBFECE74"/>
    <w:rsid w:val="FDBF892B"/>
    <w:rsid w:val="FDFF1C87"/>
    <w:rsid w:val="FE27FD00"/>
    <w:rsid w:val="FEBD524E"/>
    <w:rsid w:val="FEFE7CB5"/>
    <w:rsid w:val="FF7E33F1"/>
    <w:rsid w:val="FF9F2C81"/>
    <w:rsid w:val="FFD7392F"/>
    <w:rsid w:val="FFF34B2F"/>
    <w:rsid w:val="FFFCBF5D"/>
    <w:rsid w:val="FFFD4A7B"/>
    <w:rsid w:val="FFFDB105"/>
    <w:rsid w:val="FFFEE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autoRedefine/>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link w:val="41"/>
    <w:autoRedefine/>
    <w:unhideWhenUsed/>
    <w:qFormat/>
    <w:uiPriority w:val="99"/>
    <w:pPr>
      <w:spacing w:beforeAutospacing="1" w:afterAutospacing="1"/>
      <w:jc w:val="left"/>
      <w:outlineLvl w:val="2"/>
    </w:pPr>
    <w:rPr>
      <w:rFonts w:hint="eastAsia" w:ascii="宋体" w:hAnsi="宋体" w:eastAsia="宋体" w:cs="Times New Roman"/>
      <w:b/>
      <w:bCs/>
      <w:kern w:val="0"/>
      <w:sz w:val="27"/>
      <w:szCs w:val="27"/>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endnote text"/>
    <w:basedOn w:val="1"/>
    <w:autoRedefine/>
    <w:qFormat/>
    <w:uiPriority w:val="0"/>
  </w:style>
  <w:style w:type="paragraph" w:styleId="6">
    <w:name w:val="Normal Indent"/>
    <w:basedOn w:val="1"/>
    <w:autoRedefine/>
    <w:qFormat/>
    <w:uiPriority w:val="0"/>
    <w:pPr>
      <w:ind w:firstLine="420" w:firstLineChars="200"/>
    </w:pPr>
  </w:style>
  <w:style w:type="paragraph" w:styleId="7">
    <w:name w:val="annotation text"/>
    <w:basedOn w:val="1"/>
    <w:autoRedefine/>
    <w:qFormat/>
    <w:uiPriority w:val="0"/>
    <w:pPr>
      <w:jc w:val="left"/>
    </w:pPr>
  </w:style>
  <w:style w:type="paragraph" w:styleId="8">
    <w:name w:val="Body Text"/>
    <w:basedOn w:val="1"/>
    <w:next w:val="9"/>
    <w:link w:val="36"/>
    <w:autoRedefine/>
    <w:qFormat/>
    <w:uiPriority w:val="99"/>
    <w:pPr>
      <w:spacing w:after="120"/>
    </w:pPr>
  </w:style>
  <w:style w:type="paragraph" w:styleId="9">
    <w:name w:val="Body Text First Indent"/>
    <w:basedOn w:val="8"/>
    <w:next w:val="1"/>
    <w:autoRedefine/>
    <w:qFormat/>
    <w:uiPriority w:val="99"/>
    <w:pPr>
      <w:autoSpaceDE w:val="0"/>
      <w:autoSpaceDN w:val="0"/>
      <w:adjustRightInd w:val="0"/>
      <w:spacing w:after="0" w:line="600" w:lineRule="atLeast"/>
      <w:ind w:firstLine="652"/>
      <w:textAlignment w:val="baseline"/>
    </w:pPr>
    <w:rPr>
      <w:kern w:val="0"/>
      <w:szCs w:val="32"/>
    </w:rPr>
  </w:style>
  <w:style w:type="paragraph" w:styleId="10">
    <w:name w:val="Body Text Indent"/>
    <w:basedOn w:val="1"/>
    <w:link w:val="33"/>
    <w:autoRedefine/>
    <w:qFormat/>
    <w:uiPriority w:val="0"/>
    <w:pPr>
      <w:adjustRightInd w:val="0"/>
      <w:ind w:left="420" w:leftChars="200"/>
    </w:pPr>
  </w:style>
  <w:style w:type="paragraph" w:styleId="11">
    <w:name w:val="footer"/>
    <w:basedOn w:val="1"/>
    <w:link w:val="43"/>
    <w:autoRedefine/>
    <w:unhideWhenUsed/>
    <w:qFormat/>
    <w:uiPriority w:val="99"/>
    <w:pPr>
      <w:tabs>
        <w:tab w:val="center" w:pos="4153"/>
        <w:tab w:val="right" w:pos="8306"/>
      </w:tabs>
      <w:snapToGrid w:val="0"/>
      <w:spacing w:line="240" w:lineRule="auto"/>
      <w:ind w:firstLine="200" w:firstLineChars="200"/>
      <w:jc w:val="left"/>
    </w:pPr>
    <w:rPr>
      <w:rFonts w:ascii="Times New Roman" w:hAnsi="Times New Roman" w:cs="Times New Roman"/>
      <w:sz w:val="18"/>
      <w:szCs w:val="18"/>
    </w:rPr>
  </w:style>
  <w:style w:type="paragraph" w:styleId="12">
    <w:name w:val="header"/>
    <w:basedOn w:val="1"/>
    <w:link w:val="42"/>
    <w:autoRedefine/>
    <w:unhideWhenUsed/>
    <w:qFormat/>
    <w:uiPriority w:val="99"/>
    <w:pPr>
      <w:tabs>
        <w:tab w:val="center" w:pos="4153"/>
        <w:tab w:val="right" w:pos="8306"/>
      </w:tabs>
      <w:snapToGrid w:val="0"/>
      <w:spacing w:line="240" w:lineRule="auto"/>
      <w:ind w:firstLine="200" w:firstLineChars="200"/>
      <w:jc w:val="center"/>
    </w:pPr>
    <w:rPr>
      <w:rFonts w:ascii="Times New Roman" w:hAnsi="Times New Roman" w:cs="Times New Roman"/>
      <w:sz w:val="18"/>
      <w:szCs w:val="18"/>
    </w:rPr>
  </w:style>
  <w:style w:type="paragraph" w:styleId="13">
    <w:name w:val="toc 1"/>
    <w:basedOn w:val="1"/>
    <w:next w:val="1"/>
    <w:autoRedefine/>
    <w:qFormat/>
    <w:uiPriority w:val="39"/>
  </w:style>
  <w:style w:type="paragraph" w:styleId="14">
    <w:name w:val="footnote text"/>
    <w:basedOn w:val="1"/>
    <w:autoRedefine/>
    <w:qFormat/>
    <w:uiPriority w:val="0"/>
    <w:pPr>
      <w:snapToGrid w:val="0"/>
      <w:jc w:val="left"/>
    </w:pPr>
    <w:rPr>
      <w:sz w:val="18"/>
    </w:rPr>
  </w:style>
  <w:style w:type="paragraph" w:styleId="15">
    <w:name w:val="toc 6"/>
    <w:basedOn w:val="1"/>
    <w:next w:val="1"/>
    <w:autoRedefine/>
    <w:qFormat/>
    <w:uiPriority w:val="0"/>
    <w:pPr>
      <w:ind w:left="2100" w:leftChars="1000"/>
    </w:pPr>
  </w:style>
  <w:style w:type="paragraph" w:styleId="16">
    <w:name w:val="toc 2"/>
    <w:basedOn w:val="1"/>
    <w:next w:val="1"/>
    <w:autoRedefine/>
    <w:qFormat/>
    <w:uiPriority w:val="39"/>
    <w:pPr>
      <w:ind w:left="420" w:leftChars="200"/>
    </w:pPr>
  </w:style>
  <w:style w:type="paragraph" w:styleId="17">
    <w:name w:val="Normal (Web)"/>
    <w:basedOn w:val="1"/>
    <w:autoRedefine/>
    <w:qFormat/>
    <w:uiPriority w:val="0"/>
    <w:pPr>
      <w:spacing w:beforeAutospacing="1" w:afterAutospacing="1"/>
      <w:jc w:val="left"/>
    </w:pPr>
    <w:rPr>
      <w:rFonts w:cs="Times New Roman"/>
      <w:kern w:val="0"/>
      <w:sz w:val="24"/>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FollowedHyperlink"/>
    <w:basedOn w:val="20"/>
    <w:autoRedefine/>
    <w:qFormat/>
    <w:uiPriority w:val="0"/>
    <w:rPr>
      <w:color w:val="252525"/>
      <w:u w:val="none"/>
    </w:rPr>
  </w:style>
  <w:style w:type="character" w:styleId="23">
    <w:name w:val="Emphasis"/>
    <w:basedOn w:val="20"/>
    <w:autoRedefine/>
    <w:qFormat/>
    <w:uiPriority w:val="0"/>
  </w:style>
  <w:style w:type="character" w:styleId="24">
    <w:name w:val="HTML Definition"/>
    <w:basedOn w:val="20"/>
    <w:autoRedefine/>
    <w:qFormat/>
    <w:uiPriority w:val="0"/>
    <w:rPr>
      <w:i/>
      <w:iCs/>
    </w:rPr>
  </w:style>
  <w:style w:type="character" w:styleId="25">
    <w:name w:val="Hyperlink"/>
    <w:basedOn w:val="20"/>
    <w:autoRedefine/>
    <w:qFormat/>
    <w:uiPriority w:val="99"/>
    <w:rPr>
      <w:color w:val="252525"/>
      <w:u w:val="none"/>
    </w:rPr>
  </w:style>
  <w:style w:type="character" w:styleId="26">
    <w:name w:val="HTML Code"/>
    <w:basedOn w:val="20"/>
    <w:autoRedefine/>
    <w:qFormat/>
    <w:uiPriority w:val="0"/>
    <w:rPr>
      <w:rFonts w:ascii="Consolas" w:hAnsi="Consolas" w:eastAsia="Consolas" w:cs="Consolas"/>
      <w:color w:val="C7254E"/>
      <w:sz w:val="21"/>
      <w:szCs w:val="21"/>
      <w:shd w:val="clear" w:color="auto" w:fill="F9F2F4"/>
    </w:rPr>
  </w:style>
  <w:style w:type="character" w:styleId="27">
    <w:name w:val="annotation reference"/>
    <w:basedOn w:val="20"/>
    <w:autoRedefine/>
    <w:qFormat/>
    <w:uiPriority w:val="0"/>
    <w:rPr>
      <w:sz w:val="21"/>
      <w:szCs w:val="21"/>
    </w:rPr>
  </w:style>
  <w:style w:type="character" w:styleId="28">
    <w:name w:val="HTML Cite"/>
    <w:basedOn w:val="20"/>
    <w:autoRedefine/>
    <w:qFormat/>
    <w:uiPriority w:val="0"/>
  </w:style>
  <w:style w:type="character" w:styleId="29">
    <w:name w:val="footnote reference"/>
    <w:basedOn w:val="20"/>
    <w:autoRedefine/>
    <w:qFormat/>
    <w:uiPriority w:val="0"/>
    <w:rPr>
      <w:vertAlign w:val="superscript"/>
    </w:rPr>
  </w:style>
  <w:style w:type="character" w:styleId="30">
    <w:name w:val="HTML Keyboard"/>
    <w:basedOn w:val="20"/>
    <w:autoRedefine/>
    <w:qFormat/>
    <w:uiPriority w:val="0"/>
    <w:rPr>
      <w:rFonts w:hint="default" w:ascii="Consolas" w:hAnsi="Consolas" w:eastAsia="Consolas" w:cs="Consolas"/>
      <w:color w:val="FFFFFF"/>
      <w:sz w:val="21"/>
      <w:szCs w:val="21"/>
      <w:shd w:val="clear" w:color="auto" w:fill="333333"/>
    </w:rPr>
  </w:style>
  <w:style w:type="character" w:styleId="31">
    <w:name w:val="HTML Sample"/>
    <w:basedOn w:val="20"/>
    <w:autoRedefine/>
    <w:qFormat/>
    <w:uiPriority w:val="0"/>
    <w:rPr>
      <w:rFonts w:hint="default" w:ascii="Consolas" w:hAnsi="Consolas" w:eastAsia="Consolas" w:cs="Consolas"/>
      <w:sz w:val="21"/>
      <w:szCs w:val="21"/>
    </w:rPr>
  </w:style>
  <w:style w:type="paragraph" w:customStyle="1" w:styleId="32">
    <w:name w:val="正文首行缩进1"/>
    <w:basedOn w:val="8"/>
    <w:next w:val="1"/>
    <w:qFormat/>
    <w:uiPriority w:val="99"/>
    <w:pPr>
      <w:spacing w:line="500" w:lineRule="exact"/>
      <w:ind w:firstLine="420"/>
    </w:pPr>
    <w:rPr>
      <w:sz w:val="28"/>
    </w:rPr>
  </w:style>
  <w:style w:type="character" w:customStyle="1" w:styleId="33">
    <w:name w:val="正文文本缩进 字符"/>
    <w:basedOn w:val="20"/>
    <w:link w:val="10"/>
    <w:autoRedefine/>
    <w:qFormat/>
    <w:uiPriority w:val="0"/>
    <w:rPr>
      <w:rFonts w:eastAsia="仿宋_GB2312" w:asciiTheme="minorHAnsi" w:hAnsiTheme="minorHAnsi"/>
      <w:kern w:val="2"/>
      <w:sz w:val="32"/>
      <w:szCs w:val="22"/>
    </w:rPr>
  </w:style>
  <w:style w:type="character" w:customStyle="1" w:styleId="34">
    <w:name w:val="正文文本首行缩进 2 字符"/>
    <w:basedOn w:val="33"/>
    <w:autoRedefine/>
    <w:qFormat/>
    <w:uiPriority w:val="0"/>
    <w:rPr>
      <w:rFonts w:eastAsia="仿宋_GB2312" w:asciiTheme="minorHAnsi" w:hAnsiTheme="minorHAnsi"/>
      <w:kern w:val="2"/>
      <w:sz w:val="21"/>
      <w:szCs w:val="22"/>
    </w:rPr>
  </w:style>
  <w:style w:type="character" w:customStyle="1" w:styleId="35">
    <w:name w:val="bsharetext"/>
    <w:basedOn w:val="20"/>
    <w:qFormat/>
    <w:uiPriority w:val="0"/>
  </w:style>
  <w:style w:type="character" w:customStyle="1" w:styleId="36">
    <w:name w:val="正文文本 字符"/>
    <w:basedOn w:val="20"/>
    <w:link w:val="8"/>
    <w:autoRedefine/>
    <w:qFormat/>
    <w:uiPriority w:val="0"/>
    <w:rPr>
      <w:rFonts w:hint="default" w:ascii="Calibri" w:hAnsi="Calibri" w:eastAsia="仿宋_GB2312" w:cs="Calibri"/>
      <w:kern w:val="2"/>
      <w:sz w:val="32"/>
      <w:szCs w:val="24"/>
    </w:rPr>
  </w:style>
  <w:style w:type="character" w:customStyle="1" w:styleId="37">
    <w:name w:val="正文文本首行缩进 字符"/>
    <w:basedOn w:val="36"/>
    <w:autoRedefine/>
    <w:qFormat/>
    <w:uiPriority w:val="0"/>
    <w:rPr>
      <w:rFonts w:hint="default" w:ascii="Calibri" w:hAnsi="Calibri" w:eastAsia="仿宋_GB2312" w:cs="Calibri"/>
      <w:kern w:val="2"/>
      <w:sz w:val="32"/>
      <w:szCs w:val="24"/>
    </w:rPr>
  </w:style>
  <w:style w:type="paragraph" w:customStyle="1" w:styleId="38">
    <w:name w:val="正文文本首行缩进1"/>
    <w:basedOn w:val="8"/>
    <w:qFormat/>
    <w:uiPriority w:val="0"/>
    <w:pPr>
      <w:spacing w:after="0" w:line="500" w:lineRule="exact"/>
      <w:ind w:firstLine="420"/>
    </w:pPr>
    <w:rPr>
      <w:rFonts w:ascii="Calibri" w:hAnsi="Calibri" w:eastAsia="宋体" w:cs="Times New Roman"/>
      <w:sz w:val="28"/>
    </w:rPr>
  </w:style>
  <w:style w:type="paragraph" w:customStyle="1" w:styleId="39">
    <w:name w:val="Body Text First Indent1"/>
    <w:basedOn w:val="8"/>
    <w:next w:val="15"/>
    <w:autoRedefine/>
    <w:qFormat/>
    <w:uiPriority w:val="0"/>
    <w:pPr>
      <w:ind w:firstLine="420" w:firstLineChars="100"/>
    </w:pPr>
    <w:rPr>
      <w:rFonts w:ascii="Calibri" w:hAnsi="Calibri" w:eastAsia="方正小标宋简体" w:cs="Times New Roman"/>
      <w:sz w:val="44"/>
    </w:rPr>
  </w:style>
  <w:style w:type="character" w:customStyle="1" w:styleId="40">
    <w:name w:val="NormalCharacter"/>
    <w:autoRedefine/>
    <w:semiHidden/>
    <w:qFormat/>
    <w:locked/>
    <w:uiPriority w:val="99"/>
    <w:rPr>
      <w:kern w:val="2"/>
      <w:sz w:val="21"/>
      <w:szCs w:val="24"/>
      <w:lang w:val="en-US" w:eastAsia="zh-CN" w:bidi="ar-SA"/>
    </w:rPr>
  </w:style>
  <w:style w:type="character" w:customStyle="1" w:styleId="41">
    <w:name w:val="标题 3 字符"/>
    <w:basedOn w:val="20"/>
    <w:link w:val="5"/>
    <w:qFormat/>
    <w:uiPriority w:val="99"/>
    <w:rPr>
      <w:rFonts w:ascii="宋体" w:hAnsi="宋体"/>
      <w:b/>
      <w:bCs/>
      <w:sz w:val="27"/>
      <w:szCs w:val="27"/>
    </w:rPr>
  </w:style>
  <w:style w:type="character" w:customStyle="1" w:styleId="42">
    <w:name w:val="页眉 字符"/>
    <w:basedOn w:val="20"/>
    <w:link w:val="12"/>
    <w:autoRedefine/>
    <w:qFormat/>
    <w:uiPriority w:val="99"/>
    <w:rPr>
      <w:rFonts w:eastAsia="仿宋_GB2312"/>
      <w:kern w:val="2"/>
      <w:sz w:val="18"/>
      <w:szCs w:val="18"/>
    </w:rPr>
  </w:style>
  <w:style w:type="character" w:customStyle="1" w:styleId="43">
    <w:name w:val="页脚 字符"/>
    <w:basedOn w:val="20"/>
    <w:link w:val="11"/>
    <w:autoRedefine/>
    <w:qFormat/>
    <w:uiPriority w:val="99"/>
    <w:rPr>
      <w:rFonts w:eastAsia="仿宋_GB2312"/>
      <w:kern w:val="2"/>
      <w:sz w:val="18"/>
      <w:szCs w:val="18"/>
    </w:rPr>
  </w:style>
  <w:style w:type="paragraph" w:customStyle="1" w:styleId="44">
    <w:name w:val="修订1"/>
    <w:autoRedefine/>
    <w:hidden/>
    <w:unhideWhenUsed/>
    <w:qFormat/>
    <w:uiPriority w:val="99"/>
    <w:rPr>
      <w:rFonts w:eastAsia="仿宋_GB2312" w:asciiTheme="minorHAnsi" w:hAnsiTheme="minorHAnsi" w:cstheme="minorBidi"/>
      <w:kern w:val="2"/>
      <w:sz w:val="32"/>
      <w:szCs w:val="24"/>
      <w:lang w:val="en-US" w:eastAsia="zh-CN" w:bidi="ar-SA"/>
    </w:rPr>
  </w:style>
  <w:style w:type="character" w:customStyle="1" w:styleId="45">
    <w:name w:val="fontstyle01"/>
    <w:basedOn w:val="20"/>
    <w:qFormat/>
    <w:uiPriority w:val="0"/>
    <w:rPr>
      <w:rFonts w:hint="eastAsia" w:ascii="楷体_GB2312" w:eastAsia="楷体_GB2312"/>
      <w:color w:val="000000"/>
      <w:sz w:val="32"/>
      <w:szCs w:val="32"/>
    </w:rPr>
  </w:style>
  <w:style w:type="character" w:customStyle="1" w:styleId="46">
    <w:name w:val="fontstyle21"/>
    <w:basedOn w:val="20"/>
    <w:qFormat/>
    <w:uiPriority w:val="0"/>
    <w:rPr>
      <w:rFonts w:hint="eastAsia" w:ascii="宋体" w:hAnsi="宋体" w:eastAsia="宋体"/>
      <w:color w:val="000000"/>
      <w:sz w:val="30"/>
      <w:szCs w:val="30"/>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
    <w:name w:val="表格文字"/>
    <w:basedOn w:val="1"/>
    <w:next w:val="8"/>
    <w:qFormat/>
    <w:uiPriority w:val="0"/>
    <w:pPr>
      <w:spacing w:line="420" w:lineRule="atLeast"/>
    </w:pPr>
    <w:rPr>
      <w:rFonts w:ascii="Times New Roman" w:hAnsi="Times New Roman"/>
    </w:rPr>
  </w:style>
  <w:style w:type="table" w:customStyle="1" w:styleId="50">
    <w:name w:val="Table Normal"/>
    <w:unhideWhenUsed/>
    <w:qFormat/>
    <w:uiPriority w:val="0"/>
    <w:tblPr>
      <w:tblCellMar>
        <w:top w:w="0" w:type="dxa"/>
        <w:left w:w="0" w:type="dxa"/>
        <w:bottom w:w="0" w:type="dxa"/>
        <w:right w:w="0" w:type="dxa"/>
      </w:tblCellMar>
    </w:tblPr>
  </w:style>
  <w:style w:type="paragraph" w:styleId="51">
    <w:name w:val="List Paragraph"/>
    <w:basedOn w:val="1"/>
    <w:unhideWhenUsed/>
    <w:qFormat/>
    <w:uiPriority w:val="99"/>
    <w:pPr>
      <w:ind w:firstLine="420" w:firstLineChars="200"/>
    </w:pPr>
  </w:style>
  <w:style w:type="character" w:customStyle="1" w:styleId="52">
    <w:name w:val="font71"/>
    <w:basedOn w:val="20"/>
    <w:qFormat/>
    <w:uiPriority w:val="0"/>
    <w:rPr>
      <w:rFonts w:hint="default" w:ascii="Times New Roman" w:hAnsi="Times New Roman" w:cs="Times New Roman"/>
      <w:b/>
      <w:bCs/>
      <w:color w:val="000000"/>
      <w:sz w:val="20"/>
      <w:szCs w:val="20"/>
      <w:u w:val="none"/>
    </w:rPr>
  </w:style>
  <w:style w:type="character" w:customStyle="1" w:styleId="53">
    <w:name w:val="font81"/>
    <w:basedOn w:val="20"/>
    <w:qFormat/>
    <w:uiPriority w:val="0"/>
    <w:rPr>
      <w:rFonts w:hint="eastAsia" w:ascii="宋体" w:hAnsi="宋体" w:eastAsia="宋体" w:cs="宋体"/>
      <w:b/>
      <w:bCs/>
      <w:color w:val="000000"/>
      <w:sz w:val="20"/>
      <w:szCs w:val="20"/>
      <w:u w:val="none"/>
    </w:rPr>
  </w:style>
  <w:style w:type="character" w:customStyle="1" w:styleId="54">
    <w:name w:val="font112"/>
    <w:basedOn w:val="20"/>
    <w:qFormat/>
    <w:uiPriority w:val="0"/>
    <w:rPr>
      <w:rFonts w:hint="eastAsia" w:ascii="宋体" w:hAnsi="宋体" w:eastAsia="宋体" w:cs="宋体"/>
      <w:color w:val="000000"/>
      <w:sz w:val="18"/>
      <w:szCs w:val="18"/>
      <w:u w:val="none"/>
    </w:rPr>
  </w:style>
  <w:style w:type="character" w:customStyle="1" w:styleId="55">
    <w:name w:val="font11"/>
    <w:basedOn w:val="20"/>
    <w:autoRedefine/>
    <w:qFormat/>
    <w:uiPriority w:val="0"/>
    <w:rPr>
      <w:rFonts w:hint="eastAsia" w:ascii="宋体" w:hAnsi="宋体" w:eastAsia="宋体" w:cs="宋体"/>
      <w:b/>
      <w:bCs/>
      <w:color w:val="000000"/>
      <w:sz w:val="18"/>
      <w:szCs w:val="18"/>
      <w:u w:val="none"/>
    </w:rPr>
  </w:style>
  <w:style w:type="character" w:customStyle="1" w:styleId="56">
    <w:name w:val="font61"/>
    <w:basedOn w:val="20"/>
    <w:autoRedefine/>
    <w:qFormat/>
    <w:uiPriority w:val="0"/>
    <w:rPr>
      <w:rFonts w:hint="eastAsia" w:ascii="宋体" w:hAnsi="宋体" w:eastAsia="宋体" w:cs="宋体"/>
      <w:color w:val="000000"/>
      <w:sz w:val="20"/>
      <w:szCs w:val="20"/>
      <w:u w:val="none"/>
    </w:rPr>
  </w:style>
  <w:style w:type="character" w:customStyle="1" w:styleId="57">
    <w:name w:val="font91"/>
    <w:basedOn w:val="20"/>
    <w:autoRedefine/>
    <w:qFormat/>
    <w:uiPriority w:val="0"/>
    <w:rPr>
      <w:rFonts w:hint="default" w:ascii="Times New Roman" w:hAnsi="Times New Roman" w:cs="Times New Roman"/>
      <w:color w:val="000000"/>
      <w:sz w:val="20"/>
      <w:szCs w:val="20"/>
      <w:u w:val="none"/>
    </w:rPr>
  </w:style>
  <w:style w:type="character" w:customStyle="1" w:styleId="58">
    <w:name w:val="font31"/>
    <w:basedOn w:val="20"/>
    <w:autoRedefine/>
    <w:qFormat/>
    <w:uiPriority w:val="0"/>
    <w:rPr>
      <w:rFonts w:hint="default" w:ascii="Times New Roman" w:hAnsi="Times New Roman" w:cs="Times New Roman"/>
      <w:color w:val="000000"/>
      <w:sz w:val="21"/>
      <w:szCs w:val="21"/>
      <w:u w:val="none"/>
    </w:rPr>
  </w:style>
  <w:style w:type="character" w:customStyle="1" w:styleId="59">
    <w:name w:val="font101"/>
    <w:basedOn w:val="20"/>
    <w:autoRedefine/>
    <w:qFormat/>
    <w:uiPriority w:val="0"/>
    <w:rPr>
      <w:rFonts w:hint="eastAsia" w:ascii="宋体" w:hAnsi="宋体" w:eastAsia="宋体" w:cs="宋体"/>
      <w:color w:val="000000"/>
      <w:sz w:val="21"/>
      <w:szCs w:val="21"/>
      <w:u w:val="none"/>
    </w:rPr>
  </w:style>
  <w:style w:type="character" w:customStyle="1" w:styleId="60">
    <w:name w:val="font41"/>
    <w:basedOn w:val="20"/>
    <w:autoRedefine/>
    <w:qFormat/>
    <w:uiPriority w:val="0"/>
    <w:rPr>
      <w:rFonts w:hint="eastAsia" w:ascii="宋体" w:hAnsi="宋体" w:eastAsia="宋体" w:cs="宋体"/>
      <w:color w:val="000000"/>
      <w:sz w:val="20"/>
      <w:szCs w:val="20"/>
      <w:u w:val="none"/>
    </w:rPr>
  </w:style>
  <w:style w:type="character" w:customStyle="1" w:styleId="61">
    <w:name w:val="font161"/>
    <w:basedOn w:val="20"/>
    <w:autoRedefine/>
    <w:qFormat/>
    <w:uiPriority w:val="0"/>
    <w:rPr>
      <w:rFonts w:hint="default" w:ascii="Times New Roman" w:hAnsi="Times New Roman" w:cs="Times New Roman"/>
      <w:color w:val="000000"/>
      <w:sz w:val="20"/>
      <w:szCs w:val="20"/>
      <w:u w:val="none"/>
    </w:rPr>
  </w:style>
  <w:style w:type="character" w:customStyle="1" w:styleId="62">
    <w:name w:val="font122"/>
    <w:basedOn w:val="20"/>
    <w:autoRedefine/>
    <w:qFormat/>
    <w:uiPriority w:val="0"/>
    <w:rPr>
      <w:rFonts w:hint="eastAsia" w:ascii="宋体" w:hAnsi="宋体" w:eastAsia="宋体" w:cs="宋体"/>
      <w:color w:val="000000"/>
      <w:sz w:val="18"/>
      <w:szCs w:val="18"/>
      <w:u w:val="none"/>
    </w:rPr>
  </w:style>
  <w:style w:type="character" w:customStyle="1" w:styleId="63">
    <w:name w:val="font12"/>
    <w:basedOn w:val="20"/>
    <w:autoRedefine/>
    <w:qFormat/>
    <w:uiPriority w:val="0"/>
    <w:rPr>
      <w:rFonts w:hint="eastAsia" w:ascii="宋体" w:hAnsi="宋体" w:eastAsia="宋体" w:cs="宋体"/>
      <w:b/>
      <w:bCs/>
      <w:color w:val="000000"/>
      <w:sz w:val="18"/>
      <w:szCs w:val="18"/>
      <w:u w:val="none"/>
    </w:rPr>
  </w:style>
  <w:style w:type="character" w:customStyle="1" w:styleId="64">
    <w:name w:val="font171"/>
    <w:basedOn w:val="20"/>
    <w:autoRedefine/>
    <w:qFormat/>
    <w:uiPriority w:val="0"/>
    <w:rPr>
      <w:rFonts w:hint="default" w:ascii="Times New Roman" w:hAnsi="Times New Roman" w:cs="Times New Roman"/>
      <w:color w:val="000000"/>
      <w:sz w:val="20"/>
      <w:szCs w:val="20"/>
      <w:u w:val="none"/>
    </w:rPr>
  </w:style>
  <w:style w:type="character" w:customStyle="1" w:styleId="65">
    <w:name w:val="font111"/>
    <w:basedOn w:val="20"/>
    <w:autoRedefine/>
    <w:qFormat/>
    <w:uiPriority w:val="0"/>
    <w:rPr>
      <w:rFonts w:hint="default" w:ascii="Times New Roman" w:hAnsi="Times New Roman" w:cs="Times New Roman"/>
      <w:color w:val="000000"/>
      <w:sz w:val="21"/>
      <w:szCs w:val="21"/>
      <w:u w:val="none"/>
    </w:rPr>
  </w:style>
  <w:style w:type="character" w:customStyle="1" w:styleId="66">
    <w:name w:val="font21"/>
    <w:basedOn w:val="20"/>
    <w:autoRedefine/>
    <w:qFormat/>
    <w:uiPriority w:val="0"/>
    <w:rPr>
      <w:rFonts w:hint="eastAsia" w:ascii="宋体" w:hAnsi="宋体" w:eastAsia="宋体" w:cs="宋体"/>
      <w:color w:val="000000"/>
      <w:sz w:val="20"/>
      <w:szCs w:val="20"/>
      <w:u w:val="none"/>
    </w:rPr>
  </w:style>
  <w:style w:type="character" w:customStyle="1" w:styleId="67">
    <w:name w:val="font01"/>
    <w:basedOn w:val="20"/>
    <w:autoRedefine/>
    <w:qFormat/>
    <w:uiPriority w:val="0"/>
    <w:rPr>
      <w:rFonts w:hint="eastAsia" w:ascii="宋体" w:hAnsi="宋体" w:eastAsia="宋体" w:cs="宋体"/>
      <w:color w:val="000000"/>
      <w:sz w:val="20"/>
      <w:szCs w:val="20"/>
      <w:u w:val="none"/>
    </w:rPr>
  </w:style>
  <w:style w:type="paragraph" w:customStyle="1" w:styleId="68">
    <w:name w:val="修订2"/>
    <w:autoRedefine/>
    <w:hidden/>
    <w:semiHidden/>
    <w:qFormat/>
    <w:uiPriority w:val="99"/>
    <w:rPr>
      <w:rFonts w:eastAsia="仿宋_GB2312" w:asciiTheme="minorHAnsi" w:hAnsiTheme="minorHAnsi" w:cstheme="minorBidi"/>
      <w:kern w:val="2"/>
      <w:sz w:val="32"/>
      <w:szCs w:val="24"/>
      <w:lang w:val="en-US" w:eastAsia="zh-CN" w:bidi="ar-SA"/>
    </w:rPr>
  </w:style>
  <w:style w:type="paragraph" w:customStyle="1" w:styleId="69">
    <w:name w:val="Revision"/>
    <w:autoRedefine/>
    <w:hidden/>
    <w:unhideWhenUsed/>
    <w:qFormat/>
    <w:uiPriority w:val="99"/>
    <w:rPr>
      <w:rFonts w:eastAsia="仿宋_GB2312" w:asciiTheme="minorHAnsi" w:hAnsiTheme="minorHAnsi"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148</Pages>
  <Words>1505</Words>
  <Characters>1574</Characters>
  <Lines>901</Lines>
  <Paragraphs>253</Paragraphs>
  <TotalTime>13</TotalTime>
  <ScaleCrop>false</ScaleCrop>
  <LinksUpToDate>false</LinksUpToDate>
  <CharactersWithSpaces>1761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2023-10-13T16:59:00Z</dcterms:created>
  <dc:creator>ZF</dc:creator>
  <cp:lastModifiedBy>拉克</cp:lastModifiedBy>
  <cp:lastPrinted>2023-10-09T23:15:00Z</cp:lastPrinted>
  <dcterms:modified xsi:type="dcterms:W3CDTF">2025-06-23T08:44:30Z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AEB9CC37EE6340208ED3AEC9486FFF74</vt:lpwstr>
  </property>
  <property fmtid="{D5CDD505-2E9C-101B-9397-08002B2CF9AE}" pid="4" name="KSOTemplateDocerSaveRecord">
    <vt:lpwstr>eyJoZGlkIjoiNzM4ZWFmY2JjNDQ0OTc5NzhjZDgxMzdkY2M4ZjExNjEiLCJ1c2VySWQiOiI5NzAyOTYxOTAifQ==</vt:lpwstr>
  </property>
</Properties>
</file>