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val="0"/>
        <w:autoSpaceDN w:val="0"/>
        <w:bidi w:val="0"/>
        <w:adjustRightInd w:val="0"/>
        <w:snapToGrid w:val="0"/>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val="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w:t>
      </w:r>
      <w:r>
        <w:rPr>
          <w:rFonts w:hint="eastAsia" w:eastAsia="方正小标宋简体" w:cs="Times New Roman"/>
          <w:b w:val="0"/>
          <w:bCs w:val="0"/>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w:t>
      </w:r>
      <w:r>
        <w:rPr>
          <w:rFonts w:hint="eastAsia" w:eastAsia="方正小标宋简体" w:cs="Times New Roman"/>
          <w:b w:val="0"/>
          <w:bCs w:val="0"/>
          <w:color w:val="000000" w:themeColor="text1"/>
          <w:sz w:val="44"/>
          <w:szCs w:val="44"/>
          <w:lang w:val="en-US" w:eastAsia="zh-CN"/>
          <w14:textFill>
            <w14:solidFill>
              <w14:schemeClr w14:val="tx1"/>
            </w14:solidFill>
          </w14:textFill>
        </w:rPr>
        <w:t>5</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年绍兴市</w:t>
      </w:r>
      <w:r>
        <w:rPr>
          <w:rFonts w:hint="default" w:ascii="Times New Roman" w:hAnsi="Times New Roman" w:eastAsia="方正小标宋简体" w:cs="Times New Roman"/>
          <w:b w:val="0"/>
          <w:bCs w:val="0"/>
          <w:color w:val="000000" w:themeColor="text1"/>
          <w:sz w:val="44"/>
          <w:szCs w:val="44"/>
          <w:lang w:val="zh-CN"/>
          <w14:textFill>
            <w14:solidFill>
              <w14:schemeClr w14:val="tx1"/>
            </w14:solidFill>
          </w14:textFill>
        </w:rPr>
        <w:t>茶叶低温气象指数</w:t>
      </w:r>
    </w:p>
    <w:p>
      <w:pPr>
        <w:keepNext w:val="0"/>
        <w:keepLines w:val="0"/>
        <w:pageBreakBefore w:val="0"/>
        <w:widowControl w:val="0"/>
        <w:shd w:val="clear"/>
        <w:kinsoku/>
        <w:wordWrap/>
        <w:overflowPunct/>
        <w:topLinePunct w:val="0"/>
        <w:autoSpaceDE w:val="0"/>
        <w:autoSpaceDN w:val="0"/>
        <w:bidi w:val="0"/>
        <w:adjustRightInd w:val="0"/>
        <w:snapToGrid w:val="0"/>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zh-CN"/>
          <w14:textFill>
            <w14:solidFill>
              <w14:schemeClr w14:val="tx1"/>
            </w14:solidFill>
          </w14:textFill>
        </w:rPr>
        <w:t>保险试点</w:t>
      </w: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方</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案</w:t>
      </w:r>
    </w:p>
    <w:p>
      <w:pPr>
        <w:keepNext w:val="0"/>
        <w:keepLines w:val="0"/>
        <w:pageBreakBefore w:val="0"/>
        <w:widowControl w:val="0"/>
        <w:shd w:val="clear"/>
        <w:kinsoku/>
        <w:wordWrap/>
        <w:overflowPunct/>
        <w:topLinePunct w:val="0"/>
        <w:autoSpaceDE w:val="0"/>
        <w:autoSpaceDN w:val="0"/>
        <w:bidi w:val="0"/>
        <w:adjustRightInd w:val="0"/>
        <w:snapToGrid w:val="0"/>
        <w:spacing w:line="580" w:lineRule="exact"/>
        <w:ind w:left="0" w:leftChars="0" w:right="0" w:rightChars="0" w:firstLine="0" w:firstLineChars="0"/>
        <w:jc w:val="center"/>
        <w:textAlignment w:val="auto"/>
        <w:rPr>
          <w:rFonts w:hint="eastAsia" w:ascii="楷体_GB2312" w:hAnsi="楷体_GB2312" w:eastAsia="楷体_GB2312" w:cs="楷体_GB2312"/>
          <w:b w:val="0"/>
          <w:bCs w:val="0"/>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（征求意见稿）</w:t>
      </w:r>
    </w:p>
    <w:p>
      <w:pPr>
        <w:keepNext w:val="0"/>
        <w:keepLines w:val="0"/>
        <w:pageBreakBefore w:val="0"/>
        <w:widowControl w:val="0"/>
        <w:shd w:val="clear"/>
        <w:kinsoku/>
        <w:wordWrap/>
        <w:overflowPunct/>
        <w:topLinePunct w:val="0"/>
        <w:autoSpaceDE w:val="0"/>
        <w:autoSpaceDN w:val="0"/>
        <w:bidi w:val="0"/>
        <w:adjustRightInd w:val="0"/>
        <w:snapToGrid w:val="0"/>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为贯彻落实中央、省关于开展政策性农业保险有关精神</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根据中共绍兴市委办公室、绍兴市人民政府办公室《印发修订后的〈关于进一步促进经济高质量发展的若干意见〉等4个政策文件的通知》（绍市委办发〔2023〕3号）、绍兴市农业农村局等五部门《关于印发〈关于加快推动“三农”高质量发展的若干政策实施细则〉（2023年修订版）的通知》（绍市农〔2023〕2号）文件精神，针对我市茶叶产业现状，决定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年继续对具有一定生产规模的茶叶种植基地开展茶叶低温气象指数保险（以下简称“茶叶气象指数保险”）。具体方案如下。</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一、指导思想</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以习近平新时代中国特色社会主义思想为指引，以服务“三农”为宗旨，实行政策扶持与商业化运作相结合，积极探索特色农业保险创新模式，建立茶叶种植生产风险防控体系，积极扶持茶产业发展。</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 xml:space="preserve"> 二、基本原则</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以《农业保险条例》为指引，遵循下列基本原则：</w:t>
      </w:r>
    </w:p>
    <w:p>
      <w:pPr>
        <w:keepNext w:val="0"/>
        <w:keepLines w:val="0"/>
        <w:pageBreakBefore w:val="0"/>
        <w:widowControl w:val="0"/>
        <w:shd w:val="clear"/>
        <w:kinsoku/>
        <w:wordWrap/>
        <w:overflowPunct/>
        <w:topLinePunct w:val="0"/>
        <w:bidi w:val="0"/>
        <w:adjustRightInd w:val="0"/>
        <w:snapToGrid w:val="0"/>
        <w:spacing w:line="580" w:lineRule="exact"/>
        <w:ind w:firstLine="602" w:firstLineChars="196"/>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（一）政府引导。</w:t>
      </w:r>
      <w:r>
        <w:rPr>
          <w:rFonts w:hint="default" w:ascii="Times New Roman" w:hAnsi="Times New Roman" w:eastAsia="仿宋_GB2312" w:cs="Times New Roman"/>
          <w:b w:val="0"/>
          <w:bCs/>
          <w:color w:val="000000" w:themeColor="text1"/>
          <w:sz w:val="32"/>
          <w:szCs w:val="32"/>
          <w14:textFill>
            <w14:solidFill>
              <w14:schemeClr w14:val="tx1"/>
            </w14:solidFill>
          </w14:textFill>
        </w:rPr>
        <w:t>运用政策补贴的杠杆手段，发挥政府组织推</w:t>
      </w:r>
      <w:r>
        <w:rPr>
          <w:rFonts w:hint="default" w:ascii="Times New Roman" w:hAnsi="Times New Roman" w:eastAsia="仿宋_GB2312" w:cs="Times New Roman"/>
          <w:color w:val="000000" w:themeColor="text1"/>
          <w:sz w:val="32"/>
          <w:szCs w:val="32"/>
          <w14:textFill>
            <w14:solidFill>
              <w14:schemeClr w14:val="tx1"/>
            </w14:solidFill>
          </w14:textFill>
        </w:rPr>
        <w:t>动作用，引导和鼓励茶叶生产主体参加“茶叶气象指数保险”，推进特色农业保险的开展。</w:t>
      </w:r>
    </w:p>
    <w:p>
      <w:pPr>
        <w:keepNext w:val="0"/>
        <w:keepLines w:val="0"/>
        <w:pageBreakBefore w:val="0"/>
        <w:widowControl w:val="0"/>
        <w:shd w:val="clear"/>
        <w:kinsoku/>
        <w:wordWrap/>
        <w:overflowPunct/>
        <w:topLinePunct w:val="0"/>
        <w:bidi w:val="0"/>
        <w:adjustRightInd w:val="0"/>
        <w:snapToGrid w:val="0"/>
        <w:spacing w:line="580" w:lineRule="exact"/>
        <w:ind w:firstLine="602" w:firstLineChars="196"/>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（二）市场运作。</w:t>
      </w:r>
      <w:r>
        <w:rPr>
          <w:rFonts w:hint="default" w:ascii="Times New Roman" w:hAnsi="Times New Roman" w:eastAsia="仿宋_GB2312" w:cs="Times New Roman"/>
          <w:b w:val="0"/>
          <w:bCs/>
          <w:color w:val="000000" w:themeColor="text1"/>
          <w:sz w:val="32"/>
          <w:szCs w:val="32"/>
          <w14:textFill>
            <w14:solidFill>
              <w14:schemeClr w14:val="tx1"/>
            </w14:solidFill>
          </w14:textFill>
        </w:rPr>
        <w:t>遵循市场经济规律，运用市场化手段，发挥保险机构专业化风险防控优势，防范和化解茶叶种植风险。</w:t>
      </w:r>
    </w:p>
    <w:p>
      <w:pPr>
        <w:keepNext w:val="0"/>
        <w:keepLines w:val="0"/>
        <w:pageBreakBefore w:val="0"/>
        <w:widowControl w:val="0"/>
        <w:shd w:val="clear"/>
        <w:kinsoku/>
        <w:wordWrap/>
        <w:overflowPunct/>
        <w:topLinePunct w:val="0"/>
        <w:bidi w:val="0"/>
        <w:adjustRightInd w:val="0"/>
        <w:snapToGrid w:val="0"/>
        <w:spacing w:line="580" w:lineRule="exact"/>
        <w:ind w:firstLine="602" w:firstLineChars="196"/>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（三）自主自愿。</w:t>
      </w:r>
      <w:r>
        <w:rPr>
          <w:rFonts w:hint="default" w:ascii="Times New Roman" w:hAnsi="Times New Roman" w:eastAsia="仿宋_GB2312" w:cs="Times New Roman"/>
          <w:b w:val="0"/>
          <w:bCs/>
          <w:color w:val="000000" w:themeColor="text1"/>
          <w:sz w:val="32"/>
          <w:szCs w:val="32"/>
          <w14:textFill>
            <w14:solidFill>
              <w14:schemeClr w14:val="tx1"/>
            </w14:solidFill>
          </w14:textFill>
        </w:rPr>
        <w:t>茶叶生产主体自愿参加“茶叶气象指数保险”。</w:t>
      </w:r>
    </w:p>
    <w:p>
      <w:pPr>
        <w:keepNext w:val="0"/>
        <w:keepLines w:val="0"/>
        <w:pageBreakBefore w:val="0"/>
        <w:widowControl w:val="0"/>
        <w:shd w:val="clear"/>
        <w:kinsoku/>
        <w:wordWrap/>
        <w:overflowPunct/>
        <w:topLinePunct w:val="0"/>
        <w:bidi w:val="0"/>
        <w:adjustRightInd w:val="0"/>
        <w:snapToGrid w:val="0"/>
        <w:spacing w:line="580" w:lineRule="exact"/>
        <w:ind w:firstLine="599" w:firstLineChars="19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（四）协同推进。</w:t>
      </w:r>
      <w:r>
        <w:rPr>
          <w:rFonts w:hint="default" w:ascii="Times New Roman" w:hAnsi="Times New Roman" w:eastAsia="仿宋_GB2312" w:cs="Times New Roman"/>
          <w:b w:val="0"/>
          <w:bCs/>
          <w:color w:val="000000" w:themeColor="text1"/>
          <w:sz w:val="32"/>
          <w:szCs w:val="32"/>
          <w14:textFill>
            <w14:solidFill>
              <w14:schemeClr w14:val="tx1"/>
            </w14:solidFill>
          </w14:textFill>
        </w:rPr>
        <w:t>各级政</w:t>
      </w:r>
      <w:r>
        <w:rPr>
          <w:rFonts w:hint="default" w:ascii="Times New Roman" w:hAnsi="Times New Roman" w:eastAsia="仿宋_GB2312" w:cs="Times New Roman"/>
          <w:color w:val="000000" w:themeColor="text1"/>
          <w:sz w:val="32"/>
          <w:szCs w:val="32"/>
          <w14:textFill>
            <w14:solidFill>
              <w14:schemeClr w14:val="tx1"/>
            </w14:solidFill>
          </w14:textFill>
        </w:rPr>
        <w:t>府农业</w:t>
      </w:r>
      <w:r>
        <w:rPr>
          <w:rFonts w:hint="eastAsia" w:eastAsia="仿宋_GB2312" w:cs="Times New Roman"/>
          <w:color w:val="000000" w:themeColor="text1"/>
          <w:sz w:val="32"/>
          <w:szCs w:val="32"/>
          <w:lang w:eastAsia="zh-CN"/>
          <w14:textFill>
            <w14:solidFill>
              <w14:schemeClr w14:val="tx1"/>
            </w14:solidFill>
          </w14:textFill>
        </w:rPr>
        <w:t>农村</w:t>
      </w:r>
      <w:r>
        <w:rPr>
          <w:rFonts w:hint="default" w:ascii="Times New Roman" w:hAnsi="Times New Roman" w:eastAsia="仿宋_GB2312" w:cs="Times New Roman"/>
          <w:color w:val="000000" w:themeColor="text1"/>
          <w:sz w:val="32"/>
          <w:szCs w:val="32"/>
          <w14:textFill>
            <w14:solidFill>
              <w14:schemeClr w14:val="tx1"/>
            </w14:solidFill>
          </w14:textFill>
        </w:rPr>
        <w:t>、财政、气象等部门相互配合，共同推进保险工作，同时积极支持保险公司开展相关工作，并对其进行相应指导和监督。</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三、保险模式</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政府主导下，保险公司与政府相关职能部门共同制定推进方案；在政府专项扶持资金和建立灾害保障机制的支持下，保险公司自主经营、自负盈亏、自担风险；依托政府与保险机构的基层服务网络体系，依托气象部门提供的准确气象监测数据，实施承保、理赔服务工作。</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四、承保区域和对象</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承保区域为绍兴市域范围内，符合投保条件的茶叶种植大户、茶叶专业合作社、茶叶企业或村集体等茶叶生产主体，均可作为投保人或被保险人。投保条件如下：</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（一）茶园连片集中，产地环境条件符合农业行业标准；</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（二）连片种植面积10亩（含）以上，且树龄3年以上；</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（三）茶叶生产主体信誉良好，无违法违纪记录。</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五、保障范围</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sz w:val="32"/>
          <w:szCs w:val="32"/>
          <w14:textFill>
            <w14:solidFill>
              <w14:schemeClr w14:val="tx1"/>
            </w14:solidFill>
          </w14:textFill>
        </w:rPr>
        <w:t>（一）保险标的</w:t>
      </w:r>
    </w:p>
    <w:p>
      <w:pPr>
        <w:keepNext w:val="0"/>
        <w:keepLines w:val="0"/>
        <w:pageBreakBefore w:val="0"/>
        <w:widowControl w:val="0"/>
        <w:shd w:val="clear"/>
        <w:kinsoku/>
        <w:wordWrap/>
        <w:overflowPunct/>
        <w:topLinePunct w:val="0"/>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茶叶。</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sz w:val="32"/>
          <w:szCs w:val="32"/>
          <w14:textFill>
            <w14:solidFill>
              <w14:schemeClr w14:val="tx1"/>
            </w14:solidFill>
          </w14:textFill>
        </w:rPr>
        <w:t>（二）保险期限</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保险期限为202</w:t>
      </w:r>
      <w:r>
        <w:rPr>
          <w:rFonts w:hint="eastAsia" w:eastAsia="仿宋_GB2312"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14:textFill>
            <w14:solidFill>
              <w14:schemeClr w14:val="tx1"/>
            </w14:solidFill>
          </w14:textFill>
        </w:rPr>
        <w:t>年～202</w:t>
      </w:r>
      <w:r>
        <w:rPr>
          <w:rFonts w:hint="eastAsia" w:eastAsia="仿宋_GB2312"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14:textFill>
            <w14:solidFill>
              <w14:schemeClr w14:val="tx1"/>
            </w14:solidFill>
          </w14:textFill>
        </w:rPr>
        <w:t>年每年2月21日～4月20日。</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楷体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sz w:val="32"/>
          <w:szCs w:val="32"/>
          <w14:textFill>
            <w14:solidFill>
              <w14:schemeClr w14:val="tx1"/>
            </w14:solidFill>
          </w14:textFill>
        </w:rPr>
        <w:t>（三）保险责任</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在保险期限内，因低温原因造成保险标的损失，按保险合同双</w:t>
      </w:r>
      <w:r>
        <w:rPr>
          <w:rFonts w:hint="default" w:ascii="Times New Roman" w:hAnsi="Times New Roman" w:eastAsia="仿宋_GB2312" w:cs="Times New Roman"/>
          <w:color w:val="000000" w:themeColor="text1"/>
          <w:sz w:val="32"/>
          <w:szCs w:val="32"/>
          <w14:textFill>
            <w14:solidFill>
              <w14:schemeClr w14:val="tx1"/>
            </w14:solidFill>
          </w14:textFill>
        </w:rPr>
        <w:t>方约定的承保区域内气象观测站实测日最低气温在0℃（含）以下时视为保险事故发生，保险人按保险合同约定负责赔偿。</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楷体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themeColor="text1"/>
          <w:sz w:val="32"/>
          <w:szCs w:val="32"/>
          <w14:textFill>
            <w14:solidFill>
              <w14:schemeClr w14:val="tx1"/>
            </w14:solidFill>
          </w14:textFill>
        </w:rPr>
        <w:t>（四）保险金额和保险费</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1.保险金额：1500元/亩；</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2.保险费：每亩保险费=每亩保险金额×费率；</w:t>
      </w:r>
    </w:p>
    <w:p>
      <w:pPr>
        <w:keepNext w:val="0"/>
        <w:keepLines w:val="0"/>
        <w:pageBreakBefore w:val="0"/>
        <w:widowControl w:val="0"/>
        <w:shd w:val="clear"/>
        <w:kinsoku/>
        <w:wordWrap/>
        <w:overflowPunct/>
        <w:topLinePunct w:val="0"/>
        <w:autoSpaceDE/>
        <w:autoSpaceDN/>
        <w:bidi w:val="0"/>
        <w:adjustRightInd w:val="0"/>
        <w:snapToGrid w:val="0"/>
        <w:spacing w:line="580" w:lineRule="exact"/>
        <w:ind w:left="0" w:leftChars="0" w:firstLine="559" w:firstLineChars="182"/>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总保险费=每亩保险费×投保亩数；</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3.保险费率：A类品种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不超过</w:t>
      </w:r>
      <w:r>
        <w:rPr>
          <w:rFonts w:hint="default" w:ascii="Times New Roman" w:hAnsi="Times New Roman" w:eastAsia="仿宋_GB2312" w:cs="Times New Roman"/>
          <w:color w:val="000000" w:themeColor="text1"/>
          <w:sz w:val="32"/>
          <w:szCs w:val="32"/>
          <w14:textFill>
            <w14:solidFill>
              <w14:schemeClr w14:val="tx1"/>
            </w14:solidFill>
          </w14:textFill>
        </w:rPr>
        <w:t>12%、B类品种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不超过</w:t>
      </w:r>
      <w:r>
        <w:rPr>
          <w:rFonts w:hint="default" w:ascii="Times New Roman" w:hAnsi="Times New Roman" w:eastAsia="仿宋_GB2312" w:cs="Times New Roman"/>
          <w:color w:val="000000" w:themeColor="text1"/>
          <w:sz w:val="32"/>
          <w:szCs w:val="32"/>
          <w14:textFill>
            <w14:solidFill>
              <w14:schemeClr w14:val="tx1"/>
            </w14:solidFill>
          </w14:textFill>
        </w:rPr>
        <w:t>6%、C类品种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不超过</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（以中标费率为准）</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费率优惠：若被保险人同一投保区域上年投保未发生赔偿的，总保费减免10%；前二年投保未发生赔偿的，总保费减免20%；前三年投保未发生赔偿的，总保费减免30%（保险人提供相应保单并经市级茶叶主管部门盖章确认）。</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02" w:firstLineChars="196"/>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（五）</w:t>
      </w:r>
      <w:r>
        <w:rPr>
          <w:rFonts w:hint="default" w:ascii="Times New Roman" w:hAnsi="Times New Roman" w:eastAsia="楷体_GB2312" w:cs="Times New Roman"/>
          <w:b w:val="0"/>
          <w:bCs w:val="0"/>
          <w:color w:val="000000" w:themeColor="text1"/>
          <w:kern w:val="0"/>
          <w:sz w:val="32"/>
          <w:szCs w:val="32"/>
          <w14:textFill>
            <w14:solidFill>
              <w14:schemeClr w14:val="tx1"/>
            </w14:solidFill>
          </w14:textFill>
        </w:rPr>
        <w:t>保费补贴</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1.财政补贴：</w:t>
      </w:r>
      <w:r>
        <w:rPr>
          <w:rFonts w:hint="eastAsia" w:eastAsia="仿宋_GB2312" w:cs="Times New Roman"/>
          <w:color w:val="auto"/>
          <w:sz w:val="32"/>
          <w:szCs w:val="32"/>
          <w:lang w:eastAsia="zh-CN"/>
        </w:rPr>
        <w:t>不超过</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其中，省级财政补贴20%</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市级财政补贴50%</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有条件的区、县（市）</w:t>
      </w:r>
      <w:r>
        <w:rPr>
          <w:rFonts w:hint="eastAsia" w:eastAsia="仿宋_GB2312" w:cs="Times New Roman"/>
          <w:color w:val="auto"/>
          <w:sz w:val="32"/>
          <w:szCs w:val="32"/>
          <w:lang w:eastAsia="zh-CN"/>
        </w:rPr>
        <w:t>可配套不超过</w:t>
      </w:r>
      <w:r>
        <w:rPr>
          <w:rFonts w:hint="eastAsia" w:eastAsia="仿宋_GB2312" w:cs="Times New Roman"/>
          <w:color w:val="auto"/>
          <w:sz w:val="32"/>
          <w:szCs w:val="32"/>
          <w:lang w:val="en-US" w:eastAsia="zh-CN"/>
        </w:rPr>
        <w:t>20%的保费补贴。市级财政保费</w:t>
      </w:r>
      <w:r>
        <w:rPr>
          <w:rFonts w:hint="default" w:ascii="Times New Roman" w:hAnsi="Times New Roman" w:eastAsia="仿宋_GB2312" w:cs="Times New Roman"/>
          <w:color w:val="auto"/>
          <w:sz w:val="32"/>
          <w:szCs w:val="32"/>
        </w:rPr>
        <w:t>补贴</w:t>
      </w:r>
      <w:r>
        <w:rPr>
          <w:rFonts w:hint="eastAsia"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上限为每年160万元，若当年全市总保险费中市级补贴超过上限额度，超过部分由各县级财政按投保比例分担，分担额度为：（全市总保险费的50%－当年市级财政补贴上限）×分担县保险费占全市比例。</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1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2.主体承担：</w:t>
      </w:r>
      <w:r>
        <w:rPr>
          <w:rFonts w:hint="eastAsia" w:eastAsia="仿宋_GB2312" w:cs="Times New Roman"/>
          <w:color w:val="auto"/>
          <w:sz w:val="32"/>
          <w:szCs w:val="32"/>
          <w:lang w:eastAsia="zh-CN"/>
        </w:rPr>
        <w:t>不低于</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spacing w:line="580" w:lineRule="exact"/>
        <w:ind w:firstLine="614" w:firstLineChars="200"/>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（六）保费预算（元/亩）</w:t>
      </w:r>
    </w:p>
    <w:tbl>
      <w:tblPr>
        <w:tblStyle w:val="8"/>
        <w:tblW w:w="0" w:type="auto"/>
        <w:jc w:val="center"/>
        <w:tblLayout w:type="fixed"/>
        <w:tblCellMar>
          <w:top w:w="0" w:type="dxa"/>
          <w:left w:w="108" w:type="dxa"/>
          <w:bottom w:w="0" w:type="dxa"/>
          <w:right w:w="108" w:type="dxa"/>
        </w:tblCellMar>
      </w:tblPr>
      <w:tblGrid>
        <w:gridCol w:w="1734"/>
        <w:gridCol w:w="1560"/>
        <w:gridCol w:w="1500"/>
        <w:gridCol w:w="1276"/>
        <w:gridCol w:w="1417"/>
        <w:gridCol w:w="1363"/>
      </w:tblGrid>
      <w:tr>
        <w:tblPrEx>
          <w:tblCellMar>
            <w:top w:w="0" w:type="dxa"/>
            <w:left w:w="108" w:type="dxa"/>
            <w:bottom w:w="0" w:type="dxa"/>
            <w:right w:w="108" w:type="dxa"/>
          </w:tblCellMar>
        </w:tblPrEx>
        <w:trPr>
          <w:trHeight w:val="680" w:hRule="exact"/>
          <w:jc w:val="center"/>
        </w:trPr>
        <w:tc>
          <w:tcPr>
            <w:tcW w:w="1734" w:type="dxa"/>
            <w:tcBorders>
              <w:top w:val="single" w:color="000000" w:sz="4" w:space="0"/>
              <w:left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品种</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保险金额</w:t>
            </w:r>
          </w:p>
        </w:tc>
        <w:tc>
          <w:tcPr>
            <w:tcW w:w="15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费率</w:t>
            </w:r>
          </w:p>
        </w:tc>
        <w:tc>
          <w:tcPr>
            <w:tcW w:w="12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保险费</w:t>
            </w:r>
          </w:p>
        </w:tc>
        <w:tc>
          <w:tcPr>
            <w:tcW w:w="14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财政补贴</w:t>
            </w:r>
          </w:p>
        </w:tc>
        <w:tc>
          <w:tcPr>
            <w:tcW w:w="13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农户自缴</w:t>
            </w:r>
          </w:p>
        </w:tc>
      </w:tr>
      <w:tr>
        <w:tblPrEx>
          <w:tblCellMar>
            <w:top w:w="0" w:type="dxa"/>
            <w:left w:w="108" w:type="dxa"/>
            <w:bottom w:w="0" w:type="dxa"/>
            <w:right w:w="108" w:type="dxa"/>
          </w:tblCellMar>
        </w:tblPrEx>
        <w:trPr>
          <w:trHeight w:val="680" w:hRule="exact"/>
          <w:jc w:val="center"/>
        </w:trPr>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A</w:t>
            </w:r>
            <w:r>
              <w:rPr>
                <w:rFonts w:hint="default" w:ascii="Times New Roman" w:hAnsi="Times New Roman" w:eastAsia="仿宋_GB2312" w:cs="Times New Roman"/>
                <w:color w:val="000000" w:themeColor="text1"/>
                <w:sz w:val="28"/>
                <w:szCs w:val="28"/>
                <w14:textFill>
                  <w14:solidFill>
                    <w14:schemeClr w14:val="tx1"/>
                  </w14:solidFill>
                </w14:textFill>
              </w:rPr>
              <w:t>类</w:t>
            </w:r>
            <w:r>
              <w:rPr>
                <w:rFonts w:hint="default" w:ascii="Times New Roman" w:hAnsi="Times New Roman" w:eastAsia="仿宋_GB2312" w:cs="Times New Roman"/>
                <w:color w:val="000000" w:themeColor="text1"/>
                <w:kern w:val="0"/>
                <w:sz w:val="28"/>
                <w:szCs w:val="28"/>
                <w14:textFill>
                  <w14:solidFill>
                    <w14:schemeClr w14:val="tx1"/>
                  </w14:solidFill>
                </w14:textFill>
              </w:rPr>
              <w:t>品种</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1500</w:t>
            </w:r>
          </w:p>
        </w:tc>
        <w:tc>
          <w:tcPr>
            <w:tcW w:w="15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12%</w:t>
            </w:r>
          </w:p>
        </w:tc>
        <w:tc>
          <w:tcPr>
            <w:tcW w:w="12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180</w:t>
            </w:r>
          </w:p>
        </w:tc>
        <w:tc>
          <w:tcPr>
            <w:tcW w:w="14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126</w:t>
            </w:r>
          </w:p>
        </w:tc>
        <w:tc>
          <w:tcPr>
            <w:tcW w:w="13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54</w:t>
            </w:r>
          </w:p>
        </w:tc>
      </w:tr>
      <w:tr>
        <w:tblPrEx>
          <w:tblCellMar>
            <w:top w:w="0" w:type="dxa"/>
            <w:left w:w="108" w:type="dxa"/>
            <w:bottom w:w="0" w:type="dxa"/>
            <w:right w:w="108" w:type="dxa"/>
          </w:tblCellMar>
        </w:tblPrEx>
        <w:trPr>
          <w:trHeight w:val="680" w:hRule="exact"/>
          <w:jc w:val="center"/>
        </w:trPr>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B</w:t>
            </w:r>
            <w:r>
              <w:rPr>
                <w:rFonts w:hint="default" w:ascii="Times New Roman" w:hAnsi="Times New Roman" w:eastAsia="仿宋_GB2312" w:cs="Times New Roman"/>
                <w:color w:val="000000" w:themeColor="text1"/>
                <w:sz w:val="28"/>
                <w:szCs w:val="28"/>
                <w14:textFill>
                  <w14:solidFill>
                    <w14:schemeClr w14:val="tx1"/>
                  </w14:solidFill>
                </w14:textFill>
              </w:rPr>
              <w:t>类</w:t>
            </w:r>
            <w:r>
              <w:rPr>
                <w:rFonts w:hint="default" w:ascii="Times New Roman" w:hAnsi="Times New Roman" w:eastAsia="仿宋_GB2312" w:cs="Times New Roman"/>
                <w:color w:val="000000" w:themeColor="text1"/>
                <w:kern w:val="0"/>
                <w:sz w:val="28"/>
                <w:szCs w:val="28"/>
                <w14:textFill>
                  <w14:solidFill>
                    <w14:schemeClr w14:val="tx1"/>
                  </w14:solidFill>
                </w14:textFill>
              </w:rPr>
              <w:t>品种</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1500</w:t>
            </w:r>
          </w:p>
        </w:tc>
        <w:tc>
          <w:tcPr>
            <w:tcW w:w="15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w:t>
            </w:r>
          </w:p>
        </w:tc>
        <w:tc>
          <w:tcPr>
            <w:tcW w:w="12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90</w:t>
            </w:r>
          </w:p>
        </w:tc>
        <w:tc>
          <w:tcPr>
            <w:tcW w:w="14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63</w:t>
            </w:r>
          </w:p>
        </w:tc>
        <w:tc>
          <w:tcPr>
            <w:tcW w:w="13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27</w:t>
            </w:r>
          </w:p>
        </w:tc>
      </w:tr>
      <w:tr>
        <w:tblPrEx>
          <w:tblCellMar>
            <w:top w:w="0" w:type="dxa"/>
            <w:left w:w="108" w:type="dxa"/>
            <w:bottom w:w="0" w:type="dxa"/>
            <w:right w:w="108" w:type="dxa"/>
          </w:tblCellMar>
        </w:tblPrEx>
        <w:trPr>
          <w:trHeight w:val="680" w:hRule="exact"/>
          <w:jc w:val="center"/>
        </w:trPr>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C</w:t>
            </w:r>
            <w:r>
              <w:rPr>
                <w:rFonts w:hint="default" w:ascii="Times New Roman" w:hAnsi="Times New Roman" w:eastAsia="仿宋_GB2312" w:cs="Times New Roman"/>
                <w:color w:val="000000" w:themeColor="text1"/>
                <w:sz w:val="28"/>
                <w:szCs w:val="28"/>
                <w14:textFill>
                  <w14:solidFill>
                    <w14:schemeClr w14:val="tx1"/>
                  </w14:solidFill>
                </w14:textFill>
              </w:rPr>
              <w:t>类</w:t>
            </w:r>
            <w:r>
              <w:rPr>
                <w:rFonts w:hint="default" w:ascii="Times New Roman" w:hAnsi="Times New Roman" w:eastAsia="仿宋_GB2312" w:cs="Times New Roman"/>
                <w:color w:val="000000" w:themeColor="text1"/>
                <w:kern w:val="0"/>
                <w:sz w:val="28"/>
                <w:szCs w:val="28"/>
                <w14:textFill>
                  <w14:solidFill>
                    <w14:schemeClr w14:val="tx1"/>
                  </w14:solidFill>
                </w14:textFill>
              </w:rPr>
              <w:t>品种</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1500</w:t>
            </w:r>
          </w:p>
        </w:tc>
        <w:tc>
          <w:tcPr>
            <w:tcW w:w="15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p>
        </w:tc>
        <w:tc>
          <w:tcPr>
            <w:tcW w:w="12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60</w:t>
            </w:r>
          </w:p>
        </w:tc>
        <w:tc>
          <w:tcPr>
            <w:tcW w:w="14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42</w:t>
            </w:r>
          </w:p>
        </w:tc>
        <w:tc>
          <w:tcPr>
            <w:tcW w:w="13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18</w:t>
            </w:r>
          </w:p>
        </w:tc>
      </w:tr>
    </w:tbl>
    <w:p>
      <w:pPr>
        <w:keepNext w:val="0"/>
        <w:keepLines w:val="0"/>
        <w:pageBreakBefore w:val="0"/>
        <w:widowControl w:val="0"/>
        <w:shd w:val="clear"/>
        <w:kinsoku/>
        <w:wordWrap/>
        <w:overflowPunct/>
        <w:topLinePunct w:val="0"/>
        <w:autoSpaceDE/>
        <w:autoSpaceDN/>
        <w:bidi w:val="0"/>
        <w:adjustRightInd/>
        <w:spacing w:line="580" w:lineRule="exact"/>
        <w:ind w:firstLine="394" w:firstLineChars="200"/>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注：</w:t>
      </w:r>
      <w:r>
        <w:rPr>
          <w:rFonts w:hint="eastAsia" w:eastAsia="仿宋_GB2312" w:cs="Times New Roman"/>
          <w:color w:val="000000" w:themeColor="text1"/>
          <w:sz w:val="21"/>
          <w:szCs w:val="21"/>
          <w:lang w:eastAsia="zh-CN"/>
          <w14:textFill>
            <w14:solidFill>
              <w14:schemeClr w14:val="tx1"/>
            </w14:solidFill>
          </w14:textFill>
        </w:rPr>
        <w:t>费率</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以中标费率为准</w:t>
      </w:r>
      <w:r>
        <w:rPr>
          <w:rFonts w:hint="eastAsia" w:eastAsia="仿宋_GB2312"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pacing w:line="580" w:lineRule="exact"/>
        <w:ind w:firstLine="614" w:firstLineChars="200"/>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（七）投保</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1.保险公司召集投保人填写投保单，约定投保品种、亩数、气象监测站；</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2.气象监测站的选择必须同时符合茶园位置与气象监测站直线距离不超过10km，高程差正负不超过150m两个条件，否则不予承保；</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3.保险公司进行现场核保、风险评估；</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4.保险公司向投保人收取茶叶生产主体自缴部分保险费，出具保险单和保费发票，财政补贴部分待投保工作完成后统一结算，保费打入保险公司保费账户。</w:t>
      </w:r>
    </w:p>
    <w:p>
      <w:pPr>
        <w:keepNext w:val="0"/>
        <w:keepLines w:val="0"/>
        <w:pageBreakBefore w:val="0"/>
        <w:widowControl w:val="0"/>
        <w:shd w:val="clear"/>
        <w:kinsoku/>
        <w:wordWrap/>
        <w:overflowPunct/>
        <w:topLinePunct w:val="0"/>
        <w:autoSpaceDE/>
        <w:autoSpaceDN/>
        <w:bidi w:val="0"/>
        <w:adjustRightInd/>
        <w:spacing w:line="580" w:lineRule="exact"/>
        <w:ind w:firstLine="614"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六、赔偿处理</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（一）在保险期限内，如发生保险茶树（园）转让、出租等情况，投保人应及时通知保险人进行批改；当被保险人不具有保险利益时，不得向保险人请求赔偿保险金。</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pacing w:val="-6"/>
          <w:sz w:val="32"/>
          <w:szCs w:val="32"/>
          <w14:textFill>
            <w14:solidFill>
              <w14:schemeClr w14:val="tx1"/>
            </w14:solidFill>
          </w14:textFill>
        </w:rPr>
        <w:t>发生保险责任范围内的损失，保险人按以下方式计算赔偿：</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赔款=每亩赔偿金额×投保亩数</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14"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投保亩数由投保人按A类品种、B类品种、C类品种不同品种在投保时约定，每亩赔偿金额按下表计算：</w:t>
      </w:r>
    </w:p>
    <w:p>
      <w:pPr>
        <w:shd w:val="clear"/>
        <w:autoSpaceDE w:val="0"/>
        <w:autoSpaceDN w:val="0"/>
        <w:adjustRightInd w:val="0"/>
        <w:spacing w:line="540" w:lineRule="exact"/>
        <w:ind w:left="0" w:leftChars="0" w:right="0" w:rightChars="0" w:firstLine="0" w:firstLineChars="0"/>
        <w:jc w:val="center"/>
        <w:rPr>
          <w:rFonts w:hint="default" w:ascii="Times New Roman" w:hAnsi="Times New Roman" w:eastAsia="楷体_GB2312" w:cs="Times New Roman"/>
          <w:b/>
          <w:bCs/>
          <w:color w:val="000000" w:themeColor="text1"/>
          <w:kern w:val="0"/>
          <w:sz w:val="32"/>
          <w:szCs w:val="32"/>
          <w14:textFill>
            <w14:solidFill>
              <w14:schemeClr w14:val="tx1"/>
            </w14:solidFill>
          </w14:textFill>
        </w:rPr>
      </w:pPr>
      <w:r>
        <w:rPr>
          <w:rFonts w:hint="default" w:ascii="Times New Roman" w:hAnsi="Times New Roman" w:eastAsia="楷体_GB2312" w:cs="Times New Roman"/>
          <w:b/>
          <w:bCs/>
          <w:color w:val="000000" w:themeColor="text1"/>
          <w:kern w:val="0"/>
          <w:sz w:val="32"/>
          <w:szCs w:val="32"/>
          <w14:textFill>
            <w14:solidFill>
              <w14:schemeClr w14:val="tx1"/>
            </w14:solidFill>
          </w14:textFill>
        </w:rPr>
        <w:t>A类品种损失赔偿表</w:t>
      </w:r>
    </w:p>
    <w:tbl>
      <w:tblPr>
        <w:tblStyle w:val="8"/>
        <w:tblW w:w="9259" w:type="dxa"/>
        <w:jc w:val="center"/>
        <w:tblLayout w:type="fixed"/>
        <w:tblCellMar>
          <w:top w:w="0" w:type="dxa"/>
          <w:left w:w="108" w:type="dxa"/>
          <w:bottom w:w="0" w:type="dxa"/>
          <w:right w:w="108" w:type="dxa"/>
        </w:tblCellMar>
      </w:tblPr>
      <w:tblGrid>
        <w:gridCol w:w="1038"/>
        <w:gridCol w:w="913"/>
        <w:gridCol w:w="913"/>
        <w:gridCol w:w="913"/>
        <w:gridCol w:w="913"/>
        <w:gridCol w:w="913"/>
        <w:gridCol w:w="913"/>
        <w:gridCol w:w="913"/>
        <w:gridCol w:w="913"/>
        <w:gridCol w:w="917"/>
      </w:tblGrid>
      <w:tr>
        <w:tblPrEx>
          <w:tblCellMar>
            <w:top w:w="0" w:type="dxa"/>
            <w:left w:w="108" w:type="dxa"/>
            <w:bottom w:w="0" w:type="dxa"/>
            <w:right w:w="108" w:type="dxa"/>
          </w:tblCellMar>
        </w:tblPrEx>
        <w:trPr>
          <w:trHeight w:val="480" w:hRule="atLeast"/>
          <w:jc w:val="center"/>
        </w:trPr>
        <w:tc>
          <w:tcPr>
            <w:tcW w:w="1038" w:type="dxa"/>
            <w:vMerge w:val="restart"/>
            <w:tcBorders>
              <w:top w:val="single" w:color="auto" w:sz="8" w:space="0"/>
              <w:left w:val="single" w:color="auto" w:sz="8" w:space="0"/>
              <w:bottom w:val="single" w:color="000000"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气温指标TL/℃</w:t>
            </w:r>
          </w:p>
        </w:tc>
        <w:tc>
          <w:tcPr>
            <w:tcW w:w="8221" w:type="dxa"/>
            <w:gridSpan w:val="9"/>
            <w:tcBorders>
              <w:top w:val="single" w:color="auto" w:sz="8" w:space="0"/>
              <w:left w:val="nil"/>
              <w:bottom w:val="single" w:color="auto" w:sz="8" w:space="0"/>
              <w:right w:val="single" w:color="000000"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气温指标出现日期对应赔偿金额（元/亩）</w:t>
            </w:r>
          </w:p>
        </w:tc>
      </w:tr>
      <w:tr>
        <w:tblPrEx>
          <w:tblCellMar>
            <w:top w:w="0" w:type="dxa"/>
            <w:left w:w="108" w:type="dxa"/>
            <w:bottom w:w="0" w:type="dxa"/>
            <w:right w:w="108" w:type="dxa"/>
          </w:tblCellMar>
        </w:tblPrEx>
        <w:trPr>
          <w:trHeight w:val="480" w:hRule="atLeast"/>
          <w:jc w:val="center"/>
        </w:trPr>
        <w:tc>
          <w:tcPr>
            <w:tcW w:w="1038"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firstLine="200"/>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val="0"/>
                <w:bCs w:val="0"/>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2.21~2.28</w:t>
            </w:r>
            <w:r>
              <w:rPr>
                <w:rFonts w:hint="eastAsia" w:eastAsia="仿宋_GB2312" w:cs="Times New Roman"/>
                <w:b w:val="0"/>
                <w:bCs w:val="0"/>
                <w:color w:val="000000" w:themeColor="text1"/>
                <w:kern w:val="0"/>
                <w:sz w:val="21"/>
                <w:szCs w:val="21"/>
                <w:lang w:eastAsia="zh-CN"/>
                <w14:textFill>
                  <w14:solidFill>
                    <w14:schemeClr w14:val="tx1"/>
                  </w14:solidFill>
                </w14:textFill>
              </w:rPr>
              <w:t>（</w:t>
            </w:r>
            <w:r>
              <w:rPr>
                <w:rFonts w:hint="eastAsia" w:eastAsia="仿宋_GB2312" w:cs="Times New Roman"/>
                <w:b w:val="0"/>
                <w:bCs w:val="0"/>
                <w:color w:val="000000" w:themeColor="text1"/>
                <w:kern w:val="0"/>
                <w:sz w:val="21"/>
                <w:szCs w:val="21"/>
                <w:lang w:val="en-US" w:eastAsia="zh-CN"/>
                <w14:textFill>
                  <w14:solidFill>
                    <w14:schemeClr w14:val="tx1"/>
                  </w14:solidFill>
                </w14:textFill>
              </w:rPr>
              <w:t>29</w:t>
            </w:r>
            <w:r>
              <w:rPr>
                <w:rFonts w:hint="eastAsia" w:eastAsia="仿宋_GB2312" w:cs="Times New Roman"/>
                <w:b w:val="0"/>
                <w:bCs w:val="0"/>
                <w:color w:val="000000" w:themeColor="text1"/>
                <w:kern w:val="0"/>
                <w:sz w:val="21"/>
                <w:szCs w:val="21"/>
                <w:lang w:eastAsia="zh-CN"/>
                <w14:textFill>
                  <w14:solidFill>
                    <w14:schemeClr w14:val="tx1"/>
                  </w14:solidFill>
                </w14:textFill>
              </w:rPr>
              <w:t>）</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3.1~3.4</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3.5~3.8</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3.9~3.12</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3.13~3.18</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3.19~3.23</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3.24~3.31</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4.1~4.10</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4.11~4.20</w:t>
            </w:r>
          </w:p>
        </w:tc>
      </w:tr>
      <w:tr>
        <w:tblPrEx>
          <w:tblCellMar>
            <w:top w:w="0" w:type="dxa"/>
            <w:left w:w="108" w:type="dxa"/>
            <w:bottom w:w="0" w:type="dxa"/>
            <w:right w:w="108" w:type="dxa"/>
          </w:tblCellMar>
        </w:tblPrEx>
        <w:trPr>
          <w:trHeight w:val="48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[0~-1)</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48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[-1~-2)</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132</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48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[-2~-3)</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200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132</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48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[-3~-4)</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132</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264</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230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200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48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[-4~-5)</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495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825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580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495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132</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132</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w:t>
            </w:r>
          </w:p>
        </w:tc>
      </w:tr>
      <w:tr>
        <w:tblPrEx>
          <w:tblCellMar>
            <w:top w:w="0" w:type="dxa"/>
            <w:left w:w="108" w:type="dxa"/>
            <w:bottom w:w="0" w:type="dxa"/>
            <w:right w:w="108" w:type="dxa"/>
          </w:tblCellMar>
        </w:tblPrEx>
        <w:trPr>
          <w:trHeight w:val="500" w:hRule="atLeast"/>
          <w:jc w:val="center"/>
        </w:trPr>
        <w:tc>
          <w:tcPr>
            <w:tcW w:w="1038"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-5含以下</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495</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825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990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660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580</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495</w:t>
            </w:r>
          </w:p>
        </w:tc>
        <w:tc>
          <w:tcPr>
            <w:tcW w:w="913"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330</w:t>
            </w:r>
          </w:p>
        </w:tc>
        <w:tc>
          <w:tcPr>
            <w:tcW w:w="91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200</w:t>
            </w:r>
          </w:p>
        </w:tc>
        <w:tc>
          <w:tcPr>
            <w:tcW w:w="91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100</w:t>
            </w:r>
          </w:p>
        </w:tc>
      </w:tr>
    </w:tbl>
    <w:p>
      <w:pPr>
        <w:shd w:val="clear"/>
        <w:autoSpaceDE w:val="0"/>
        <w:autoSpaceDN w:val="0"/>
        <w:adjustRightInd w:val="0"/>
        <w:spacing w:line="540" w:lineRule="exact"/>
        <w:ind w:firstLine="614" w:firstLineChars="200"/>
        <w:jc w:val="center"/>
        <w:rPr>
          <w:rFonts w:hint="default" w:ascii="Times New Roman" w:hAnsi="Times New Roman" w:eastAsia="楷体_GB2312" w:cs="Times New Roman"/>
          <w:b/>
          <w:bCs/>
          <w:color w:val="000000" w:themeColor="text1"/>
          <w:kern w:val="0"/>
          <w:sz w:val="32"/>
          <w:szCs w:val="32"/>
          <w14:textFill>
            <w14:solidFill>
              <w14:schemeClr w14:val="tx1"/>
            </w14:solidFill>
          </w14:textFill>
        </w:rPr>
      </w:pPr>
    </w:p>
    <w:p>
      <w:pPr>
        <w:shd w:val="clear"/>
        <w:autoSpaceDE w:val="0"/>
        <w:autoSpaceDN w:val="0"/>
        <w:adjustRightInd w:val="0"/>
        <w:spacing w:line="540" w:lineRule="exact"/>
        <w:ind w:left="0" w:leftChars="0" w:right="0" w:rightChars="0" w:firstLine="0" w:firstLineChars="0"/>
        <w:jc w:val="center"/>
        <w:rPr>
          <w:rFonts w:hint="default" w:ascii="Times New Roman" w:hAnsi="Times New Roman" w:eastAsia="楷体_GB2312" w:cs="Times New Roman"/>
          <w:b/>
          <w:bCs/>
          <w:color w:val="000000" w:themeColor="text1"/>
          <w:kern w:val="0"/>
          <w:sz w:val="32"/>
          <w:szCs w:val="32"/>
          <w14:textFill>
            <w14:solidFill>
              <w14:schemeClr w14:val="tx1"/>
            </w14:solidFill>
          </w14:textFill>
        </w:rPr>
      </w:pPr>
      <w:r>
        <w:rPr>
          <w:rFonts w:hint="default" w:ascii="Times New Roman" w:hAnsi="Times New Roman" w:eastAsia="楷体_GB2312" w:cs="Times New Roman"/>
          <w:b/>
          <w:bCs/>
          <w:color w:val="000000" w:themeColor="text1"/>
          <w:kern w:val="0"/>
          <w:sz w:val="32"/>
          <w:szCs w:val="32"/>
          <w14:textFill>
            <w14:solidFill>
              <w14:schemeClr w14:val="tx1"/>
            </w14:solidFill>
          </w14:textFill>
        </w:rPr>
        <w:t>B</w:t>
      </w:r>
      <w:r>
        <w:rPr>
          <w:rFonts w:hint="default" w:ascii="Times New Roman" w:hAnsi="Times New Roman" w:eastAsia="仿宋_GB2312" w:cs="Times New Roman"/>
          <w:b/>
          <w:bCs/>
          <w:color w:val="000000" w:themeColor="text1"/>
          <w:sz w:val="32"/>
          <w:szCs w:val="32"/>
          <w14:textFill>
            <w14:solidFill>
              <w14:schemeClr w14:val="tx1"/>
            </w14:solidFill>
          </w14:textFill>
        </w:rPr>
        <w:t>类</w:t>
      </w:r>
      <w:r>
        <w:rPr>
          <w:rFonts w:hint="default" w:ascii="Times New Roman" w:hAnsi="Times New Roman" w:eastAsia="楷体_GB2312" w:cs="Times New Roman"/>
          <w:b/>
          <w:bCs/>
          <w:color w:val="000000" w:themeColor="text1"/>
          <w:kern w:val="0"/>
          <w:sz w:val="32"/>
          <w:szCs w:val="32"/>
          <w14:textFill>
            <w14:solidFill>
              <w14:schemeClr w14:val="tx1"/>
            </w14:solidFill>
          </w14:textFill>
        </w:rPr>
        <w:t>品种损失赔偿表</w:t>
      </w:r>
    </w:p>
    <w:tbl>
      <w:tblPr>
        <w:tblStyle w:val="8"/>
        <w:tblW w:w="9071" w:type="dxa"/>
        <w:jc w:val="center"/>
        <w:tblLayout w:type="fixed"/>
        <w:tblCellMar>
          <w:top w:w="0" w:type="dxa"/>
          <w:left w:w="108" w:type="dxa"/>
          <w:bottom w:w="0" w:type="dxa"/>
          <w:right w:w="108" w:type="dxa"/>
        </w:tblCellMar>
      </w:tblPr>
      <w:tblGrid>
        <w:gridCol w:w="1010"/>
        <w:gridCol w:w="895"/>
        <w:gridCol w:w="895"/>
        <w:gridCol w:w="895"/>
        <w:gridCol w:w="895"/>
        <w:gridCol w:w="895"/>
        <w:gridCol w:w="896"/>
        <w:gridCol w:w="896"/>
        <w:gridCol w:w="896"/>
        <w:gridCol w:w="898"/>
      </w:tblGrid>
      <w:tr>
        <w:tblPrEx>
          <w:tblCellMar>
            <w:top w:w="0" w:type="dxa"/>
            <w:left w:w="108" w:type="dxa"/>
            <w:bottom w:w="0" w:type="dxa"/>
            <w:right w:w="108" w:type="dxa"/>
          </w:tblCellMar>
        </w:tblPrEx>
        <w:trPr>
          <w:trHeight w:val="519" w:hRule="atLeast"/>
          <w:jc w:val="center"/>
        </w:trPr>
        <w:tc>
          <w:tcPr>
            <w:tcW w:w="1029" w:type="dxa"/>
            <w:vMerge w:val="restart"/>
            <w:tcBorders>
              <w:top w:val="single" w:color="auto" w:sz="8" w:space="0"/>
              <w:left w:val="single" w:color="auto" w:sz="8" w:space="0"/>
              <w:bottom w:val="single" w:color="000000"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气温指标TL/℃</w:t>
            </w:r>
          </w:p>
        </w:tc>
        <w:tc>
          <w:tcPr>
            <w:tcW w:w="8210" w:type="dxa"/>
            <w:gridSpan w:val="9"/>
            <w:tcBorders>
              <w:top w:val="single" w:color="auto" w:sz="8" w:space="0"/>
              <w:left w:val="nil"/>
              <w:bottom w:val="single" w:color="auto" w:sz="8" w:space="0"/>
              <w:right w:val="single" w:color="000000"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气温指标出现日期对应赔偿金额（元/亩）</w:t>
            </w:r>
          </w:p>
        </w:tc>
      </w:tr>
      <w:tr>
        <w:tblPrEx>
          <w:tblCellMar>
            <w:top w:w="0" w:type="dxa"/>
            <w:left w:w="108" w:type="dxa"/>
            <w:bottom w:w="0" w:type="dxa"/>
            <w:right w:w="108" w:type="dxa"/>
          </w:tblCellMar>
        </w:tblPrEx>
        <w:trPr>
          <w:trHeight w:val="519" w:hRule="atLeast"/>
          <w:jc w:val="center"/>
        </w:trPr>
        <w:tc>
          <w:tcPr>
            <w:tcW w:w="1029"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2.21~2.28</w:t>
            </w:r>
            <w:r>
              <w:rPr>
                <w:rFonts w:hint="eastAsia" w:eastAsia="仿宋_GB2312" w:cs="Times New Roman"/>
                <w:b w:val="0"/>
                <w:bCs w:val="0"/>
                <w:color w:val="000000" w:themeColor="text1"/>
                <w:kern w:val="0"/>
                <w:sz w:val="21"/>
                <w:szCs w:val="21"/>
                <w:lang w:eastAsia="zh-CN"/>
                <w14:textFill>
                  <w14:solidFill>
                    <w14:schemeClr w14:val="tx1"/>
                  </w14:solidFill>
                </w14:textFill>
              </w:rPr>
              <w:t>（</w:t>
            </w:r>
            <w:r>
              <w:rPr>
                <w:rFonts w:hint="eastAsia" w:eastAsia="仿宋_GB2312" w:cs="Times New Roman"/>
                <w:b w:val="0"/>
                <w:bCs w:val="0"/>
                <w:color w:val="000000" w:themeColor="text1"/>
                <w:kern w:val="0"/>
                <w:sz w:val="21"/>
                <w:szCs w:val="21"/>
                <w:lang w:val="en-US" w:eastAsia="zh-CN"/>
                <w14:textFill>
                  <w14:solidFill>
                    <w14:schemeClr w14:val="tx1"/>
                  </w14:solidFill>
                </w14:textFill>
              </w:rPr>
              <w:t>29</w:t>
            </w:r>
            <w:r>
              <w:rPr>
                <w:rFonts w:hint="eastAsia" w:eastAsia="仿宋_GB2312" w:cs="Times New Roman"/>
                <w:b w:val="0"/>
                <w:bCs w:val="0"/>
                <w:color w:val="000000" w:themeColor="text1"/>
                <w:kern w:val="0"/>
                <w:sz w:val="21"/>
                <w:szCs w:val="21"/>
                <w:lang w:eastAsia="zh-CN"/>
                <w14:textFill>
                  <w14:solidFill>
                    <w14:schemeClr w14:val="tx1"/>
                  </w14:solidFill>
                </w14:textFill>
              </w:rPr>
              <w:t>）</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3.1~3.4</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3.5~3.8</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3.9~3.12</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3.13~3.18</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3.19~3.23</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3.24~3.31</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4.1~4.10</w:t>
            </w:r>
          </w:p>
        </w:tc>
        <w:tc>
          <w:tcPr>
            <w:tcW w:w="914"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4.11~4.20</w:t>
            </w:r>
          </w:p>
        </w:tc>
      </w:tr>
      <w:tr>
        <w:tblPrEx>
          <w:tblCellMar>
            <w:top w:w="0" w:type="dxa"/>
            <w:left w:w="108" w:type="dxa"/>
            <w:bottom w:w="0" w:type="dxa"/>
            <w:right w:w="108" w:type="dxa"/>
          </w:tblCellMar>
        </w:tblPrEx>
        <w:trPr>
          <w:trHeight w:val="522"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[0~-1)</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27</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27</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519"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[-1~-2)</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40</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108</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519"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[-2~-3)</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108</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162</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r>
      <w:tr>
        <w:tblPrEx>
          <w:tblCellMar>
            <w:top w:w="0" w:type="dxa"/>
            <w:left w:w="108" w:type="dxa"/>
            <w:bottom w:w="0" w:type="dxa"/>
            <w:right w:w="108" w:type="dxa"/>
          </w:tblCellMar>
        </w:tblPrEx>
        <w:trPr>
          <w:trHeight w:val="519"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[-3~-4)</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108</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162</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270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216</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162</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r>
      <w:tr>
        <w:tblPrEx>
          <w:tblCellMar>
            <w:top w:w="0" w:type="dxa"/>
            <w:left w:w="108" w:type="dxa"/>
            <w:bottom w:w="0" w:type="dxa"/>
            <w:right w:w="108" w:type="dxa"/>
          </w:tblCellMar>
        </w:tblPrEx>
        <w:trPr>
          <w:trHeight w:val="519"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[-4~-5)</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108</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270</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405</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675</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470</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405</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162</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r>
      <w:tr>
        <w:tblPrEx>
          <w:tblCellMar>
            <w:top w:w="0" w:type="dxa"/>
            <w:left w:w="108" w:type="dxa"/>
            <w:bottom w:w="0" w:type="dxa"/>
            <w:right w:w="108" w:type="dxa"/>
          </w:tblCellMar>
        </w:tblPrEx>
        <w:trPr>
          <w:trHeight w:val="579" w:hRule="atLeast"/>
          <w:jc w:val="center"/>
        </w:trPr>
        <w:tc>
          <w:tcPr>
            <w:tcW w:w="1029"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-5含以下</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162</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405</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675</w:t>
            </w:r>
          </w:p>
        </w:tc>
        <w:tc>
          <w:tcPr>
            <w:tcW w:w="912"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810</w:t>
            </w:r>
          </w:p>
        </w:tc>
        <w:tc>
          <w:tcPr>
            <w:tcW w:w="912"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540</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470</w:t>
            </w:r>
          </w:p>
        </w:tc>
        <w:tc>
          <w:tcPr>
            <w:tcW w:w="912"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270</w:t>
            </w:r>
          </w:p>
        </w:tc>
        <w:tc>
          <w:tcPr>
            <w:tcW w:w="914"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108</w:t>
            </w:r>
          </w:p>
        </w:tc>
      </w:tr>
    </w:tbl>
    <w:p>
      <w:pPr>
        <w:shd w:val="clear"/>
        <w:autoSpaceDE w:val="0"/>
        <w:autoSpaceDN w:val="0"/>
        <w:adjustRightInd w:val="0"/>
        <w:spacing w:line="540" w:lineRule="exact"/>
        <w:ind w:firstLine="614" w:firstLineChars="200"/>
        <w:jc w:val="center"/>
        <w:rPr>
          <w:rFonts w:hint="default" w:ascii="Times New Roman" w:hAnsi="Times New Roman" w:eastAsia="楷体_GB2312" w:cs="Times New Roman"/>
          <w:b/>
          <w:bCs/>
          <w:color w:val="000000" w:themeColor="text1"/>
          <w:kern w:val="0"/>
          <w:sz w:val="32"/>
          <w:szCs w:val="32"/>
          <w14:textFill>
            <w14:solidFill>
              <w14:schemeClr w14:val="tx1"/>
            </w14:solidFill>
          </w14:textFill>
        </w:rPr>
      </w:pPr>
      <w:r>
        <w:rPr>
          <w:rFonts w:hint="default" w:ascii="Times New Roman" w:hAnsi="Times New Roman" w:eastAsia="楷体_GB2312" w:cs="Times New Roman"/>
          <w:b/>
          <w:bCs/>
          <w:color w:val="000000" w:themeColor="text1"/>
          <w:kern w:val="0"/>
          <w:sz w:val="32"/>
          <w:szCs w:val="32"/>
          <w14:textFill>
            <w14:solidFill>
              <w14:schemeClr w14:val="tx1"/>
            </w14:solidFill>
          </w14:textFill>
        </w:rPr>
        <w:t>C</w:t>
      </w:r>
      <w:r>
        <w:rPr>
          <w:rFonts w:hint="default" w:ascii="Times New Roman" w:hAnsi="Times New Roman" w:eastAsia="仿宋_GB2312" w:cs="Times New Roman"/>
          <w:b/>
          <w:bCs/>
          <w:color w:val="000000" w:themeColor="text1"/>
          <w:sz w:val="32"/>
          <w:szCs w:val="32"/>
          <w14:textFill>
            <w14:solidFill>
              <w14:schemeClr w14:val="tx1"/>
            </w14:solidFill>
          </w14:textFill>
        </w:rPr>
        <w:t>类</w:t>
      </w:r>
      <w:r>
        <w:rPr>
          <w:rFonts w:hint="default" w:ascii="Times New Roman" w:hAnsi="Times New Roman" w:eastAsia="楷体_GB2312" w:cs="Times New Roman"/>
          <w:b/>
          <w:bCs/>
          <w:color w:val="000000" w:themeColor="text1"/>
          <w:kern w:val="0"/>
          <w:sz w:val="32"/>
          <w:szCs w:val="32"/>
          <w14:textFill>
            <w14:solidFill>
              <w14:schemeClr w14:val="tx1"/>
            </w14:solidFill>
          </w14:textFill>
        </w:rPr>
        <w:t>品种损失赔偿表</w:t>
      </w:r>
    </w:p>
    <w:tbl>
      <w:tblPr>
        <w:tblStyle w:val="8"/>
        <w:tblW w:w="9071" w:type="dxa"/>
        <w:jc w:val="center"/>
        <w:tblLayout w:type="fixed"/>
        <w:tblCellMar>
          <w:top w:w="0" w:type="dxa"/>
          <w:left w:w="108" w:type="dxa"/>
          <w:bottom w:w="0" w:type="dxa"/>
          <w:right w:w="108" w:type="dxa"/>
        </w:tblCellMar>
      </w:tblPr>
      <w:tblGrid>
        <w:gridCol w:w="992"/>
        <w:gridCol w:w="897"/>
        <w:gridCol w:w="897"/>
        <w:gridCol w:w="897"/>
        <w:gridCol w:w="897"/>
        <w:gridCol w:w="897"/>
        <w:gridCol w:w="897"/>
        <w:gridCol w:w="897"/>
        <w:gridCol w:w="897"/>
        <w:gridCol w:w="903"/>
      </w:tblGrid>
      <w:tr>
        <w:tblPrEx>
          <w:tblCellMar>
            <w:top w:w="0" w:type="dxa"/>
            <w:left w:w="108" w:type="dxa"/>
            <w:bottom w:w="0" w:type="dxa"/>
            <w:right w:w="108" w:type="dxa"/>
          </w:tblCellMar>
        </w:tblPrEx>
        <w:trPr>
          <w:trHeight w:val="454" w:hRule="atLeast"/>
          <w:jc w:val="center"/>
        </w:trPr>
        <w:tc>
          <w:tcPr>
            <w:tcW w:w="992" w:type="dxa"/>
            <w:vMerge w:val="restart"/>
            <w:tcBorders>
              <w:top w:val="single" w:color="auto" w:sz="8" w:space="0"/>
              <w:left w:val="single" w:color="auto" w:sz="8" w:space="0"/>
              <w:bottom w:val="single" w:color="000000"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气温指标TL/℃</w:t>
            </w:r>
          </w:p>
        </w:tc>
        <w:tc>
          <w:tcPr>
            <w:tcW w:w="8079" w:type="dxa"/>
            <w:gridSpan w:val="9"/>
            <w:tcBorders>
              <w:top w:val="single" w:color="auto" w:sz="8" w:space="0"/>
              <w:left w:val="nil"/>
              <w:bottom w:val="single" w:color="auto" w:sz="8" w:space="0"/>
              <w:right w:val="single" w:color="000000"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气温指标出现日期对应赔偿金额（元/亩）</w:t>
            </w:r>
          </w:p>
        </w:tc>
      </w:tr>
      <w:tr>
        <w:tblPrEx>
          <w:tblCellMar>
            <w:top w:w="0" w:type="dxa"/>
            <w:left w:w="108" w:type="dxa"/>
            <w:bottom w:w="0" w:type="dxa"/>
            <w:right w:w="108" w:type="dxa"/>
          </w:tblCellMar>
        </w:tblPrEx>
        <w:trPr>
          <w:trHeight w:val="454" w:hRule="atLeast"/>
          <w:jc w:val="center"/>
        </w:trPr>
        <w:tc>
          <w:tcPr>
            <w:tcW w:w="992"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2.21~2.28</w:t>
            </w:r>
            <w:r>
              <w:rPr>
                <w:rFonts w:hint="eastAsia" w:eastAsia="仿宋_GB2312" w:cs="Times New Roman"/>
                <w:b w:val="0"/>
                <w:bCs w:val="0"/>
                <w:color w:val="000000" w:themeColor="text1"/>
                <w:kern w:val="0"/>
                <w:sz w:val="21"/>
                <w:szCs w:val="21"/>
                <w:lang w:eastAsia="zh-CN"/>
                <w14:textFill>
                  <w14:solidFill>
                    <w14:schemeClr w14:val="tx1"/>
                  </w14:solidFill>
                </w14:textFill>
              </w:rPr>
              <w:t>（</w:t>
            </w:r>
            <w:r>
              <w:rPr>
                <w:rFonts w:hint="eastAsia" w:eastAsia="仿宋_GB2312" w:cs="Times New Roman"/>
                <w:b w:val="0"/>
                <w:bCs w:val="0"/>
                <w:color w:val="000000" w:themeColor="text1"/>
                <w:kern w:val="0"/>
                <w:sz w:val="21"/>
                <w:szCs w:val="21"/>
                <w:lang w:val="en-US" w:eastAsia="zh-CN"/>
                <w14:textFill>
                  <w14:solidFill>
                    <w14:schemeClr w14:val="tx1"/>
                  </w14:solidFill>
                </w14:textFill>
              </w:rPr>
              <w:t>29</w:t>
            </w:r>
            <w:r>
              <w:rPr>
                <w:rFonts w:hint="eastAsia" w:eastAsia="仿宋_GB2312" w:cs="Times New Roman"/>
                <w:b w:val="0"/>
                <w:bCs w:val="0"/>
                <w:color w:val="000000" w:themeColor="text1"/>
                <w:kern w:val="0"/>
                <w:sz w:val="21"/>
                <w:szCs w:val="21"/>
                <w:lang w:eastAsia="zh-CN"/>
                <w14:textFill>
                  <w14:solidFill>
                    <w14:schemeClr w14:val="tx1"/>
                  </w14:solidFill>
                </w14:textFill>
              </w:rPr>
              <w:t>）</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3.1~3.4</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3.5~3.8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3.9~3.12</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3.13~3.18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3.19~3.23</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3.24~3.31</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4.1~4.10</w:t>
            </w:r>
          </w:p>
        </w:tc>
        <w:tc>
          <w:tcPr>
            <w:tcW w:w="903"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4.11~4.20</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[0~-1)</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36</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24</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24</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[-1~-2)</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96</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[-2~-3)</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96</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96</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144</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[-3~-4)</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168</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144</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240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192</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96</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[-4~-5)</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24</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192</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240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360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600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360</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168</w:t>
            </w:r>
          </w:p>
        </w:tc>
      </w:tr>
      <w:tr>
        <w:tblPrEx>
          <w:tblCellMar>
            <w:top w:w="0" w:type="dxa"/>
            <w:left w:w="108" w:type="dxa"/>
            <w:bottom w:w="0" w:type="dxa"/>
            <w:right w:w="108" w:type="dxa"/>
          </w:tblCellMar>
        </w:tblPrEx>
        <w:trPr>
          <w:trHeight w:val="454" w:hRule="atLeast"/>
          <w:jc w:val="center"/>
        </w:trPr>
        <w:tc>
          <w:tcPr>
            <w:tcW w:w="992" w:type="dxa"/>
            <w:tcBorders>
              <w:top w:val="nil"/>
              <w:left w:val="single" w:color="auto" w:sz="8" w:space="0"/>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-5含以下</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96</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360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420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600</w:t>
            </w:r>
          </w:p>
        </w:tc>
        <w:tc>
          <w:tcPr>
            <w:tcW w:w="897" w:type="dxa"/>
            <w:tcBorders>
              <w:top w:val="nil"/>
              <w:left w:val="nil"/>
              <w:bottom w:val="single" w:color="auto" w:sz="8" w:space="0"/>
              <w:right w:val="single" w:color="auto" w:sz="8" w:space="0"/>
            </w:tcBorders>
            <w:shd w:val="clear" w:color="auto" w:fill="auto"/>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720</w:t>
            </w:r>
          </w:p>
        </w:tc>
        <w:tc>
          <w:tcPr>
            <w:tcW w:w="897" w:type="dxa"/>
            <w:tcBorders>
              <w:top w:val="nil"/>
              <w:left w:val="nil"/>
              <w:bottom w:val="single" w:color="auto" w:sz="8" w:space="0"/>
              <w:right w:val="single" w:color="auto" w:sz="8" w:space="0"/>
            </w:tcBorders>
            <w:shd w:val="clear" w:color="000000" w:fill="FFFFFF"/>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480</w:t>
            </w:r>
          </w:p>
        </w:tc>
        <w:tc>
          <w:tcPr>
            <w:tcW w:w="903" w:type="dxa"/>
            <w:tcBorders>
              <w:top w:val="nil"/>
              <w:left w:val="nil"/>
              <w:bottom w:val="single" w:color="auto" w:sz="8" w:space="0"/>
              <w:right w:val="single" w:color="auto" w:sz="8" w:space="0"/>
            </w:tcBorders>
            <w:tcMar>
              <w:top w:w="0" w:type="dxa"/>
              <w:left w:w="34" w:type="dxa"/>
              <w:bottom w:w="0" w:type="dxa"/>
              <w:right w:w="34"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14:textFill>
                  <w14:solidFill>
                    <w14:schemeClr w14:val="tx1"/>
                  </w14:solidFill>
                </w14:textFill>
              </w:rPr>
              <w:t>420</w:t>
            </w:r>
          </w:p>
        </w:tc>
      </w:tr>
    </w:tbl>
    <w:p>
      <w:pPr>
        <w:keepNext w:val="0"/>
        <w:keepLines w:val="0"/>
        <w:pageBreakBefore w:val="0"/>
        <w:widowControl/>
        <w:shd w:val="clear"/>
        <w:kinsoku/>
        <w:wordWrap/>
        <w:overflowPunct/>
        <w:topLinePunct w:val="0"/>
        <w:autoSpaceDE/>
        <w:autoSpaceDN/>
        <w:bidi w:val="0"/>
        <w:adjustRightInd/>
        <w:snapToGrid/>
        <w:spacing w:line="300" w:lineRule="exact"/>
        <w:ind w:left="959" w:leftChars="200" w:right="0" w:rightChars="0" w:hanging="565" w:hangingChars="287"/>
        <w:jc w:val="both"/>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注：1.品种划分：A类品种包括嘉茗1号（乌牛早）、平阳特早、龙井43、中茶108、黄叶早等。B类品种包括浙农113、浙农117、浙农139、龙井长叶、迎霜、福鼎大白茶、安吉白茶、白叶1号、薮北、翠峰、槠叶齐、菊花春等。C类品种包括鸠坑、群体种等。不在上述列举范围的茶叶品种，由当地县级茶叶主管部门根据茶叶品种的生长属性提出意见，并由市级茶叶主管部门与保险公司协调统一后确定A、B、C品种归类。</w:t>
      </w:r>
    </w:p>
    <w:p>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788" w:firstLineChars="400"/>
        <w:jc w:val="both"/>
        <w:textAlignment w:val="center"/>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2.海拔500米（含）以上乌牛早品种需经县级茶叶主管部门确认后投保。</w:t>
      </w:r>
    </w:p>
    <w:p>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788" w:firstLineChars="400"/>
        <w:jc w:val="both"/>
        <w:textAlignment w:val="center"/>
        <w:rPr>
          <w:rFonts w:hint="default" w:ascii="Times New Roman" w:hAnsi="Times New Roman" w:eastAsia="仿宋_GB2312" w:cs="Times New Roman"/>
          <w:bCs/>
          <w:color w:val="000000" w:themeColor="text1"/>
          <w:sz w:val="21"/>
          <w:szCs w:val="21"/>
          <w14:textFill>
            <w14:solidFill>
              <w14:schemeClr w14:val="tx1"/>
            </w14:solidFill>
          </w14:textFill>
        </w:rPr>
      </w:pPr>
      <w:r>
        <w:rPr>
          <w:rFonts w:hint="default" w:ascii="Times New Roman" w:hAnsi="Times New Roman" w:eastAsia="仿宋_GB2312" w:cs="Times New Roman"/>
          <w:bCs/>
          <w:color w:val="000000" w:themeColor="text1"/>
          <w:sz w:val="21"/>
          <w:szCs w:val="21"/>
          <w14:textFill>
            <w14:solidFill>
              <w14:schemeClr w14:val="tx1"/>
            </w14:solidFill>
          </w14:textFill>
        </w:rPr>
        <w:t>3.抹茶生产茶园经县级茶叶主管部门确认后可按照C类品种投保。</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按照就近原则，投保茶园气象数据以投保时约定的气象监测站数据为依据，气象监测站仪器发生故障等原因导致数据失真或缺测时，采用投保时约定的备用气象监测站数据为依据，一旦约定双方不得随意更改。</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四）理赔触发机制以投保时约定气象监测站覆盖的茶园为一个风险单元，监测站实测日最低气温达到0℃（含）以下并对应产生赔偿金额时视为保险事故发生。触赔日起10天为一个理赔周期，选取赔偿金额最高一次进行赔付，其对应日期为理赔日；</w:t>
      </w:r>
      <w:r>
        <w:rPr>
          <w:rFonts w:hint="default" w:ascii="Times New Roman" w:hAnsi="Times New Roman" w:eastAsia="仿宋_GB2312" w:cs="Times New Roman"/>
          <w:color w:val="000000" w:themeColor="text1"/>
          <w:sz w:val="32"/>
          <w:szCs w:val="32"/>
          <w14:textFill>
            <w14:solidFill>
              <w14:schemeClr w14:val="tx1"/>
            </w14:solidFill>
          </w14:textFill>
        </w:rPr>
        <w:t>若理赔周期内发生多次最高赔偿金额相同时按首次出现最高赔偿金额对应的日期作为理赔日；若理赔日为理赔周期的最后一天，且理赔日次日气温仍持续触发理赔，则理赔周期顺延，直至触发理赔结束，赔款按该顺延理赔周期内（顺延理赔周期指触发理赔之日起至触发理赔结束止）赔偿金额最高一次计算赔付。</w:t>
      </w:r>
      <w:r>
        <w:rPr>
          <w:rFonts w:hint="default" w:ascii="Times New Roman" w:hAnsi="Times New Roman" w:eastAsia="仿宋_GB2312" w:cs="Times New Roman"/>
          <w:bCs/>
          <w:color w:val="000000" w:themeColor="text1"/>
          <w:sz w:val="32"/>
          <w:szCs w:val="32"/>
          <w14:textFill>
            <w14:solidFill>
              <w14:schemeClr w14:val="tx1"/>
            </w14:solidFill>
          </w14:textFill>
        </w:rPr>
        <w:t>自理赔周期结束次日起按照本段上述方法重新计算另一个理赔周期，一个理赔周期内限赔一次。保险期间内实行累计赔偿，但每亩累计赔偿金额以保额为限。</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五）如果被保险人对气象数据的准确性有异议，可向保险人要求查看保险合同双方约定气象监测站监测数据，保险人应予配合，如被保险人仍有异议，应当向保险人提供保险合同双方约定的数据提供机构盖章证明的天气数据。</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（六）如果被保险人对保险人的损失计算方法有异议，应当向保险人书面提出被保险人自己的计算方法。</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七、责任免除</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本保险仅对保险合同约定的低温指数进行赔偿，除此以外，投保人或被保险人发生的任何损失、费用，保险人均不负责赔偿。</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八、诉讼有效期</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被保险人向保险人请求赔偿的诉讼时效期间为二年，自其知道或者应当知道保险事故发生之日起计算。</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九、其他事项</w:t>
      </w:r>
    </w:p>
    <w:p>
      <w:pPr>
        <w:keepNext w:val="0"/>
        <w:keepLines w:val="0"/>
        <w:pageBreakBefore w:val="0"/>
        <w:widowControl/>
        <w:shd w:val="clear"/>
        <w:kinsoku/>
        <w:wordWrap/>
        <w:overflowPunct/>
        <w:topLinePunct w:val="0"/>
        <w:autoSpaceDE/>
        <w:autoSpaceDN/>
        <w:bidi w:val="0"/>
        <w:adjustRightInd w:val="0"/>
        <w:snapToGrid w:val="0"/>
        <w:spacing w:line="580" w:lineRule="exact"/>
        <w:ind w:left="0" w:leftChars="0" w:right="0" w:rightChars="0" w:firstLine="614" w:firstLineChars="200"/>
        <w:jc w:val="both"/>
        <w:textAlignment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（一）保险茶叶发生全部损失但不属于保险责任的，本保险责任终止，保险人按日比例计收自保险责任开始之日起至损失发生之日止期间的保险费，并退还剩余部分保险费。</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严格投保资格审查。投保时投保对象应提供相应承保面积的承包土地流转合同，保险公司对投保对象的投保亩数、投保品种等事项在其所在行政村公共区域进行不少于5天的公示，公示期间有异议的，保险公司应在调查确认后据实调整，确认无误后重新公示。</w:t>
      </w:r>
      <w:r>
        <w:rPr>
          <w:rFonts w:hint="default" w:ascii="Times New Roman" w:hAnsi="Times New Roman" w:eastAsia="仿宋_GB2312" w:cs="Times New Roman"/>
          <w:bCs/>
          <w:color w:val="000000" w:themeColor="text1"/>
          <w:sz w:val="32"/>
          <w:szCs w:val="32"/>
          <w14:textFill>
            <w14:solidFill>
              <w14:schemeClr w14:val="tx1"/>
            </w14:solidFill>
          </w14:textFill>
        </w:rPr>
        <w:t>公示无异议后，保险公司将投保情况报各区、县（市）农业农村局审核后，报市级茶叶主管部门备案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（三）理赔公示。保险周期结束，保险公司应将理赔情况在对应行政村公共区域进行不少于5天的公示，公示期间有异议的，保险公司应及时答复，妥善处理。</w:t>
      </w:r>
      <w:r>
        <w:rPr>
          <w:rFonts w:hint="default" w:ascii="Times New Roman" w:hAnsi="Times New Roman" w:eastAsia="仿宋_GB2312" w:cs="Times New Roman"/>
          <w:bCs/>
          <w:color w:val="000000" w:themeColor="text1"/>
          <w:sz w:val="32"/>
          <w:szCs w:val="32"/>
          <w14:textFill>
            <w14:solidFill>
              <w14:schemeClr w14:val="tx1"/>
            </w14:solidFill>
          </w14:textFill>
        </w:rPr>
        <w:t>公示无异议后，保险公司将理赔情况报各区、县（市）农业农村局审核后，报市级茶叶主管部门备案。</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加大造假处罚力度。保险公司对承保和理赔的有效性进行查验，发现虚报、谎报投保亩数、投保品种的，保险公司应当根据《保险法》的有关规定，依法依规解除保险合同，对于合同解除前发生的保险事故，保险公司不承担赔偿责任，当年保险费不予退还，并将投保人列为黑名单，取消次年投保资格。</w:t>
      </w:r>
      <w:r>
        <w:rPr>
          <w:rFonts w:hint="default" w:ascii="Times New Roman" w:hAnsi="Times New Roman" w:eastAsia="仿宋_GB2312" w:cs="Times New Roman"/>
          <w:bCs/>
          <w:color w:val="000000" w:themeColor="text1"/>
          <w:sz w:val="32"/>
          <w:szCs w:val="32"/>
          <w14:textFill>
            <w14:solidFill>
              <w14:schemeClr w14:val="tx1"/>
            </w14:solidFill>
          </w14:textFill>
        </w:rPr>
        <w:t>情节严重的，依法追究刑事责任。</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十、保险承办机构</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绍兴市茶叶低温气象指数保险业务经公开招标，由中标单位承办。</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本方案自2024年1月1日起实施，原方案自行废止。</w:t>
      </w:r>
    </w:p>
    <w:p>
      <w:pPr>
        <w:keepNext w:val="0"/>
        <w:keepLines w:val="0"/>
        <w:pageBreakBefore w:val="0"/>
        <w:shd w:val="clear"/>
        <w:kinsoku/>
        <w:wordWrap/>
        <w:overflowPunct/>
        <w:topLinePunct w:val="0"/>
        <w:autoSpaceDE/>
        <w:autoSpaceDN/>
        <w:bidi w:val="0"/>
        <w:adjustRightInd w:val="0"/>
        <w:snapToGrid w:val="0"/>
        <w:spacing w:line="580" w:lineRule="exact"/>
        <w:ind w:left="0" w:leftChars="0" w:right="0" w:rightChars="0" w:firstLine="614"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headerReference r:id="rId3" w:type="default"/>
      <w:footerReference r:id="rId4" w:type="default"/>
      <w:pgSz w:w="11906" w:h="16838"/>
      <w:pgMar w:top="2098" w:right="1531" w:bottom="1871" w:left="1531" w:header="851" w:footer="1531" w:gutter="0"/>
      <w:pgBorders>
        <w:top w:val="none" w:sz="0" w:space="0"/>
        <w:left w:val="none" w:sz="0" w:space="0"/>
        <w:bottom w:val="none" w:sz="0" w:space="0"/>
        <w:right w:val="none" w:sz="0" w:space="0"/>
      </w:pgBorders>
      <w:pgNumType w:fmt="decimal"/>
      <w:cols w:space="0" w:num="1"/>
      <w:rtlGutter w:val="0"/>
      <w:docGrid w:type="linesAndChars" w:linePitch="497"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98"/>
  <w:drawingGridVerticalSpacing w:val="4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3D"/>
    <w:rsid w:val="000074E2"/>
    <w:rsid w:val="00017890"/>
    <w:rsid w:val="00020710"/>
    <w:rsid w:val="00022AF7"/>
    <w:rsid w:val="00023AF2"/>
    <w:rsid w:val="000328A8"/>
    <w:rsid w:val="00032A9D"/>
    <w:rsid w:val="00035DF9"/>
    <w:rsid w:val="00043727"/>
    <w:rsid w:val="000638A3"/>
    <w:rsid w:val="00072168"/>
    <w:rsid w:val="00084133"/>
    <w:rsid w:val="000944FB"/>
    <w:rsid w:val="000A1A21"/>
    <w:rsid w:val="000B7181"/>
    <w:rsid w:val="000E647E"/>
    <w:rsid w:val="000E70B3"/>
    <w:rsid w:val="000E7889"/>
    <w:rsid w:val="000F6A5E"/>
    <w:rsid w:val="000F7A4D"/>
    <w:rsid w:val="00100E42"/>
    <w:rsid w:val="00102D95"/>
    <w:rsid w:val="00107117"/>
    <w:rsid w:val="00111100"/>
    <w:rsid w:val="00120133"/>
    <w:rsid w:val="001235AF"/>
    <w:rsid w:val="00123B83"/>
    <w:rsid w:val="00124337"/>
    <w:rsid w:val="001303EC"/>
    <w:rsid w:val="00132B6C"/>
    <w:rsid w:val="00144D75"/>
    <w:rsid w:val="001545C7"/>
    <w:rsid w:val="00170274"/>
    <w:rsid w:val="0017335C"/>
    <w:rsid w:val="00186D36"/>
    <w:rsid w:val="001A55A4"/>
    <w:rsid w:val="001B290F"/>
    <w:rsid w:val="001B7055"/>
    <w:rsid w:val="001C0EA0"/>
    <w:rsid w:val="001C1BFD"/>
    <w:rsid w:val="001C60AF"/>
    <w:rsid w:val="001C77EC"/>
    <w:rsid w:val="001E2C40"/>
    <w:rsid w:val="001F1691"/>
    <w:rsid w:val="00203427"/>
    <w:rsid w:val="00207D04"/>
    <w:rsid w:val="002232ED"/>
    <w:rsid w:val="00223350"/>
    <w:rsid w:val="002277D6"/>
    <w:rsid w:val="00231805"/>
    <w:rsid w:val="00243B27"/>
    <w:rsid w:val="002655A6"/>
    <w:rsid w:val="002715D8"/>
    <w:rsid w:val="00290920"/>
    <w:rsid w:val="002929AB"/>
    <w:rsid w:val="002A2266"/>
    <w:rsid w:val="002A5B3D"/>
    <w:rsid w:val="002A7035"/>
    <w:rsid w:val="002B44C5"/>
    <w:rsid w:val="002C0B64"/>
    <w:rsid w:val="002C1347"/>
    <w:rsid w:val="002C65BA"/>
    <w:rsid w:val="002D702E"/>
    <w:rsid w:val="00303C70"/>
    <w:rsid w:val="00314249"/>
    <w:rsid w:val="00350068"/>
    <w:rsid w:val="00352B4C"/>
    <w:rsid w:val="00376714"/>
    <w:rsid w:val="00380D96"/>
    <w:rsid w:val="00381249"/>
    <w:rsid w:val="003863B4"/>
    <w:rsid w:val="003909B7"/>
    <w:rsid w:val="00391932"/>
    <w:rsid w:val="003A495B"/>
    <w:rsid w:val="003A690D"/>
    <w:rsid w:val="003C13D7"/>
    <w:rsid w:val="003D0B88"/>
    <w:rsid w:val="003D44D7"/>
    <w:rsid w:val="003D6CF0"/>
    <w:rsid w:val="003E285C"/>
    <w:rsid w:val="003F1ADA"/>
    <w:rsid w:val="00400B71"/>
    <w:rsid w:val="0040519D"/>
    <w:rsid w:val="0041407A"/>
    <w:rsid w:val="0041783D"/>
    <w:rsid w:val="0042508F"/>
    <w:rsid w:val="0043099A"/>
    <w:rsid w:val="004325D0"/>
    <w:rsid w:val="00445E7C"/>
    <w:rsid w:val="00446042"/>
    <w:rsid w:val="004466DA"/>
    <w:rsid w:val="004567B3"/>
    <w:rsid w:val="00462D3F"/>
    <w:rsid w:val="00466656"/>
    <w:rsid w:val="00472E0E"/>
    <w:rsid w:val="004770D9"/>
    <w:rsid w:val="00484211"/>
    <w:rsid w:val="00486CFA"/>
    <w:rsid w:val="00495880"/>
    <w:rsid w:val="004B690E"/>
    <w:rsid w:val="004C1D60"/>
    <w:rsid w:val="004C768D"/>
    <w:rsid w:val="004D44CB"/>
    <w:rsid w:val="004D753A"/>
    <w:rsid w:val="004F599F"/>
    <w:rsid w:val="004F6009"/>
    <w:rsid w:val="00502C4D"/>
    <w:rsid w:val="005163C3"/>
    <w:rsid w:val="00521CB6"/>
    <w:rsid w:val="0052766C"/>
    <w:rsid w:val="00546117"/>
    <w:rsid w:val="00547266"/>
    <w:rsid w:val="00550AE0"/>
    <w:rsid w:val="00551FBC"/>
    <w:rsid w:val="00556DC5"/>
    <w:rsid w:val="005700BE"/>
    <w:rsid w:val="00573742"/>
    <w:rsid w:val="00594F6D"/>
    <w:rsid w:val="005973D4"/>
    <w:rsid w:val="005A38B1"/>
    <w:rsid w:val="005B045C"/>
    <w:rsid w:val="005B2F1E"/>
    <w:rsid w:val="005B5198"/>
    <w:rsid w:val="005C5304"/>
    <w:rsid w:val="005D6742"/>
    <w:rsid w:val="005E40AA"/>
    <w:rsid w:val="005E45AC"/>
    <w:rsid w:val="005E7D07"/>
    <w:rsid w:val="005F326D"/>
    <w:rsid w:val="00614B4A"/>
    <w:rsid w:val="00642A98"/>
    <w:rsid w:val="00644110"/>
    <w:rsid w:val="00644177"/>
    <w:rsid w:val="0065008A"/>
    <w:rsid w:val="00650AB7"/>
    <w:rsid w:val="00662600"/>
    <w:rsid w:val="0066591A"/>
    <w:rsid w:val="00675C40"/>
    <w:rsid w:val="00686731"/>
    <w:rsid w:val="00693636"/>
    <w:rsid w:val="00694ACE"/>
    <w:rsid w:val="006B5F98"/>
    <w:rsid w:val="006C07A9"/>
    <w:rsid w:val="006C428F"/>
    <w:rsid w:val="006C62ED"/>
    <w:rsid w:val="006D1099"/>
    <w:rsid w:val="006D1CB6"/>
    <w:rsid w:val="006D42CF"/>
    <w:rsid w:val="006D629C"/>
    <w:rsid w:val="006E105C"/>
    <w:rsid w:val="006E203A"/>
    <w:rsid w:val="006E74A6"/>
    <w:rsid w:val="006F43AE"/>
    <w:rsid w:val="0070458B"/>
    <w:rsid w:val="00716290"/>
    <w:rsid w:val="007251D8"/>
    <w:rsid w:val="0073669F"/>
    <w:rsid w:val="00742E96"/>
    <w:rsid w:val="00764342"/>
    <w:rsid w:val="00792824"/>
    <w:rsid w:val="00793D37"/>
    <w:rsid w:val="007A4068"/>
    <w:rsid w:val="007B781E"/>
    <w:rsid w:val="007D7DCC"/>
    <w:rsid w:val="007E1432"/>
    <w:rsid w:val="007E3CB8"/>
    <w:rsid w:val="007E685A"/>
    <w:rsid w:val="00804B39"/>
    <w:rsid w:val="00817AA3"/>
    <w:rsid w:val="00822D78"/>
    <w:rsid w:val="008271D3"/>
    <w:rsid w:val="00837E92"/>
    <w:rsid w:val="008543F8"/>
    <w:rsid w:val="008629F8"/>
    <w:rsid w:val="0088043F"/>
    <w:rsid w:val="00886859"/>
    <w:rsid w:val="008A00F0"/>
    <w:rsid w:val="008A11F2"/>
    <w:rsid w:val="008A37C6"/>
    <w:rsid w:val="008A37C8"/>
    <w:rsid w:val="008A7E4F"/>
    <w:rsid w:val="008B71D0"/>
    <w:rsid w:val="008C25A0"/>
    <w:rsid w:val="008D38FC"/>
    <w:rsid w:val="008E6E52"/>
    <w:rsid w:val="008F5C48"/>
    <w:rsid w:val="00903E35"/>
    <w:rsid w:val="009118AA"/>
    <w:rsid w:val="00926CB8"/>
    <w:rsid w:val="00933128"/>
    <w:rsid w:val="00937C94"/>
    <w:rsid w:val="009411B5"/>
    <w:rsid w:val="00943C00"/>
    <w:rsid w:val="00943CF9"/>
    <w:rsid w:val="00953A77"/>
    <w:rsid w:val="0095562D"/>
    <w:rsid w:val="00965C13"/>
    <w:rsid w:val="009772BD"/>
    <w:rsid w:val="00995E1B"/>
    <w:rsid w:val="009A2D77"/>
    <w:rsid w:val="009B1D38"/>
    <w:rsid w:val="009B38E0"/>
    <w:rsid w:val="009C6C9A"/>
    <w:rsid w:val="009D1338"/>
    <w:rsid w:val="009E238F"/>
    <w:rsid w:val="009F0CC2"/>
    <w:rsid w:val="00A02081"/>
    <w:rsid w:val="00A05FAB"/>
    <w:rsid w:val="00A10310"/>
    <w:rsid w:val="00A14A19"/>
    <w:rsid w:val="00A164E1"/>
    <w:rsid w:val="00A20B9B"/>
    <w:rsid w:val="00A22CB5"/>
    <w:rsid w:val="00A31314"/>
    <w:rsid w:val="00A324BE"/>
    <w:rsid w:val="00A37156"/>
    <w:rsid w:val="00A406A4"/>
    <w:rsid w:val="00A44024"/>
    <w:rsid w:val="00A553D2"/>
    <w:rsid w:val="00A64314"/>
    <w:rsid w:val="00A8071D"/>
    <w:rsid w:val="00AA3DE3"/>
    <w:rsid w:val="00AB03B3"/>
    <w:rsid w:val="00AD278E"/>
    <w:rsid w:val="00AF4D48"/>
    <w:rsid w:val="00B0175A"/>
    <w:rsid w:val="00B01C24"/>
    <w:rsid w:val="00B020F1"/>
    <w:rsid w:val="00B04747"/>
    <w:rsid w:val="00B10912"/>
    <w:rsid w:val="00B149EE"/>
    <w:rsid w:val="00B16BC2"/>
    <w:rsid w:val="00B20720"/>
    <w:rsid w:val="00B31A04"/>
    <w:rsid w:val="00B418EB"/>
    <w:rsid w:val="00B459B2"/>
    <w:rsid w:val="00B50D6C"/>
    <w:rsid w:val="00B665C3"/>
    <w:rsid w:val="00B77F89"/>
    <w:rsid w:val="00B87D8B"/>
    <w:rsid w:val="00BA18C5"/>
    <w:rsid w:val="00BA2A32"/>
    <w:rsid w:val="00BB097A"/>
    <w:rsid w:val="00BB6A26"/>
    <w:rsid w:val="00BE2812"/>
    <w:rsid w:val="00C03730"/>
    <w:rsid w:val="00C11542"/>
    <w:rsid w:val="00C20AF3"/>
    <w:rsid w:val="00C260BB"/>
    <w:rsid w:val="00C27958"/>
    <w:rsid w:val="00C325F5"/>
    <w:rsid w:val="00C328C9"/>
    <w:rsid w:val="00C54449"/>
    <w:rsid w:val="00C57A05"/>
    <w:rsid w:val="00C630FC"/>
    <w:rsid w:val="00C6459F"/>
    <w:rsid w:val="00C7288F"/>
    <w:rsid w:val="00C80374"/>
    <w:rsid w:val="00C8224F"/>
    <w:rsid w:val="00C966D7"/>
    <w:rsid w:val="00CA536F"/>
    <w:rsid w:val="00CD6540"/>
    <w:rsid w:val="00CF0A65"/>
    <w:rsid w:val="00D32C47"/>
    <w:rsid w:val="00D374E5"/>
    <w:rsid w:val="00D439C7"/>
    <w:rsid w:val="00D4654B"/>
    <w:rsid w:val="00D537F1"/>
    <w:rsid w:val="00D553C4"/>
    <w:rsid w:val="00D73F50"/>
    <w:rsid w:val="00D765B8"/>
    <w:rsid w:val="00D77363"/>
    <w:rsid w:val="00D86210"/>
    <w:rsid w:val="00D87EEA"/>
    <w:rsid w:val="00DA103C"/>
    <w:rsid w:val="00DA2D40"/>
    <w:rsid w:val="00DA6851"/>
    <w:rsid w:val="00DB6E70"/>
    <w:rsid w:val="00DC3BB9"/>
    <w:rsid w:val="00DC6893"/>
    <w:rsid w:val="00DD4CEC"/>
    <w:rsid w:val="00E0663D"/>
    <w:rsid w:val="00E116A3"/>
    <w:rsid w:val="00E25A50"/>
    <w:rsid w:val="00E302CB"/>
    <w:rsid w:val="00E361B4"/>
    <w:rsid w:val="00E40DD3"/>
    <w:rsid w:val="00E42D5A"/>
    <w:rsid w:val="00E46695"/>
    <w:rsid w:val="00E47613"/>
    <w:rsid w:val="00E53EBA"/>
    <w:rsid w:val="00E53F5F"/>
    <w:rsid w:val="00E61BD9"/>
    <w:rsid w:val="00E7060E"/>
    <w:rsid w:val="00E77B04"/>
    <w:rsid w:val="00E80C17"/>
    <w:rsid w:val="00E822B6"/>
    <w:rsid w:val="00E84E05"/>
    <w:rsid w:val="00E87B05"/>
    <w:rsid w:val="00E91053"/>
    <w:rsid w:val="00E969EA"/>
    <w:rsid w:val="00EA36C9"/>
    <w:rsid w:val="00EA6160"/>
    <w:rsid w:val="00EA7895"/>
    <w:rsid w:val="00EA7999"/>
    <w:rsid w:val="00EB235A"/>
    <w:rsid w:val="00EB5D92"/>
    <w:rsid w:val="00EC38A5"/>
    <w:rsid w:val="00ED761B"/>
    <w:rsid w:val="00EE0142"/>
    <w:rsid w:val="00EE0667"/>
    <w:rsid w:val="00EE54E5"/>
    <w:rsid w:val="00EE6D72"/>
    <w:rsid w:val="00EF7354"/>
    <w:rsid w:val="00F07930"/>
    <w:rsid w:val="00F14319"/>
    <w:rsid w:val="00F403E8"/>
    <w:rsid w:val="00F41E75"/>
    <w:rsid w:val="00F43025"/>
    <w:rsid w:val="00F44462"/>
    <w:rsid w:val="00F81F74"/>
    <w:rsid w:val="00F86A16"/>
    <w:rsid w:val="00F90F89"/>
    <w:rsid w:val="00FA13BA"/>
    <w:rsid w:val="00FB451C"/>
    <w:rsid w:val="00FB4A3B"/>
    <w:rsid w:val="00FB528C"/>
    <w:rsid w:val="00FD28A2"/>
    <w:rsid w:val="00FE6A30"/>
    <w:rsid w:val="00FE7474"/>
    <w:rsid w:val="00FF0D5F"/>
    <w:rsid w:val="00FF0FC4"/>
    <w:rsid w:val="00FF3CDE"/>
    <w:rsid w:val="012E3700"/>
    <w:rsid w:val="01300E62"/>
    <w:rsid w:val="01821105"/>
    <w:rsid w:val="026B0A0B"/>
    <w:rsid w:val="0271067F"/>
    <w:rsid w:val="057D294D"/>
    <w:rsid w:val="0EDB0534"/>
    <w:rsid w:val="0FF20B8E"/>
    <w:rsid w:val="10D410BA"/>
    <w:rsid w:val="12807F2E"/>
    <w:rsid w:val="14762EC4"/>
    <w:rsid w:val="15333657"/>
    <w:rsid w:val="15F84CE7"/>
    <w:rsid w:val="17DB1805"/>
    <w:rsid w:val="1AD168AC"/>
    <w:rsid w:val="1C0C3470"/>
    <w:rsid w:val="1CD47EB6"/>
    <w:rsid w:val="1E5F3ED9"/>
    <w:rsid w:val="1F7FB0D5"/>
    <w:rsid w:val="1FB23728"/>
    <w:rsid w:val="21E565C0"/>
    <w:rsid w:val="23200536"/>
    <w:rsid w:val="23AD0F70"/>
    <w:rsid w:val="23B30DFF"/>
    <w:rsid w:val="26B455E6"/>
    <w:rsid w:val="293C6D46"/>
    <w:rsid w:val="2D4B5630"/>
    <w:rsid w:val="2D8F77F4"/>
    <w:rsid w:val="31486E7D"/>
    <w:rsid w:val="3BFC5CEC"/>
    <w:rsid w:val="3D4FAC8D"/>
    <w:rsid w:val="3FC10FBB"/>
    <w:rsid w:val="42C964D5"/>
    <w:rsid w:val="46E635B2"/>
    <w:rsid w:val="4BB636AA"/>
    <w:rsid w:val="4EC92F2E"/>
    <w:rsid w:val="51FB37FD"/>
    <w:rsid w:val="56555197"/>
    <w:rsid w:val="58F47C65"/>
    <w:rsid w:val="5DD031BD"/>
    <w:rsid w:val="644E42DB"/>
    <w:rsid w:val="680B5BBC"/>
    <w:rsid w:val="6A1318E5"/>
    <w:rsid w:val="6A833CA4"/>
    <w:rsid w:val="6D674A9A"/>
    <w:rsid w:val="71103859"/>
    <w:rsid w:val="73227321"/>
    <w:rsid w:val="73692E46"/>
    <w:rsid w:val="768814D7"/>
    <w:rsid w:val="76E446FC"/>
    <w:rsid w:val="76FA7E17"/>
    <w:rsid w:val="798D7E04"/>
    <w:rsid w:val="79C2425E"/>
    <w:rsid w:val="7B7E85AB"/>
    <w:rsid w:val="7BB16CB5"/>
    <w:rsid w:val="7C6032F2"/>
    <w:rsid w:val="7C973A23"/>
    <w:rsid w:val="7D233001"/>
    <w:rsid w:val="7E005AA9"/>
    <w:rsid w:val="7EF370B0"/>
    <w:rsid w:val="7EFD1C04"/>
    <w:rsid w:val="7F7BE3D7"/>
    <w:rsid w:val="7FEFAB80"/>
    <w:rsid w:val="7FF7FDDB"/>
    <w:rsid w:val="7FFBE21F"/>
    <w:rsid w:val="B69EB8C4"/>
    <w:rsid w:val="BF3E625A"/>
    <w:rsid w:val="D7ABB2FF"/>
    <w:rsid w:val="DFDAF5E4"/>
    <w:rsid w:val="EDDD3338"/>
    <w:rsid w:val="EF5A9B49"/>
    <w:rsid w:val="EFF515EB"/>
    <w:rsid w:val="F7F70972"/>
    <w:rsid w:val="FBE3D23F"/>
    <w:rsid w:val="FD7F19AF"/>
    <w:rsid w:val="FE4F8EBB"/>
    <w:rsid w:val="FEB4D356"/>
    <w:rsid w:val="FFFB4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8"/>
    <w:unhideWhenUsed/>
    <w:qFormat/>
    <w:uiPriority w:val="0"/>
    <w:rPr>
      <w:rFonts w:ascii="宋体" w:hAnsi="Courier New" w:cs="Courier New"/>
      <w:kern w:val="0"/>
      <w:sz w:val="20"/>
      <w:szCs w:val="21"/>
    </w:rPr>
  </w:style>
  <w:style w:type="paragraph" w:styleId="4">
    <w:name w:val="Date"/>
    <w:basedOn w:val="1"/>
    <w:next w:val="1"/>
    <w:link w:val="13"/>
    <w:qFormat/>
    <w:uiPriority w:val="0"/>
    <w:rPr>
      <w:rFonts w:eastAsia="仿宋_GB2312"/>
      <w:sz w:val="32"/>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日期 Char"/>
    <w:basedOn w:val="10"/>
    <w:link w:val="4"/>
    <w:qFormat/>
    <w:uiPriority w:val="0"/>
    <w:rPr>
      <w:rFonts w:ascii="Times New Roman" w:hAnsi="Times New Roman" w:eastAsia="仿宋_GB2312" w:cs="Times New Roman"/>
      <w:sz w:val="32"/>
      <w:szCs w:val="20"/>
    </w:rPr>
  </w:style>
  <w:style w:type="character" w:customStyle="1" w:styleId="14">
    <w:name w:val="页眉 Char"/>
    <w:basedOn w:val="10"/>
    <w:link w:val="6"/>
    <w:qFormat/>
    <w:uiPriority w:val="0"/>
    <w:rPr>
      <w:rFonts w:ascii="Times New Roman" w:hAnsi="Times New Roman" w:eastAsia="宋体" w:cs="Times New Roman"/>
      <w:sz w:val="18"/>
      <w:szCs w:val="18"/>
    </w:rPr>
  </w:style>
  <w:style w:type="character" w:customStyle="1" w:styleId="15">
    <w:name w:val="apple-converted-space"/>
    <w:basedOn w:val="10"/>
    <w:qFormat/>
    <w:uiPriority w:val="0"/>
  </w:style>
  <w:style w:type="paragraph" w:customStyle="1" w:styleId="16">
    <w:name w:val="样式4"/>
    <w:basedOn w:val="1"/>
    <w:qFormat/>
    <w:uiPriority w:val="0"/>
    <w:pPr>
      <w:spacing w:line="600" w:lineRule="exact"/>
      <w:ind w:firstLine="640" w:firstLineChars="200"/>
    </w:pPr>
    <w:rPr>
      <w:rFonts w:eastAsia="仿宋_GB2312"/>
      <w:sz w:val="32"/>
      <w:szCs w:val="32"/>
    </w:rPr>
  </w:style>
  <w:style w:type="character" w:customStyle="1" w:styleId="17">
    <w:name w:val="纯文本 Char"/>
    <w:basedOn w:val="10"/>
    <w:link w:val="3"/>
    <w:qFormat/>
    <w:uiPriority w:val="0"/>
    <w:rPr>
      <w:rFonts w:ascii="宋体" w:hAnsi="Courier New" w:cs="Courier New"/>
      <w:szCs w:val="21"/>
    </w:rPr>
  </w:style>
  <w:style w:type="character" w:customStyle="1" w:styleId="18">
    <w:name w:val="纯文本 Char1"/>
    <w:basedOn w:val="10"/>
    <w:link w:val="3"/>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732</Words>
  <Characters>4176</Characters>
  <Lines>34</Lines>
  <Paragraphs>9</Paragraphs>
  <TotalTime>1</TotalTime>
  <ScaleCrop>false</ScaleCrop>
  <LinksUpToDate>false</LinksUpToDate>
  <CharactersWithSpaces>4899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2020-01-07T02:43:00Z</dcterms:created>
  <dc:creator>USER</dc:creator>
  <cp:lastModifiedBy>thtf</cp:lastModifiedBy>
  <cp:lastPrinted>2019-12-25T02:24:00Z</cp:lastPrinted>
  <dcterms:modified xsi:type="dcterms:W3CDTF">2023-11-16T16:34:37Z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C28AE2CDB0DB4828B62760823959E80E</vt:lpwstr>
  </property>
</Properties>
</file>