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kern w:val="0"/>
          <w:sz w:val="44"/>
          <w:szCs w:val="44"/>
          <w:shd w:val="clear" w:color="auto" w:fill="auto"/>
        </w:rPr>
      </w:pPr>
      <w:r>
        <w:rPr>
          <w:rFonts w:hint="eastAsia" w:ascii="方正小标宋简体" w:hAnsi="方正小标宋简体" w:eastAsia="方正小标宋简体" w:cs="方正小标宋简体"/>
          <w:b w:val="0"/>
          <w:bCs w:val="0"/>
          <w:color w:val="333333"/>
          <w:kern w:val="0"/>
          <w:sz w:val="44"/>
          <w:szCs w:val="44"/>
          <w:shd w:val="clear" w:color="auto" w:fill="auto"/>
          <w:lang w:eastAsia="zh-CN"/>
        </w:rPr>
        <w:t>平阳县用能权有偿使用和交易办法（试行）</w:t>
      </w:r>
    </w:p>
    <w:p>
      <w:pPr>
        <w:spacing w:line="600" w:lineRule="exact"/>
        <w:jc w:val="center"/>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kern w:val="2"/>
          <w:sz w:val="32"/>
          <w:szCs w:val="32"/>
          <w:lang w:val="en-US" w:eastAsia="zh-CN" w:bidi="ar-SA"/>
        </w:rPr>
        <w:t>（征求意见稿）</w:t>
      </w:r>
    </w:p>
    <w:p>
      <w:pPr>
        <w:widowControl/>
        <w:ind w:firstLine="640" w:firstLineChars="200"/>
        <w:jc w:val="left"/>
        <w:rPr>
          <w:rFonts w:hint="eastAsia" w:ascii="黑体" w:hAnsi="黑体" w:eastAsia="黑体" w:cs="Helvetica"/>
          <w:color w:val="000000" w:themeColor="text1"/>
          <w:kern w:val="0"/>
          <w:sz w:val="32"/>
          <w:szCs w:val="32"/>
          <w14:textFill>
            <w14:solidFill>
              <w14:schemeClr w14:val="tx1"/>
            </w14:solidFill>
          </w14:textFill>
        </w:rPr>
      </w:pPr>
    </w:p>
    <w:p>
      <w:pPr>
        <w:widowControl/>
        <w:ind w:firstLine="640" w:firstLineChars="200"/>
        <w:jc w:val="left"/>
        <w:rPr>
          <w:rFonts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一、交易范围</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交易主体</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用能权交易主体为县政府和有关企业。当前交易主要以企业与政府之间交易为主；鼓励节能技术改造，产生的节能量可进行企业与企业之间交易。</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（二）申购方</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2022年1月1日起，未取得节能审查意见，单位工业增加值能耗高于全省“十四五”控制目标（0.52吨标准煤/万元）且未纳入高耗能行业缓批限批范围的新建、改建、扩建用能项目。</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其中列入信用管理严重失信名单的企业、纳入缓批限批行业项目不得申购用能权指标。“亩均效益”综合评价为末档、列入国家落后产能淘汰目录的企业，不得申购同一类产能的用能权指标。</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（三）出让方</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一是</w:t>
      </w:r>
      <w:r>
        <w:rPr>
          <w:rFonts w:hint="eastAsia" w:ascii="仿宋_GB2312" w:eastAsia="仿宋_GB2312"/>
          <w:color w:val="000000" w:themeColor="text1"/>
          <w:sz w:val="32"/>
          <w:szCs w:val="32"/>
          <w:lang w:eastAsia="zh-CN"/>
          <w14:textFill>
            <w14:solidFill>
              <w14:schemeClr w14:val="tx1"/>
            </w14:solidFill>
          </w14:textFill>
        </w:rPr>
        <w:t>平阳</w:t>
      </w:r>
      <w:r>
        <w:rPr>
          <w:rFonts w:hint="eastAsia" w:ascii="仿宋_GB2312" w:eastAsia="仿宋_GB2312"/>
          <w:color w:val="000000" w:themeColor="text1"/>
          <w:sz w:val="32"/>
          <w:szCs w:val="32"/>
          <w14:textFill>
            <w14:solidFill>
              <w14:schemeClr w14:val="tx1"/>
            </w14:solidFill>
          </w14:textFill>
        </w:rPr>
        <w:t>县政府不低于20%且不超过50%的当年新增用能指标；二是2022年以来规模以上企业通过淘汰落后产能、压减过剩产能腾出的且未被平衡的用能空间；三是企业通过节能技术改造等方式产生的节能量。</w:t>
      </w:r>
    </w:p>
    <w:p>
      <w:pPr>
        <w:widowControl/>
        <w:ind w:firstLine="640" w:firstLineChars="200"/>
        <w:jc w:val="left"/>
        <w:rPr>
          <w:rFonts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二、交易程序</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（一）在线申请。交易</w:t>
      </w:r>
      <w:r>
        <w:rPr>
          <w:rFonts w:hint="eastAsia" w:ascii="仿宋_GB2312" w:eastAsia="仿宋_GB2312"/>
          <w:color w:val="000000" w:themeColor="text1"/>
          <w:sz w:val="32"/>
          <w:szCs w:val="32"/>
          <w14:textFill>
            <w14:solidFill>
              <w14:schemeClr w14:val="tx1"/>
            </w14:solidFill>
          </w14:textFill>
        </w:rPr>
        <w:t>双方在线提出用能申购、出让申请。</w:t>
      </w:r>
    </w:p>
    <w:p>
      <w:pPr>
        <w:ind w:firstLine="640" w:firstLineChars="200"/>
        <w:jc w:val="left"/>
        <w:rPr>
          <w:rFonts w:ascii="仿宋_GB2312" w:eastAsia="仿宋_GB2312"/>
          <w:sz w:val="32"/>
          <w:szCs w:val="32"/>
        </w:rPr>
      </w:pPr>
      <w:r>
        <w:rPr>
          <w:rFonts w:hint="eastAsia" w:ascii="仿宋_GB2312" w:eastAsia="仿宋_GB2312"/>
          <w:sz w:val="32"/>
          <w:szCs w:val="32"/>
        </w:rPr>
        <w:t>申购方应当提交用能单位的基本信息表、新增用能项目申购登记表、节能评估报告、可行性研究报告等。</w:t>
      </w:r>
    </w:p>
    <w:p>
      <w:pPr>
        <w:ind w:firstLine="640" w:firstLineChars="200"/>
        <w:jc w:val="left"/>
        <w:rPr>
          <w:rFonts w:ascii="仿宋_GB2312" w:eastAsia="仿宋_GB2312"/>
          <w:sz w:val="32"/>
          <w:szCs w:val="32"/>
        </w:rPr>
      </w:pPr>
      <w:r>
        <w:rPr>
          <w:rFonts w:hint="eastAsia" w:ascii="仿宋_GB2312" w:eastAsia="仿宋_GB2312"/>
          <w:sz w:val="32"/>
          <w:szCs w:val="32"/>
        </w:rPr>
        <w:t>出让方应当提交用能单位的基本信息表、淘汰落后产能和压减过剩产能腾出的用能量出让登记表、企业通过节能技术改造等方式产生的节能量出让登记表、近三年上报统计局能耗报表、淘汰落后产能验收意见表等有关材料。</w:t>
      </w:r>
    </w:p>
    <w:p>
      <w:pPr>
        <w:ind w:firstLine="640" w:firstLineChars="200"/>
        <w:jc w:val="left"/>
        <w:rPr>
          <w:rFonts w:ascii="仿宋_GB2312" w:eastAsia="仿宋_GB2312"/>
          <w:sz w:val="32"/>
          <w:szCs w:val="32"/>
        </w:rPr>
      </w:pPr>
      <w:r>
        <w:rPr>
          <w:rFonts w:hint="eastAsia" w:ascii="仿宋_GB2312" w:eastAsia="仿宋_GB2312"/>
          <w:sz w:val="32"/>
          <w:szCs w:val="32"/>
        </w:rPr>
        <w:t>（二）形式审核。县节能主管部门对申请材料的规范性、真实性、完整性进行形式审核。</w:t>
      </w:r>
    </w:p>
    <w:p>
      <w:pPr>
        <w:ind w:firstLine="640" w:firstLineChars="200"/>
        <w:jc w:val="left"/>
        <w:rPr>
          <w:rFonts w:ascii="仿宋_GB2312" w:eastAsia="仿宋_GB2312"/>
          <w:sz w:val="32"/>
          <w:szCs w:val="32"/>
        </w:rPr>
      </w:pPr>
      <w:r>
        <w:rPr>
          <w:rFonts w:hint="eastAsia" w:ascii="仿宋_GB2312" w:eastAsia="仿宋_GB2312"/>
          <w:sz w:val="32"/>
          <w:szCs w:val="32"/>
        </w:rPr>
        <w:t>（三）用能确权。出让的用能权指标需经第三方审核机构审核的，由县节能主管部门委托第三方审核机构审核。淘汰落后产能和压减过剩产能腾出的用能量、企业通过节能技术改造等方式产生的节能量应当经第三方审核机构审核。</w:t>
      </w:r>
    </w:p>
    <w:p>
      <w:pPr>
        <w:ind w:firstLine="640" w:firstLineChars="200"/>
        <w:jc w:val="left"/>
        <w:rPr>
          <w:rFonts w:ascii="仿宋_GB2312" w:eastAsia="仿宋_GB2312"/>
          <w:sz w:val="32"/>
          <w:szCs w:val="32"/>
        </w:rPr>
      </w:pPr>
      <w:r>
        <w:rPr>
          <w:rFonts w:hint="eastAsia" w:ascii="仿宋_GB2312" w:eastAsia="仿宋_GB2312"/>
          <w:sz w:val="32"/>
          <w:szCs w:val="32"/>
        </w:rPr>
        <w:t>第三方审核机构审核后，应当及时提交审核报告。县级以上人民政府节能主管部门收到审核报告后10个工作日内，出具确权意见书。</w:t>
      </w:r>
    </w:p>
    <w:p>
      <w:pPr>
        <w:ind w:firstLine="640" w:firstLineChars="200"/>
        <w:jc w:val="left"/>
        <w:rPr>
          <w:rFonts w:ascii="仿宋_GB2312" w:eastAsia="仿宋_GB2312"/>
          <w:sz w:val="32"/>
          <w:szCs w:val="32"/>
        </w:rPr>
      </w:pPr>
      <w:r>
        <w:rPr>
          <w:rFonts w:hint="eastAsia" w:ascii="仿宋_GB2312" w:eastAsia="仿宋_GB2312"/>
          <w:sz w:val="32"/>
          <w:szCs w:val="32"/>
        </w:rPr>
        <w:t>（四）发布公告。县节能主管部门在受理申请后发布申购和出让公告，并同步推送至浙江省公共资源交易服务平台。出让的用能权指标需经确权的，县节能主管部门在出具确权意见书后同步在交易平台上发布出让公告。</w:t>
      </w:r>
    </w:p>
    <w:p>
      <w:pPr>
        <w:ind w:firstLine="640" w:firstLineChars="200"/>
        <w:jc w:val="left"/>
        <w:rPr>
          <w:rFonts w:ascii="仿宋_GB2312" w:eastAsia="仿宋_GB2312"/>
          <w:sz w:val="32"/>
          <w:szCs w:val="32"/>
        </w:rPr>
      </w:pPr>
      <w:r>
        <w:rPr>
          <w:rFonts w:hint="eastAsia" w:ascii="仿宋_GB2312" w:eastAsia="仿宋_GB2312"/>
          <w:sz w:val="32"/>
          <w:szCs w:val="32"/>
        </w:rPr>
        <w:t>（五）预交易。公告发布后，交易双方实施预交易。预交易完成后，交易结果在交易平台上公示，并同步推送至浙江省公共资源交易服务平台，公示时间不少于5个工作日，公示期满，县节能主管部门出具预交易确认书。申购方凭预交易确认书，向县节能主管部门申请取得节能审查意见。</w:t>
      </w:r>
    </w:p>
    <w:p>
      <w:pPr>
        <w:ind w:firstLine="640" w:firstLineChars="200"/>
        <w:jc w:val="left"/>
        <w:rPr>
          <w:rFonts w:ascii="仿宋_GB2312" w:eastAsia="仿宋_GB2312"/>
          <w:sz w:val="32"/>
          <w:szCs w:val="32"/>
        </w:rPr>
      </w:pPr>
      <w:r>
        <w:rPr>
          <w:rFonts w:hint="eastAsia" w:ascii="仿宋_GB2312" w:eastAsia="仿宋_GB2312"/>
          <w:sz w:val="32"/>
          <w:szCs w:val="32"/>
        </w:rPr>
        <w:t>（六）合同签订。用能单位申购用能权指标的，应当在申购方取得节能审查意见后一个月内完成合同签订；向政府出让用能权指标的，应当在实施交易的当日签订合同。</w:t>
      </w:r>
    </w:p>
    <w:p>
      <w:pPr>
        <w:ind w:firstLine="640" w:firstLineChars="200"/>
        <w:jc w:val="left"/>
        <w:rPr>
          <w:rFonts w:ascii="仿宋_GB2312" w:eastAsia="仿宋_GB2312"/>
          <w:sz w:val="32"/>
          <w:szCs w:val="32"/>
        </w:rPr>
      </w:pPr>
      <w:r>
        <w:rPr>
          <w:rFonts w:hint="eastAsia" w:ascii="仿宋_GB2312" w:eastAsia="仿宋_GB2312"/>
          <w:sz w:val="32"/>
          <w:szCs w:val="32"/>
        </w:rPr>
        <w:t>（七）交易履约。申购方应当在合同签订后10个工作日内完成费用支付。交易款项支付后，县节能主管部门负责划转用能指标。</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（八）用能监测。完成交易的新增用能项目应当接入浙江省重点用能单位能耗在线监测系统，实施能耗在线监测。</w:t>
      </w:r>
    </w:p>
    <w:p>
      <w:pPr>
        <w:widowControl/>
        <w:ind w:firstLine="640" w:firstLineChars="200"/>
        <w:jc w:val="left"/>
        <w:rPr>
          <w:rFonts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三、交易价格</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（一）申购、出让价格</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考虑我县为山区26县，按照全省基准价400元/吨标煤的七折考虑，暂定我县用能权交易基准价为280元/吨标煤。跨县区的交易价格由市级节能主管部门确定。交易价格在基准价的基础上按一定比例进行浮动，计算公式如下</w:t>
      </w:r>
      <w:r>
        <w:rPr>
          <w:rFonts w:hint="eastAsia" w:ascii="仿宋_GB2312" w:eastAsia="仿宋_GB2312"/>
          <w:color w:val="000000" w:themeColor="text1"/>
          <w:sz w:val="32"/>
          <w:szCs w:val="32"/>
          <w:lang w:eastAsia="zh-CN"/>
          <w14:textFill>
            <w14:solidFill>
              <w14:schemeClr w14:val="tx1"/>
            </w14:solidFill>
          </w14:textFill>
        </w:rPr>
        <w:t>：</w:t>
      </w:r>
      <w:bookmarkStart w:id="0" w:name="_GoBack"/>
      <w:bookmarkEnd w:id="0"/>
    </w:p>
    <w:p>
      <w:pPr>
        <w:ind w:firstLine="640" w:firstLineChars="200"/>
        <w:jc w:val="left"/>
        <w:rPr>
          <w:rFonts w:ascii="仿宋_GB2312" w:eastAsia="仿宋_GB2312"/>
          <w:color w:val="000000" w:themeColor="text1"/>
          <w:sz w:val="32"/>
          <w:szCs w:val="32"/>
          <w14:textFill>
            <w14:solidFill>
              <w14:schemeClr w14:val="tx1"/>
            </w14:solidFill>
          </w14:textFill>
        </w:rPr>
      </w:pPr>
      <m:oMathPara>
        <m:oMath>
          <m:r>
            <m:rPr>
              <m:sty m:val="p"/>
            </m:rPr>
            <w:rPr>
              <w:rFonts w:ascii="Cambria Math" w:hAnsi="Cambria Math" w:eastAsia="仿宋_GB2312"/>
              <w:color w:val="000000" w:themeColor="text1"/>
              <w:sz w:val="32"/>
              <w:szCs w:val="32"/>
              <w14:textFill>
                <w14:solidFill>
                  <w14:schemeClr w14:val="tx1"/>
                </w14:solidFill>
              </w14:textFill>
            </w:rPr>
            <m:t>交易价格=</m:t>
          </m:r>
          <m:r>
            <m:rPr>
              <m:sty m:val="p"/>
            </m:rPr>
            <w:rPr>
              <w:rFonts w:hint="eastAsia" w:ascii="Cambria Math" w:hAnsi="Cambria Math" w:eastAsia="仿宋_GB2312"/>
              <w:color w:val="000000" w:themeColor="text1"/>
              <w:sz w:val="32"/>
              <w:szCs w:val="32"/>
              <w14:textFill>
                <w14:solidFill>
                  <w14:schemeClr w14:val="tx1"/>
                </w14:solidFill>
              </w14:textFill>
            </w:rPr>
            <m:t>280</m:t>
          </m:r>
          <m:r>
            <m:rPr>
              <m:sty m:val="p"/>
            </m:rPr>
            <w:rPr>
              <w:rFonts w:ascii="Cambria Math" w:hAnsi="Cambria Math" w:eastAsia="仿宋_GB2312"/>
              <w:color w:val="000000" w:themeColor="text1"/>
              <w:sz w:val="32"/>
              <w:szCs w:val="32"/>
              <w14:textFill>
                <w14:solidFill>
                  <w14:schemeClr w14:val="tx1"/>
                </w14:solidFill>
              </w14:textFill>
            </w:rPr>
            <m:t>×</m:t>
          </m:r>
          <m:r>
            <m:rPr/>
            <w:rPr>
              <w:rFonts w:ascii="Cambria Math" w:hAnsi="Cambria Math" w:eastAsia="仿宋_GB2312"/>
              <w:color w:val="000000" w:themeColor="text1"/>
              <w:sz w:val="32"/>
              <w:szCs w:val="32"/>
              <w14:textFill>
                <w14:solidFill>
                  <w14:schemeClr w14:val="tx1"/>
                </w14:solidFill>
              </w14:textFill>
            </w:rPr>
            <m:t>A</m:t>
          </m:r>
          <m:r>
            <m:rPr>
              <m:sty m:val="p"/>
            </m:rPr>
            <w:rPr>
              <w:rFonts w:ascii="Cambria Math" w:hAnsi="Cambria Math" w:eastAsia="仿宋_GB2312"/>
              <w:color w:val="000000" w:themeColor="text1"/>
              <w:sz w:val="32"/>
              <w:szCs w:val="32"/>
              <w14:textFill>
                <w14:solidFill>
                  <w14:schemeClr w14:val="tx1"/>
                </w14:solidFill>
              </w14:textFill>
            </w:rPr>
            <m:t>×</m:t>
          </m:r>
          <m:f>
            <m:fPr>
              <m:ctrlPr>
                <w:rPr>
                  <w:rFonts w:ascii="Cambria Math" w:hAnsi="Cambria Math" w:eastAsia="仿宋_GB2312"/>
                  <w:color w:val="000000" w:themeColor="text1"/>
                  <w:sz w:val="32"/>
                  <w:szCs w:val="32"/>
                  <w14:textFill>
                    <w14:solidFill>
                      <w14:schemeClr w14:val="tx1"/>
                    </w14:solidFill>
                  </w14:textFill>
                </w:rPr>
              </m:ctrlPr>
            </m:fPr>
            <m:num>
              <m:r>
                <m:rPr/>
                <w:rPr>
                  <w:rFonts w:ascii="Cambria Math" w:hAnsi="Cambria Math" w:eastAsia="仿宋_GB2312"/>
                  <w:color w:val="000000" w:themeColor="text1"/>
                  <w:sz w:val="32"/>
                  <w:szCs w:val="32"/>
                  <w14:textFill>
                    <w14:solidFill>
                      <w14:schemeClr w14:val="tx1"/>
                    </w14:solidFill>
                  </w14:textFill>
                </w:rPr>
                <m:t>B</m:t>
              </m:r>
              <m:ctrlPr>
                <w:rPr>
                  <w:rFonts w:ascii="Cambria Math" w:hAnsi="Cambria Math" w:eastAsia="仿宋_GB2312"/>
                  <w:color w:val="000000" w:themeColor="text1"/>
                  <w:sz w:val="32"/>
                  <w:szCs w:val="32"/>
                  <w14:textFill>
                    <w14:solidFill>
                      <w14:schemeClr w14:val="tx1"/>
                    </w14:solidFill>
                  </w14:textFill>
                </w:rPr>
              </m:ctrlPr>
            </m:num>
            <m:den>
              <m:r>
                <m:rPr/>
                <w:rPr>
                  <w:rFonts w:ascii="Cambria Math" w:hAnsi="Cambria Math" w:eastAsia="仿宋_GB2312"/>
                  <w:color w:val="000000" w:themeColor="text1"/>
                  <w:sz w:val="32"/>
                  <w:szCs w:val="32"/>
                  <w14:textFill>
                    <w14:solidFill>
                      <w14:schemeClr w14:val="tx1"/>
                    </w14:solidFill>
                  </w14:textFill>
                </w:rPr>
                <m:t>0.52</m:t>
              </m:r>
              <m:ctrlPr>
                <w:rPr>
                  <w:rFonts w:ascii="Cambria Math" w:hAnsi="Cambria Math" w:eastAsia="仿宋_GB2312"/>
                  <w:color w:val="000000" w:themeColor="text1"/>
                  <w:sz w:val="32"/>
                  <w:szCs w:val="32"/>
                  <w14:textFill>
                    <w14:solidFill>
                      <w14:schemeClr w14:val="tx1"/>
                    </w14:solidFill>
                  </w14:textFill>
                </w:rPr>
              </m:ctrlPr>
            </m:den>
          </m:f>
        </m:oMath>
      </m:oMathPara>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其中，A为节能主管部门的价格调整系数，其中投资超亿元企业系数A取0.5，其他一般企业系数A取1.0；B为新增用能项目节能评估报告或节能审查意见中的单位工业增加值能耗（吨标煤/万元）。</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（二）政府回购价格</w:t>
      </w:r>
    </w:p>
    <w:p>
      <w:pPr>
        <w:widowControl/>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规模以上企业通过淘汰落后产能、压减过剩产能腾出的用能空间，无偿取得的由县政府无偿回购，所在乡镇、平台需配合做好企业用能指标无偿回购工作，需第三方专业机构进行用能确权的，由县节能主管部门进行委托，经费列入财政预算。从县政府有偿购买取得的用能权指标，按照原用能权交易价格的90%回购指标。</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（三）企业与企业交易价格</w:t>
      </w:r>
    </w:p>
    <w:p>
      <w:pPr>
        <w:widowControl/>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企业通过节能技术改造等方式产生的节能量进行出让，与其他企业进行交易的，参照上述</w:t>
      </w:r>
      <w:r>
        <w:rPr>
          <w:rFonts w:hint="eastAsia" w:ascii="仿宋_GB2312" w:eastAsia="仿宋_GB2312"/>
          <w:color w:val="000000" w:themeColor="text1"/>
          <w:sz w:val="32"/>
          <w:szCs w:val="32"/>
          <w14:textFill>
            <w14:solidFill>
              <w14:schemeClr w14:val="tx1"/>
            </w14:solidFill>
          </w14:textFill>
        </w:rPr>
        <w:t>280元/吨标煤的</w:t>
      </w:r>
      <w:r>
        <w:rPr>
          <w:rFonts w:hint="eastAsia" w:ascii="仿宋_GB2312" w:hAnsi="Helvetica" w:eastAsia="仿宋_GB2312" w:cs="Helvetica"/>
          <w:color w:val="000000" w:themeColor="text1"/>
          <w:kern w:val="0"/>
          <w:sz w:val="32"/>
          <w:szCs w:val="32"/>
          <w14:textFill>
            <w14:solidFill>
              <w14:schemeClr w14:val="tx1"/>
            </w14:solidFill>
          </w14:textFill>
        </w:rPr>
        <w:t>交易价格及计算公式，申购企业须符合相关申购方规定。</w:t>
      </w:r>
    </w:p>
    <w:p>
      <w:pPr>
        <w:widowControl/>
        <w:ind w:firstLine="640" w:firstLineChars="200"/>
        <w:jc w:val="left"/>
        <w:rPr>
          <w:rFonts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四、交易平台</w:t>
      </w:r>
    </w:p>
    <w:p>
      <w:pPr>
        <w:widowControl/>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目前需在浙江省用能权交易平台上进行交易，交易平台网址为https://ynqjy.fzggw.zj.gov.cn/ent/gateway/home。企业在申购和出让项目用能指标前，需在平台上在线开户，完成注册登记工作。后续将根据省级平台建设情况，在省、市、县三级公共资源交易中心内搭建交易平台进行交易。</w:t>
      </w:r>
    </w:p>
    <w:p>
      <w:pPr>
        <w:widowControl/>
        <w:ind w:firstLine="480"/>
        <w:jc w:val="left"/>
        <w:rPr>
          <w:rFonts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五、其他事项</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（一）经费收支</w:t>
      </w:r>
    </w:p>
    <w:p>
      <w:pPr>
        <w:widowControl/>
        <w:ind w:firstLine="48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县政府区域新增指标交易所得经费，全部划入县财政专户，专项用于回购用能指标及节能工作支出。</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（二）名词解释</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用能权是指用能单位经各级人民政府节能主管部门确认，在一定时期内依法取得可使用、可交易的能源消费量的权属。</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用能权交易是指相关主体间依法进行的用能权指标市场化交易的行为。</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目前用能权交易主要以增量交易为主，用能权交易标的为用能权指标，以吨标准煤（等价值）为单位。</w:t>
      </w:r>
    </w:p>
    <w:p>
      <w:pPr>
        <w:ind w:firstLine="640" w:firstLineChars="200"/>
        <w:jc w:val="left"/>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（三）执行时间</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本通知自</w:t>
      </w:r>
      <w:r>
        <w:rPr>
          <w:rFonts w:hint="eastAsia" w:ascii="仿宋_GB2312" w:eastAsia="仿宋_GB2312"/>
          <w:color w:val="000000" w:themeColor="text1"/>
          <w:sz w:val="32"/>
          <w:szCs w:val="32"/>
          <w:lang w:eastAsia="zh-CN"/>
          <w14:textFill>
            <w14:solidFill>
              <w14:schemeClr w14:val="tx1"/>
            </w14:solidFill>
          </w14:textFill>
        </w:rPr>
        <w:t>印发之</w:t>
      </w:r>
      <w:r>
        <w:rPr>
          <w:rFonts w:hint="eastAsia" w:ascii="仿宋_GB2312" w:eastAsia="仿宋_GB2312"/>
          <w:color w:val="000000" w:themeColor="text1"/>
          <w:sz w:val="32"/>
          <w:szCs w:val="32"/>
          <w14:textFill>
            <w14:solidFill>
              <w14:schemeClr w14:val="tx1"/>
            </w14:solidFill>
          </w14:textFill>
        </w:rPr>
        <w:t>日起执行。若上级政府部门出台新政策，按上级部门文件执行。</w:t>
      </w:r>
    </w:p>
    <w:p>
      <w:pPr>
        <w:widowControl/>
        <w:wordWrap w:val="0"/>
        <w:ind w:firstLine="480"/>
        <w:jc w:val="center"/>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footerReference r:id="rId3"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EndPr>
      <w:rPr>
        <w:sz w:val="24"/>
      </w:rPr>
    </w:sdtEndPr>
    <w:sdtContent>
      <w:p>
        <w:pPr>
          <w:pStyle w:val="7"/>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7 -</w:t>
        </w:r>
        <w:r>
          <w:rPr>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jI4NzIzZWFmZjUxZGIwMTYzNjIyNmQ0ZDM2NGYifQ=="/>
  </w:docVars>
  <w:rsids>
    <w:rsidRoot w:val="005914C8"/>
    <w:rsid w:val="00040762"/>
    <w:rsid w:val="00061AC1"/>
    <w:rsid w:val="000B3718"/>
    <w:rsid w:val="000C31C7"/>
    <w:rsid w:val="000F7CA8"/>
    <w:rsid w:val="00147AAC"/>
    <w:rsid w:val="0015715B"/>
    <w:rsid w:val="0016481E"/>
    <w:rsid w:val="00177A73"/>
    <w:rsid w:val="001A3CD4"/>
    <w:rsid w:val="001C3513"/>
    <w:rsid w:val="001E7AAB"/>
    <w:rsid w:val="001F2337"/>
    <w:rsid w:val="00217BA6"/>
    <w:rsid w:val="00226464"/>
    <w:rsid w:val="00264F3D"/>
    <w:rsid w:val="00275188"/>
    <w:rsid w:val="002B3D3D"/>
    <w:rsid w:val="002D24B6"/>
    <w:rsid w:val="00317B56"/>
    <w:rsid w:val="00347F0C"/>
    <w:rsid w:val="00366590"/>
    <w:rsid w:val="00371357"/>
    <w:rsid w:val="003B08A4"/>
    <w:rsid w:val="003E7D46"/>
    <w:rsid w:val="003F0338"/>
    <w:rsid w:val="003F5034"/>
    <w:rsid w:val="0042117E"/>
    <w:rsid w:val="004260B9"/>
    <w:rsid w:val="004412D7"/>
    <w:rsid w:val="0045668F"/>
    <w:rsid w:val="00467D28"/>
    <w:rsid w:val="00495073"/>
    <w:rsid w:val="004C39DA"/>
    <w:rsid w:val="004E28C2"/>
    <w:rsid w:val="004E6B41"/>
    <w:rsid w:val="004F7CCE"/>
    <w:rsid w:val="00533316"/>
    <w:rsid w:val="00564D0D"/>
    <w:rsid w:val="00572520"/>
    <w:rsid w:val="00591118"/>
    <w:rsid w:val="005914C8"/>
    <w:rsid w:val="005C0083"/>
    <w:rsid w:val="006447A9"/>
    <w:rsid w:val="006514DB"/>
    <w:rsid w:val="00652DC5"/>
    <w:rsid w:val="00696C7B"/>
    <w:rsid w:val="006A46EB"/>
    <w:rsid w:val="006C6551"/>
    <w:rsid w:val="006F5558"/>
    <w:rsid w:val="007139B1"/>
    <w:rsid w:val="00760081"/>
    <w:rsid w:val="00797940"/>
    <w:rsid w:val="007B08EF"/>
    <w:rsid w:val="007C1273"/>
    <w:rsid w:val="007D1399"/>
    <w:rsid w:val="007D1DA8"/>
    <w:rsid w:val="007D5BEF"/>
    <w:rsid w:val="007E270C"/>
    <w:rsid w:val="007F13E6"/>
    <w:rsid w:val="007F5BD2"/>
    <w:rsid w:val="00805865"/>
    <w:rsid w:val="00812C3C"/>
    <w:rsid w:val="00853466"/>
    <w:rsid w:val="00855D72"/>
    <w:rsid w:val="00891348"/>
    <w:rsid w:val="008A251E"/>
    <w:rsid w:val="008D115C"/>
    <w:rsid w:val="008F3C03"/>
    <w:rsid w:val="009108A1"/>
    <w:rsid w:val="00925715"/>
    <w:rsid w:val="00934563"/>
    <w:rsid w:val="00940320"/>
    <w:rsid w:val="00966A4A"/>
    <w:rsid w:val="009B78D1"/>
    <w:rsid w:val="009B79B6"/>
    <w:rsid w:val="009E3EC9"/>
    <w:rsid w:val="00A66D75"/>
    <w:rsid w:val="00A97980"/>
    <w:rsid w:val="00AC6C03"/>
    <w:rsid w:val="00B221FA"/>
    <w:rsid w:val="00B225D1"/>
    <w:rsid w:val="00B313FB"/>
    <w:rsid w:val="00B80CA5"/>
    <w:rsid w:val="00BA45BC"/>
    <w:rsid w:val="00BA57DE"/>
    <w:rsid w:val="00BC0514"/>
    <w:rsid w:val="00C06B9B"/>
    <w:rsid w:val="00C26306"/>
    <w:rsid w:val="00C4132A"/>
    <w:rsid w:val="00C734E7"/>
    <w:rsid w:val="00CC6705"/>
    <w:rsid w:val="00CD4FA2"/>
    <w:rsid w:val="00CE5DB1"/>
    <w:rsid w:val="00CF00D1"/>
    <w:rsid w:val="00D665B4"/>
    <w:rsid w:val="00D7337C"/>
    <w:rsid w:val="00D75AD0"/>
    <w:rsid w:val="00DB3F06"/>
    <w:rsid w:val="00DB5FD0"/>
    <w:rsid w:val="00DD03F2"/>
    <w:rsid w:val="00DE7E66"/>
    <w:rsid w:val="00E011B5"/>
    <w:rsid w:val="00E5089E"/>
    <w:rsid w:val="00E8727C"/>
    <w:rsid w:val="00EA5FFB"/>
    <w:rsid w:val="00F234CE"/>
    <w:rsid w:val="00F31DB1"/>
    <w:rsid w:val="00F70D44"/>
    <w:rsid w:val="00FA13EB"/>
    <w:rsid w:val="00FB3C08"/>
    <w:rsid w:val="00FD1FA9"/>
    <w:rsid w:val="011E24F7"/>
    <w:rsid w:val="01A8449D"/>
    <w:rsid w:val="01F9035B"/>
    <w:rsid w:val="023470AD"/>
    <w:rsid w:val="02E627C6"/>
    <w:rsid w:val="03575C81"/>
    <w:rsid w:val="039C5442"/>
    <w:rsid w:val="03EB6BB7"/>
    <w:rsid w:val="046917C8"/>
    <w:rsid w:val="04F03C97"/>
    <w:rsid w:val="052A3623"/>
    <w:rsid w:val="063E0A32"/>
    <w:rsid w:val="067803E8"/>
    <w:rsid w:val="06CE1DB6"/>
    <w:rsid w:val="07A64AE1"/>
    <w:rsid w:val="07B554F2"/>
    <w:rsid w:val="08F33D56"/>
    <w:rsid w:val="092108C3"/>
    <w:rsid w:val="09280DA2"/>
    <w:rsid w:val="092A37C5"/>
    <w:rsid w:val="093077C7"/>
    <w:rsid w:val="0A851326"/>
    <w:rsid w:val="0BED0F30"/>
    <w:rsid w:val="0C3C461F"/>
    <w:rsid w:val="0C9F66CF"/>
    <w:rsid w:val="0D164A0E"/>
    <w:rsid w:val="0DAF4EAC"/>
    <w:rsid w:val="0E8872EF"/>
    <w:rsid w:val="0EBA5B1C"/>
    <w:rsid w:val="0F0008B2"/>
    <w:rsid w:val="0F6A0E53"/>
    <w:rsid w:val="0F76748F"/>
    <w:rsid w:val="12597320"/>
    <w:rsid w:val="13125EC8"/>
    <w:rsid w:val="13653AA2"/>
    <w:rsid w:val="13AC657F"/>
    <w:rsid w:val="13D36C5E"/>
    <w:rsid w:val="152534E9"/>
    <w:rsid w:val="15A06AEA"/>
    <w:rsid w:val="162419F3"/>
    <w:rsid w:val="16397539"/>
    <w:rsid w:val="169A1CB5"/>
    <w:rsid w:val="16BA4105"/>
    <w:rsid w:val="16CF5E02"/>
    <w:rsid w:val="188067AB"/>
    <w:rsid w:val="18D771F0"/>
    <w:rsid w:val="18FC7448"/>
    <w:rsid w:val="1985210C"/>
    <w:rsid w:val="1995735D"/>
    <w:rsid w:val="1A09570F"/>
    <w:rsid w:val="1A3B1B92"/>
    <w:rsid w:val="1B710D60"/>
    <w:rsid w:val="1B730EF8"/>
    <w:rsid w:val="1BF44FEE"/>
    <w:rsid w:val="1C1147C7"/>
    <w:rsid w:val="1C473C5F"/>
    <w:rsid w:val="1CAF1B22"/>
    <w:rsid w:val="1CD034F1"/>
    <w:rsid w:val="1E57048B"/>
    <w:rsid w:val="1EA90F32"/>
    <w:rsid w:val="1EF1268E"/>
    <w:rsid w:val="1EFD0F84"/>
    <w:rsid w:val="1FD72165"/>
    <w:rsid w:val="20012DA5"/>
    <w:rsid w:val="20645889"/>
    <w:rsid w:val="207A394B"/>
    <w:rsid w:val="21A93F72"/>
    <w:rsid w:val="222C48F7"/>
    <w:rsid w:val="22995664"/>
    <w:rsid w:val="23411CCC"/>
    <w:rsid w:val="234A05BF"/>
    <w:rsid w:val="23E26A49"/>
    <w:rsid w:val="244D0366"/>
    <w:rsid w:val="24B46637"/>
    <w:rsid w:val="254F3BA3"/>
    <w:rsid w:val="25CE54D7"/>
    <w:rsid w:val="267A11BB"/>
    <w:rsid w:val="270913A9"/>
    <w:rsid w:val="277125BE"/>
    <w:rsid w:val="27CC5A46"/>
    <w:rsid w:val="291122AA"/>
    <w:rsid w:val="296543A4"/>
    <w:rsid w:val="299F5C4B"/>
    <w:rsid w:val="29EB4B57"/>
    <w:rsid w:val="2AA1140C"/>
    <w:rsid w:val="2B2C33CC"/>
    <w:rsid w:val="2B8F74B6"/>
    <w:rsid w:val="2C4B5AD3"/>
    <w:rsid w:val="2D0D4B37"/>
    <w:rsid w:val="2D4C5411"/>
    <w:rsid w:val="2D714D1A"/>
    <w:rsid w:val="2D9E60D7"/>
    <w:rsid w:val="2E114AFB"/>
    <w:rsid w:val="2E2E0121"/>
    <w:rsid w:val="2E6B420B"/>
    <w:rsid w:val="2EE25C61"/>
    <w:rsid w:val="2F3B1D5C"/>
    <w:rsid w:val="2FAE299B"/>
    <w:rsid w:val="2FC53627"/>
    <w:rsid w:val="305B3E0B"/>
    <w:rsid w:val="30D836AE"/>
    <w:rsid w:val="3150593A"/>
    <w:rsid w:val="31C854D0"/>
    <w:rsid w:val="327A2C6E"/>
    <w:rsid w:val="32CE77C6"/>
    <w:rsid w:val="32F81DE5"/>
    <w:rsid w:val="33AD497E"/>
    <w:rsid w:val="34054572"/>
    <w:rsid w:val="347F27BE"/>
    <w:rsid w:val="35643762"/>
    <w:rsid w:val="36533F02"/>
    <w:rsid w:val="36BD137C"/>
    <w:rsid w:val="36FD3E6E"/>
    <w:rsid w:val="37377380"/>
    <w:rsid w:val="377C4D93"/>
    <w:rsid w:val="39BB553F"/>
    <w:rsid w:val="39E15381"/>
    <w:rsid w:val="39E62997"/>
    <w:rsid w:val="3A240899"/>
    <w:rsid w:val="3B812E1F"/>
    <w:rsid w:val="3C3257D1"/>
    <w:rsid w:val="3C330744"/>
    <w:rsid w:val="3C522566"/>
    <w:rsid w:val="3C544530"/>
    <w:rsid w:val="3C990195"/>
    <w:rsid w:val="3CB7686D"/>
    <w:rsid w:val="3E4E3F12"/>
    <w:rsid w:val="3FDF05B5"/>
    <w:rsid w:val="403725A2"/>
    <w:rsid w:val="412B009C"/>
    <w:rsid w:val="4142704D"/>
    <w:rsid w:val="41BD7D13"/>
    <w:rsid w:val="41C87080"/>
    <w:rsid w:val="41CE3A06"/>
    <w:rsid w:val="420F4A55"/>
    <w:rsid w:val="42DF77E8"/>
    <w:rsid w:val="43617533"/>
    <w:rsid w:val="448160DE"/>
    <w:rsid w:val="44906321"/>
    <w:rsid w:val="44AB6CB7"/>
    <w:rsid w:val="45244CBC"/>
    <w:rsid w:val="45790B64"/>
    <w:rsid w:val="45916377"/>
    <w:rsid w:val="45A51959"/>
    <w:rsid w:val="45B61DB8"/>
    <w:rsid w:val="45D71437"/>
    <w:rsid w:val="46003033"/>
    <w:rsid w:val="46040D75"/>
    <w:rsid w:val="46666F86"/>
    <w:rsid w:val="470B7EE1"/>
    <w:rsid w:val="472D60AA"/>
    <w:rsid w:val="47306C6F"/>
    <w:rsid w:val="475278BE"/>
    <w:rsid w:val="47FF5114"/>
    <w:rsid w:val="487C33A3"/>
    <w:rsid w:val="48802209"/>
    <w:rsid w:val="48FF5FC6"/>
    <w:rsid w:val="490D2A48"/>
    <w:rsid w:val="495A51F5"/>
    <w:rsid w:val="49A168DB"/>
    <w:rsid w:val="49C77AFD"/>
    <w:rsid w:val="49E113CD"/>
    <w:rsid w:val="49EF0BDB"/>
    <w:rsid w:val="4A873D23"/>
    <w:rsid w:val="4AB60164"/>
    <w:rsid w:val="4AF31D4E"/>
    <w:rsid w:val="4B3519D1"/>
    <w:rsid w:val="4BA426B2"/>
    <w:rsid w:val="4BB70638"/>
    <w:rsid w:val="4BE83DFC"/>
    <w:rsid w:val="4C1C74A7"/>
    <w:rsid w:val="4E4D7031"/>
    <w:rsid w:val="4E872543"/>
    <w:rsid w:val="4E8A2033"/>
    <w:rsid w:val="4EF46EAF"/>
    <w:rsid w:val="4EF851EF"/>
    <w:rsid w:val="4EFE20DA"/>
    <w:rsid w:val="4FCA2596"/>
    <w:rsid w:val="4FF20A93"/>
    <w:rsid w:val="504A0F29"/>
    <w:rsid w:val="50A32F39"/>
    <w:rsid w:val="50B05655"/>
    <w:rsid w:val="50D22552"/>
    <w:rsid w:val="51087240"/>
    <w:rsid w:val="52DB7938"/>
    <w:rsid w:val="52E72E92"/>
    <w:rsid w:val="536E5A80"/>
    <w:rsid w:val="53937294"/>
    <w:rsid w:val="5394300C"/>
    <w:rsid w:val="543071FE"/>
    <w:rsid w:val="54C833A7"/>
    <w:rsid w:val="55962D75"/>
    <w:rsid w:val="5745624B"/>
    <w:rsid w:val="57825F9E"/>
    <w:rsid w:val="579805F0"/>
    <w:rsid w:val="57E97DCB"/>
    <w:rsid w:val="581B3CFC"/>
    <w:rsid w:val="58331046"/>
    <w:rsid w:val="58635DE2"/>
    <w:rsid w:val="58EC05DE"/>
    <w:rsid w:val="595E0345"/>
    <w:rsid w:val="59973856"/>
    <w:rsid w:val="59BC4885"/>
    <w:rsid w:val="5A672A61"/>
    <w:rsid w:val="5A7F4A16"/>
    <w:rsid w:val="5AC73CC7"/>
    <w:rsid w:val="5B072350"/>
    <w:rsid w:val="5B7915E4"/>
    <w:rsid w:val="5BAA7871"/>
    <w:rsid w:val="5C25339C"/>
    <w:rsid w:val="5C9D73D6"/>
    <w:rsid w:val="5CCB58F3"/>
    <w:rsid w:val="5D177188"/>
    <w:rsid w:val="5E230664"/>
    <w:rsid w:val="5E767EDE"/>
    <w:rsid w:val="5EC56770"/>
    <w:rsid w:val="5EF552A7"/>
    <w:rsid w:val="6011523A"/>
    <w:rsid w:val="601259E5"/>
    <w:rsid w:val="60C74A21"/>
    <w:rsid w:val="61AD25E2"/>
    <w:rsid w:val="61BE4076"/>
    <w:rsid w:val="61E138C1"/>
    <w:rsid w:val="61E7472F"/>
    <w:rsid w:val="6223037D"/>
    <w:rsid w:val="62C12BFD"/>
    <w:rsid w:val="633B5253"/>
    <w:rsid w:val="63F7561D"/>
    <w:rsid w:val="64F733FB"/>
    <w:rsid w:val="652E11F0"/>
    <w:rsid w:val="6546685C"/>
    <w:rsid w:val="6588331B"/>
    <w:rsid w:val="65EB594C"/>
    <w:rsid w:val="66482553"/>
    <w:rsid w:val="668B029F"/>
    <w:rsid w:val="678278F4"/>
    <w:rsid w:val="67C63C85"/>
    <w:rsid w:val="682C6FAA"/>
    <w:rsid w:val="68FB795E"/>
    <w:rsid w:val="696077C1"/>
    <w:rsid w:val="69E13922"/>
    <w:rsid w:val="6B8803C1"/>
    <w:rsid w:val="6B994665"/>
    <w:rsid w:val="6BA3608B"/>
    <w:rsid w:val="6C315445"/>
    <w:rsid w:val="6C7041BF"/>
    <w:rsid w:val="6CAF5247"/>
    <w:rsid w:val="6CBD4F2A"/>
    <w:rsid w:val="6CE95D1F"/>
    <w:rsid w:val="6D2052C2"/>
    <w:rsid w:val="6D8E7A5B"/>
    <w:rsid w:val="6DA87988"/>
    <w:rsid w:val="6E1312A6"/>
    <w:rsid w:val="6F084B83"/>
    <w:rsid w:val="6F35524C"/>
    <w:rsid w:val="6F5B2CFC"/>
    <w:rsid w:val="6FB37ACE"/>
    <w:rsid w:val="70746E68"/>
    <w:rsid w:val="70785D38"/>
    <w:rsid w:val="71063344"/>
    <w:rsid w:val="713D663A"/>
    <w:rsid w:val="72C059BA"/>
    <w:rsid w:val="731A7D87"/>
    <w:rsid w:val="731F1695"/>
    <w:rsid w:val="734737A0"/>
    <w:rsid w:val="736B3FD5"/>
    <w:rsid w:val="737722D7"/>
    <w:rsid w:val="738C7756"/>
    <w:rsid w:val="73A40BF2"/>
    <w:rsid w:val="73ED63CB"/>
    <w:rsid w:val="744C76B4"/>
    <w:rsid w:val="74714F78"/>
    <w:rsid w:val="74B9247B"/>
    <w:rsid w:val="7592164A"/>
    <w:rsid w:val="75970A0E"/>
    <w:rsid w:val="75CA3CE1"/>
    <w:rsid w:val="763B583E"/>
    <w:rsid w:val="76B4114C"/>
    <w:rsid w:val="77366005"/>
    <w:rsid w:val="77CC2CDB"/>
    <w:rsid w:val="78A31478"/>
    <w:rsid w:val="792C76C0"/>
    <w:rsid w:val="793622EC"/>
    <w:rsid w:val="79455C0B"/>
    <w:rsid w:val="79984D55"/>
    <w:rsid w:val="7ABE07EB"/>
    <w:rsid w:val="7B2F54B5"/>
    <w:rsid w:val="7BE932D3"/>
    <w:rsid w:val="7C4E4AC7"/>
    <w:rsid w:val="7D7D673C"/>
    <w:rsid w:val="7D99109C"/>
    <w:rsid w:val="7DCB394B"/>
    <w:rsid w:val="7E354BA9"/>
    <w:rsid w:val="7F5B2AAD"/>
    <w:rsid w:val="7F9A43CC"/>
    <w:rsid w:val="7FA04963"/>
    <w:rsid w:val="FF4F78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autoSpaceDE w:val="0"/>
      <w:autoSpaceDN w:val="0"/>
      <w:adjustRightInd w:val="0"/>
      <w:spacing w:line="600" w:lineRule="atLeast"/>
      <w:ind w:firstLine="652"/>
      <w:textAlignment w:val="baseline"/>
    </w:pPr>
    <w:rPr>
      <w:rFonts w:ascii="Calibri" w:hAnsi="Calibri" w:eastAsia="仿宋_GB2312" w:cs="Times New Roman"/>
      <w:kern w:val="0"/>
      <w:szCs w:val="32"/>
      <w:lang w:bidi="ar-SA"/>
    </w:rPr>
  </w:style>
  <w:style w:type="paragraph" w:styleId="3">
    <w:name w:val="Body Text"/>
    <w:basedOn w:val="1"/>
    <w:next w:val="2"/>
    <w:autoRedefine/>
    <w:qFormat/>
    <w:uiPriority w:val="0"/>
    <w:pPr>
      <w:widowControl w:val="0"/>
      <w:spacing w:line="240" w:lineRule="auto"/>
      <w:ind w:firstLine="0"/>
      <w:textAlignment w:val="auto"/>
    </w:pPr>
    <w:rPr>
      <w:rFonts w:ascii="Times New Roman" w:hAnsi="Times New Roman" w:eastAsia="方正小标宋简体" w:cs="Times New Roman"/>
      <w:color w:val="auto"/>
      <w:kern w:val="2"/>
      <w:sz w:val="32"/>
      <w:szCs w:val="24"/>
      <w:u w:val="none" w:color="auto"/>
      <w:lang w:bidi="ar-SA"/>
    </w:rPr>
  </w:style>
  <w:style w:type="paragraph" w:styleId="5">
    <w:name w:val="endnote text"/>
    <w:basedOn w:val="1"/>
    <w:autoRedefine/>
    <w:unhideWhenUsed/>
    <w:qFormat/>
    <w:uiPriority w:val="99"/>
    <w:pPr>
      <w:snapToGrid w:val="0"/>
      <w:jc w:val="left"/>
    </w:pPr>
  </w:style>
  <w:style w:type="paragraph" w:styleId="6">
    <w:name w:val="Balloon Text"/>
    <w:basedOn w:val="1"/>
    <w:link w:val="15"/>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6"/>
    <w:basedOn w:val="1"/>
    <w:next w:val="1"/>
    <w:autoRedefine/>
    <w:qFormat/>
    <w:uiPriority w:val="0"/>
    <w:pPr>
      <w:ind w:left="1000" w:leftChars="1000"/>
    </w:pPr>
    <w:rPr>
      <w:rFonts w:ascii="Times New Roman" w:hAnsi="Times New Roman" w:eastAsia="宋体" w:cs="Times New Roman"/>
      <w:lang w:bidi="ar-SA"/>
    </w:r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8"/>
    <w:autoRedefine/>
    <w:qFormat/>
    <w:uiPriority w:val="99"/>
    <w:rPr>
      <w:sz w:val="18"/>
      <w:szCs w:val="18"/>
    </w:rPr>
  </w:style>
  <w:style w:type="character" w:customStyle="1" w:styleId="14">
    <w:name w:val="页脚 Char"/>
    <w:basedOn w:val="11"/>
    <w:link w:val="7"/>
    <w:autoRedefine/>
    <w:qFormat/>
    <w:uiPriority w:val="99"/>
    <w:rPr>
      <w:sz w:val="18"/>
      <w:szCs w:val="18"/>
    </w:rPr>
  </w:style>
  <w:style w:type="character" w:customStyle="1" w:styleId="15">
    <w:name w:val="批注框文本 Char"/>
    <w:basedOn w:val="11"/>
    <w:link w:val="6"/>
    <w:autoRedefine/>
    <w:semiHidden/>
    <w:qFormat/>
    <w:uiPriority w:val="99"/>
    <w:rPr>
      <w:kern w:val="2"/>
      <w:sz w:val="18"/>
      <w:szCs w:val="18"/>
    </w:rPr>
  </w:style>
  <w:style w:type="character" w:customStyle="1" w:styleId="16">
    <w:name w:val="标题 1 Char"/>
    <w:basedOn w:val="11"/>
    <w:link w:val="4"/>
    <w:autoRedefine/>
    <w:qFormat/>
    <w:uiPriority w:val="9"/>
    <w:rPr>
      <w:b/>
      <w:bCs/>
      <w:kern w:val="44"/>
      <w:sz w:val="44"/>
      <w:szCs w:val="44"/>
    </w:rPr>
  </w:style>
  <w:style w:type="paragraph" w:customStyle="1" w:styleId="17">
    <w:name w:val="正文1"/>
    <w:basedOn w:val="1"/>
    <w:next w:val="1"/>
    <w:autoRedefine/>
    <w:qFormat/>
    <w:uiPriority w:val="0"/>
    <w:pPr>
      <w:widowControl/>
      <w:spacing w:beforeLines="50" w:line="360" w:lineRule="auto"/>
      <w:ind w:firstLine="420" w:firstLineChars="200"/>
    </w:pPr>
    <w:rPr>
      <w:rFonts w:ascii="宋体" w:hAnsi="宋体" w:eastAsia="宋体"/>
      <w:iCs/>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408</Words>
  <Characters>2328</Characters>
  <Lines>19</Lines>
  <Paragraphs>5</Paragraphs>
  <TotalTime>3</TotalTime>
  <ScaleCrop>false</ScaleCrop>
  <LinksUpToDate>false</LinksUpToDate>
  <CharactersWithSpaces>2731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2019-05-08T14:38:00Z</dcterms:created>
  <dc:creator>郑国芋</dc:creator>
  <cp:lastModifiedBy>柚子</cp:lastModifiedBy>
  <cp:lastPrinted>2024-03-06T14:31:00Z</cp:lastPrinted>
  <dcterms:modified xsi:type="dcterms:W3CDTF">2024-04-25T06:50:29Z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94F955DD5B9E42AB8A5DE5382ABF2A7F_13</vt:lpwstr>
  </property>
</Properties>
</file>