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ind w:left="-3" w:leftChars="-200" w:right="-512" w:rightChars="-244" w:hanging="417" w:hangingChars="116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关于《兰溪市</w:t>
      </w:r>
      <w:r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5</w:t>
      </w:r>
      <w:r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年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小麦“一喷三防”工作实施方案》（征求意见稿）的起草说明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一、基本情况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有效控制我市小麦病虫害的发生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关于提前下达2025年中央粮油生产保障资金的通知》（浙财农【2024】93号）和《农业农村部种植业管理司关于组织做好小麦“一喷三防”补助政策和技术措施落实的通知》（农农（植保）【2024】5号）文件精神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确保我市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2025年小麦稳产增产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，制定《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兰溪市2025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小麦“一喷三防”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实施方案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》（以下简称《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》）。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二、制定文件的必要性和可行性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关于提前下达2025年中央粮油生产保障资金的通知》（浙财农【2024】93号）和《农业农村部种植业管理司关于组织做好小麦“一喷三防”补助政策和技术措施落实的通知》（农农（植保）【2024】5号）文件精神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确保我市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小麦稳产增产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，制定本《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因此，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通过开展小麦的“一喷三防”，控制病虫害发生、防止早衰，遏制赤霉病等病害爆发流行，确保我市小麦稳产增产，夺取2025年夏粮丰收。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三、解决的主要问题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麦“一喷三防”是指在小麦生长中后期使用杀虫剂、杀菌剂、植物生长调节剂、叶面肥等混配剂喷雾，达到防病虫、防早衰，遏制赤霉病等病害爆发流行，是促进小麦稳产增产的关键措施。“一喷三防”作业适期在小麦抽穗至灌浆期，具体时间为4月中上旬至4月下旬末，一般在小麦扬花初期进行，即“见花打药”，防治效果差的在盛花期过后补打一次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四、主要内容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（一）目标任务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通过开展小麦的“一喷三防”，控制病虫害发生、防止早衰，遏制赤霉病等病害爆发流行，确保我市小麦稳产增产，夺取2025年夏粮丰收。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（二）技术要求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麦“一喷三防”是指在小麦生长中后期使用杀虫剂、杀菌剂、植物生长调节剂、叶面肥等混配剂喷雾，达到防病虫、防早衰，遏制赤霉病等病害爆发流行，是促进小麦稳产增产的关键措施。“一喷三防”作业适期在小麦抽穗至灌浆期，具体时间为4月中上旬至4月下旬末，一般在小麦扬花初期进行，即“见花打药”，防治效果差的在盛花期过后补打一次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（三）补助措施，共3条。包括1补助对象。2享受补助的飞防作业需具备的条件。3补助标准及补助面积认定。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（四）操作程序，共4条。包括1主体申报。2乡镇（街道）审核报送。3农业农村局审核公示。4补助资金发放。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其他要求。小麦“一喷三防”是农业农村部、省农业农村厅部署的重点工作，各乡镇（街道）要高度重视，加强宜传引导，指导辖区小麦种植主体适时开展“一喷三防”作业、及时递交相关申报资料，并做好相关审核、公示等工作。种植主体应如实上报作业面积，对增报面积，弄虚作假的，一律取消补助资格，并依法追究相应法律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本方案自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发布之日起30日后实施。</w:t>
      </w:r>
    </w:p>
    <w:p>
      <w:pPr>
        <w:pStyle w:val="5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、其他需要说明的情况</w:t>
      </w:r>
    </w:p>
    <w:p>
      <w:pPr>
        <w:pStyle w:val="5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jNGU0ZmMzZDk5ODgzZDkzMTZjYjU2NTczMTA0ZDgifQ=="/>
  </w:docVars>
  <w:rsids>
    <w:rsidRoot w:val="2DCA1858"/>
    <w:rsid w:val="000E450A"/>
    <w:rsid w:val="00244F55"/>
    <w:rsid w:val="002732FD"/>
    <w:rsid w:val="0090649C"/>
    <w:rsid w:val="00925A89"/>
    <w:rsid w:val="00BD2F16"/>
    <w:rsid w:val="00DC46C9"/>
    <w:rsid w:val="00DE0C26"/>
    <w:rsid w:val="00FE75AF"/>
    <w:rsid w:val="2DCA1858"/>
    <w:rsid w:val="70A1037C"/>
    <w:rsid w:val="FF4559E2"/>
    <w:rsid w:val="FFDD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1122</Characters>
  <Lines>9</Lines>
  <Paragraphs>2</Paragraphs>
  <TotalTime>15</TotalTime>
  <ScaleCrop>false</ScaleCrop>
  <LinksUpToDate>false</LinksUpToDate>
  <CharactersWithSpaces>1316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2022-12-02T00:22:00Z</dcterms:created>
  <dc:creator>UR信封有圣歌绘</dc:creator>
  <cp:lastModifiedBy>Administrator</cp:lastModifiedBy>
  <dcterms:modified xsi:type="dcterms:W3CDTF">2025-03-18T03:45:52Z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7DD86FFFA45D4852904D204D751D335F</vt:lpwstr>
  </property>
</Properties>
</file>