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14887"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台州市城镇低效用地认定办法</w:t>
      </w:r>
    </w:p>
    <w:p w14:paraId="65BC57DC">
      <w:pPr>
        <w:spacing w:line="600" w:lineRule="exact"/>
        <w:jc w:val="center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（征求意见稿）</w:t>
      </w:r>
    </w:p>
    <w:p w14:paraId="76D34405">
      <w:pPr>
        <w:spacing w:line="600" w:lineRule="exact"/>
        <w:jc w:val="center"/>
        <w:rPr>
          <w:rFonts w:hint="eastAsia" w:ascii="楷体_GB2312" w:hAnsi="楷体_GB2312" w:eastAsia="楷体_GB2312" w:cs="楷体_GB2312"/>
          <w:szCs w:val="32"/>
        </w:rPr>
      </w:pPr>
    </w:p>
    <w:p w14:paraId="4CABA937"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根据《浙江省国土空间规划条例》规定，参照国家、省建设项目控制指标标准，综合土地开发利用强度、投入产出水平、生产生活安全情况等评价指标，制定我市</w:t>
      </w:r>
      <w:r>
        <w:rPr>
          <w:rFonts w:hint="eastAsia" w:ascii="仿宋_GB2312" w:hAnsi="仿宋_GB2312" w:cs="仿宋_GB2312"/>
          <w:szCs w:val="32"/>
          <w:lang w:eastAsia="zh-CN"/>
        </w:rPr>
        <w:t>城镇</w:t>
      </w:r>
      <w:r>
        <w:rPr>
          <w:rFonts w:hint="eastAsia" w:ascii="仿宋_GB2312" w:hAnsi="仿宋_GB2312" w:cs="仿宋_GB2312"/>
          <w:szCs w:val="32"/>
        </w:rPr>
        <w:t>低效用地认定办法。</w:t>
      </w:r>
    </w:p>
    <w:p w14:paraId="15185431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城镇低效用地定义</w:t>
      </w:r>
    </w:p>
    <w:p w14:paraId="6F63D6CF"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城镇低效用地是指布局散乱、利用粗放、用途不合理、建筑危旧，土地利用效率低且经济效益低下以及不符合生态、安全、产业、规划</w:t>
      </w:r>
      <w:r>
        <w:rPr>
          <w:rFonts w:hint="eastAsia" w:ascii="仿宋_GB2312" w:hAnsi="仿宋_GB2312" w:cs="仿宋_GB2312"/>
          <w:szCs w:val="32"/>
          <w:lang w:eastAsia="zh-CN"/>
        </w:rPr>
        <w:t>及历史文化保护</w:t>
      </w:r>
      <w:r>
        <w:rPr>
          <w:rFonts w:hint="eastAsia" w:ascii="仿宋_GB2312" w:hAnsi="仿宋_GB2312" w:cs="仿宋_GB2312"/>
          <w:szCs w:val="32"/>
        </w:rPr>
        <w:t>要求的</w:t>
      </w:r>
      <w:r>
        <w:rPr>
          <w:rFonts w:hint="eastAsia" w:ascii="仿宋_GB2312" w:hAnsi="仿宋_GB2312" w:cs="仿宋_GB2312"/>
          <w:szCs w:val="32"/>
          <w:lang w:eastAsia="zh-CN"/>
        </w:rPr>
        <w:t>存量</w:t>
      </w:r>
      <w:r>
        <w:rPr>
          <w:rFonts w:hint="eastAsia" w:ascii="仿宋_GB2312" w:hAnsi="仿宋_GB2312" w:cs="仿宋_GB2312"/>
          <w:szCs w:val="32"/>
        </w:rPr>
        <w:t>建设用地，主要包括</w:t>
      </w:r>
      <w:r>
        <w:rPr>
          <w:rFonts w:hint="eastAsia" w:ascii="仿宋_GB2312" w:hAnsi="仿宋_GB2312" w:cs="仿宋_GB2312"/>
          <w:szCs w:val="32"/>
          <w:lang w:eastAsia="zh-CN"/>
        </w:rPr>
        <w:t>旧城镇、旧厂矿、旧村庄和其他低效用地</w:t>
      </w:r>
      <w:r>
        <w:rPr>
          <w:rFonts w:hint="eastAsia" w:ascii="仿宋_GB2312" w:hAnsi="仿宋_GB2312" w:cs="仿宋_GB2312"/>
          <w:szCs w:val="32"/>
        </w:rPr>
        <w:t>等。</w:t>
      </w:r>
    </w:p>
    <w:p w14:paraId="0946F815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认定标准</w:t>
      </w:r>
    </w:p>
    <w:p w14:paraId="5B2F2B9A">
      <w:pPr>
        <w:numPr>
          <w:ilvl w:val="0"/>
          <w:numId w:val="0"/>
        </w:numPr>
        <w:spacing w:line="600" w:lineRule="exact"/>
        <w:ind w:firstLine="0" w:firstLineChars="0"/>
        <w:rPr>
          <w:rFonts w:hint="eastAsia" w:ascii="仿宋_GB2312" w:hAnsi="仿宋_GB2312" w:eastAsia="仿宋_GB2312" w:cs="仿宋_GB2312"/>
          <w:szCs w:val="32"/>
        </w:rPr>
      </w:pPr>
      <w:r>
        <w:rPr>
          <w:rFonts w:hint="default" w:ascii="黑体" w:hAnsi="黑体" w:eastAsia="黑体" w:cs="黑体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</w:rPr>
        <w:t>符合下列标准之一</w:t>
      </w:r>
      <w:r>
        <w:rPr>
          <w:rFonts w:hint="default" w:ascii="仿宋_GB2312" w:hAnsi="仿宋_GB2312" w:cs="仿宋_GB2312"/>
          <w:szCs w:val="32"/>
        </w:rPr>
        <w:t>，即可认定为低效用地。</w:t>
      </w:r>
    </w:p>
    <w:p w14:paraId="20FB75AB">
      <w:pPr>
        <w:spacing w:line="600" w:lineRule="exact"/>
        <w:ind w:firstLine="643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楷体_GB2312" w:cs="楷体_GB2312"/>
          <w:b/>
          <w:szCs w:val="32"/>
          <w:lang w:eastAsia="zh-CN"/>
        </w:rPr>
        <w:t>（一）</w:t>
      </w:r>
      <w:r>
        <w:rPr>
          <w:rFonts w:hint="eastAsia" w:ascii="仿宋_GB2312" w:hAnsi="楷体_GB2312" w:cs="楷体_GB2312"/>
          <w:b/>
          <w:szCs w:val="32"/>
        </w:rPr>
        <w:t>低效工业用地</w:t>
      </w:r>
    </w:p>
    <w:p w14:paraId="719B5314"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000000"/>
          <w:szCs w:val="32"/>
          <w:highlight w:val="none"/>
        </w:rPr>
        <w:t>低于省定分行业亩均税收低效指导标准的</w:t>
      </w:r>
      <w:r>
        <w:rPr>
          <w:rFonts w:hint="eastAsia" w:ascii="仿宋_GB2312" w:hAnsi="仿宋_GB2312" w:cs="仿宋_GB2312"/>
          <w:szCs w:val="32"/>
        </w:rPr>
        <w:t>；</w:t>
      </w:r>
    </w:p>
    <w:p w14:paraId="206C44D2">
      <w:pPr>
        <w:spacing w:line="600" w:lineRule="exact"/>
        <w:ind w:firstLine="640" w:firstLineChars="20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Cs w:val="32"/>
        </w:rPr>
        <w:t>容积率低</w:t>
      </w:r>
      <w:r>
        <w:rPr>
          <w:rFonts w:hint="eastAsia" w:ascii="仿宋_GB2312" w:hAnsi="仿宋_GB2312" w:cs="仿宋_GB2312"/>
          <w:color w:val="auto"/>
          <w:szCs w:val="32"/>
        </w:rPr>
        <w:t>于1.0的(行业有特殊要求的除外)；</w:t>
      </w:r>
    </w:p>
    <w:p w14:paraId="0B88ED14">
      <w:pPr>
        <w:spacing w:line="600" w:lineRule="exact"/>
        <w:ind w:firstLine="640" w:firstLineChars="20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color w:val="auto"/>
          <w:szCs w:val="32"/>
        </w:rPr>
        <w:t>建筑质量较差、配套设施陈旧的老旧工业点；</w:t>
      </w:r>
    </w:p>
    <w:p w14:paraId="50802525">
      <w:pPr>
        <w:spacing w:line="600" w:lineRule="exact"/>
        <w:ind w:firstLine="640" w:firstLineChars="20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4.产业业态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为国家产业政策规定的禁止类、淘汰类产业，或与所在片区产业规划导向不符的</w:t>
      </w:r>
      <w:r>
        <w:rPr>
          <w:rFonts w:hint="eastAsia" w:ascii="仿宋_GB2312" w:hAnsi="仿宋_GB2312" w:cs="仿宋_GB2312"/>
          <w:color w:val="auto"/>
          <w:szCs w:val="32"/>
        </w:rPr>
        <w:t>；</w:t>
      </w:r>
    </w:p>
    <w:p w14:paraId="74D9F7DB">
      <w:pPr>
        <w:spacing w:line="600" w:lineRule="exact"/>
        <w:ind w:firstLine="640" w:firstLineChars="20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5.</w:t>
      </w:r>
      <w:r>
        <w:rPr>
          <w:rFonts w:hint="eastAsia" w:ascii="仿宋_GB2312" w:hAnsi="仿宋_GB2312" w:cs="仿宋_GB2312"/>
          <w:color w:val="auto"/>
          <w:szCs w:val="32"/>
        </w:rPr>
        <w:t>不符合安全生产和环保要求，且整改后仍无法达到要求的；</w:t>
      </w:r>
    </w:p>
    <w:p w14:paraId="5077ED26">
      <w:pPr>
        <w:spacing w:line="600" w:lineRule="exact"/>
        <w:ind w:firstLine="640" w:firstLineChars="20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6.</w:t>
      </w:r>
      <w:r>
        <w:rPr>
          <w:rFonts w:hint="eastAsia" w:ascii="仿宋_GB2312" w:hAnsi="仿宋_GB2312" w:cs="仿宋_GB2312"/>
          <w:color w:val="auto"/>
          <w:szCs w:val="32"/>
        </w:rPr>
        <w:t>按“标准地”出让的工业项目达产后，亩均税收未达到“标准地”指标70%的；</w:t>
      </w:r>
    </w:p>
    <w:p w14:paraId="27ABEC4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因规划调整或实施规划需要进行旧城改造的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；</w:t>
      </w:r>
    </w:p>
    <w:p w14:paraId="15CFEBEB">
      <w:pPr>
        <w:spacing w:line="600" w:lineRule="exact"/>
        <w:ind w:firstLine="640" w:firstLineChars="20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8.</w:t>
      </w:r>
      <w:r>
        <w:rPr>
          <w:rFonts w:hint="eastAsia" w:ascii="仿宋_GB2312" w:hAnsi="仿宋_GB2312" w:cs="仿宋_GB2312"/>
          <w:color w:val="auto"/>
          <w:szCs w:val="32"/>
        </w:rPr>
        <w:t>实际已改变工业用途的；</w:t>
      </w:r>
    </w:p>
    <w:p w14:paraId="1E51E178">
      <w:pPr>
        <w:spacing w:line="600" w:lineRule="exact"/>
        <w:ind w:firstLine="640" w:firstLineChars="20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9.使用权</w:t>
      </w:r>
      <w:r>
        <w:rPr>
          <w:rFonts w:hint="eastAsia" w:ascii="仿宋_GB2312" w:hAnsi="仿宋_GB2312" w:cs="仿宋_GB2312"/>
          <w:color w:val="auto"/>
          <w:szCs w:val="32"/>
        </w:rPr>
        <w:t>已到期的；</w:t>
      </w:r>
    </w:p>
    <w:p w14:paraId="3506B549">
      <w:pPr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10.</w:t>
      </w:r>
      <w:r>
        <w:rPr>
          <w:rFonts w:hint="eastAsia" w:ascii="仿宋_GB2312" w:hAnsi="仿宋_GB2312" w:cs="仿宋_GB2312"/>
          <w:color w:val="auto"/>
          <w:szCs w:val="32"/>
        </w:rPr>
        <w:t>县（市、区）政府、台州湾新区管委会拟纳入再开发范围的。</w:t>
      </w:r>
    </w:p>
    <w:p w14:paraId="4AE3A517">
      <w:pPr>
        <w:spacing w:line="600" w:lineRule="exact"/>
        <w:ind w:firstLine="643" w:firstLineChars="200"/>
        <w:rPr>
          <w:rFonts w:hint="eastAsia" w:ascii="仿宋_GB2312" w:hAnsi="仿宋"/>
          <w:b/>
          <w:color w:val="auto"/>
          <w:szCs w:val="32"/>
        </w:rPr>
      </w:pPr>
      <w:r>
        <w:rPr>
          <w:rFonts w:hint="eastAsia" w:ascii="仿宋_GB2312" w:hAnsi="楷体_GB2312" w:cs="楷体_GB2312"/>
          <w:b/>
          <w:color w:val="auto"/>
          <w:szCs w:val="32"/>
          <w:lang w:eastAsia="zh-CN"/>
        </w:rPr>
        <w:t>（二）</w:t>
      </w:r>
      <w:r>
        <w:rPr>
          <w:rFonts w:hint="eastAsia" w:ascii="仿宋_GB2312" w:hAnsi="楷体_GB2312" w:cs="楷体_GB2312"/>
          <w:b/>
          <w:color w:val="auto"/>
          <w:szCs w:val="32"/>
        </w:rPr>
        <w:t>城中村改造用地</w:t>
      </w:r>
    </w:p>
    <w:p w14:paraId="5614A7FA">
      <w:pPr>
        <w:spacing w:line="600" w:lineRule="exact"/>
        <w:ind w:firstLine="640" w:firstLineChars="200"/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城镇开发边界内的各类城中村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；</w:t>
      </w:r>
    </w:p>
    <w:p w14:paraId="5439B8EB">
      <w:pPr>
        <w:spacing w:line="600" w:lineRule="exact"/>
        <w:ind w:firstLine="640" w:firstLineChars="200"/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实施区域统筹或成片开发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，以及国家、省、市重大项目带动成片集体土地征迁区块；</w:t>
      </w:r>
    </w:p>
    <w:p w14:paraId="13CA0901">
      <w:pPr>
        <w:spacing w:line="600" w:lineRule="exact"/>
        <w:ind w:firstLine="640" w:firstLineChars="200"/>
        <w:rPr>
          <w:rFonts w:hint="eastAsia" w:ascii="仿宋_GB2312" w:hAnsi="仿宋"/>
          <w:b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属于城市重点功能区、重要界面或廊道、重要景观风貌区等改造整治片区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</w:rPr>
        <w:cr/>
      </w:r>
      <w:r>
        <w:rPr>
          <w:rFonts w:hint="eastAsia" w:ascii="仿宋_GB2312" w:hAnsi="仿宋"/>
          <w:b/>
          <w:color w:val="auto"/>
          <w:szCs w:val="32"/>
        </w:rPr>
        <w:t xml:space="preserve">   </w:t>
      </w:r>
      <w:r>
        <w:rPr>
          <w:rFonts w:hint="eastAsia" w:ascii="仿宋_GB2312" w:hAnsi="楷体_GB2312" w:cs="楷体_GB2312"/>
          <w:b/>
          <w:color w:val="auto"/>
          <w:szCs w:val="32"/>
        </w:rPr>
        <w:t xml:space="preserve"> </w:t>
      </w:r>
      <w:r>
        <w:rPr>
          <w:rFonts w:hint="eastAsia" w:ascii="仿宋_GB2312" w:hAnsi="楷体_GB2312" w:cs="楷体_GB2312"/>
          <w:b/>
          <w:color w:val="auto"/>
          <w:szCs w:val="32"/>
          <w:lang w:eastAsia="zh-CN"/>
        </w:rPr>
        <w:t>（三）</w:t>
      </w:r>
      <w:r>
        <w:rPr>
          <w:rFonts w:hint="eastAsia" w:ascii="仿宋_GB2312" w:hAnsi="楷体_GB2312" w:cs="楷体_GB2312"/>
          <w:b/>
          <w:color w:val="auto"/>
          <w:szCs w:val="32"/>
        </w:rPr>
        <w:t>老旧小区用地</w:t>
      </w:r>
    </w:p>
    <w:p w14:paraId="0640BF52"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房屋质量总体较差，且部分房屋依据《危险房屋鉴定标准》（JGJ125-2016）评定为C或D级的、石结构房屋；</w:t>
      </w:r>
    </w:p>
    <w:p w14:paraId="7BAA7591">
      <w:pPr>
        <w:spacing w:line="600" w:lineRule="exact"/>
        <w:ind w:firstLine="640" w:firstLineChars="200"/>
        <w:rPr>
          <w:rFonts w:hint="eastAsia" w:ascii="仿宋_GB2312" w:hAnsi="仿宋"/>
          <w:b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</w:rPr>
        <w:t>房屋结构存在较大安全隐患、使用功能不齐全、适修性较差，并纳入城市更新行动方案的城镇老旧小区。</w:t>
      </w:r>
      <w:r>
        <w:rPr>
          <w:rFonts w:hint="eastAsia" w:ascii="仿宋_GB2312" w:hAnsi="仿宋_GB2312" w:cs="仿宋_GB2312"/>
          <w:color w:val="auto"/>
          <w:szCs w:val="32"/>
        </w:rPr>
        <w:cr/>
      </w:r>
      <w:r>
        <w:rPr>
          <w:rFonts w:hint="eastAsia" w:ascii="仿宋_GB2312" w:hAnsi="仿宋"/>
          <w:b/>
          <w:color w:val="auto"/>
          <w:szCs w:val="32"/>
        </w:rPr>
        <w:t xml:space="preserve">   </w:t>
      </w:r>
      <w:r>
        <w:rPr>
          <w:rFonts w:hint="eastAsia" w:ascii="仿宋_GB2312" w:hAnsi="仿宋"/>
          <w:b/>
          <w:color w:val="auto"/>
          <w:szCs w:val="32"/>
          <w:lang w:eastAsia="zh-CN"/>
        </w:rPr>
        <w:t>（四）</w:t>
      </w:r>
      <w:r>
        <w:rPr>
          <w:rFonts w:hint="eastAsia" w:ascii="仿宋_GB2312" w:hAnsi="楷体_GB2312" w:cs="楷体_GB2312"/>
          <w:b/>
          <w:color w:val="auto"/>
          <w:szCs w:val="32"/>
        </w:rPr>
        <w:t>低效商服用地</w:t>
      </w:r>
    </w:p>
    <w:p w14:paraId="609E8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szCs w:val="32"/>
        </w:rPr>
        <w:t>开发强度低、业态不合理、设施陈旧、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长期</w:t>
      </w:r>
      <w:r>
        <w:rPr>
          <w:rFonts w:hint="eastAsia" w:ascii="仿宋_GB2312" w:hAnsi="仿宋_GB2312" w:cs="仿宋_GB2312"/>
          <w:color w:val="auto"/>
          <w:szCs w:val="32"/>
        </w:rPr>
        <w:t>空置浪费、房屋质量存在安全隐患的存量商服用地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；</w:t>
      </w:r>
    </w:p>
    <w:p w14:paraId="4EFE3A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不符合城镇总体规划、详细规划、城市设计要求； </w:t>
      </w:r>
    </w:p>
    <w:p w14:paraId="16AF3D8B">
      <w:pPr>
        <w:spacing w:line="600" w:lineRule="exact"/>
        <w:ind w:firstLine="640" w:firstLineChars="200"/>
        <w:rPr>
          <w:rFonts w:hint="eastAsia" w:ascii="仿宋_GB2312" w:hAnsi="仿宋"/>
          <w:b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经属地政府批准的纳入城市更新计划的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/>
          <w:color w:val="auto"/>
          <w:szCs w:val="32"/>
        </w:rPr>
        <w:cr/>
      </w:r>
      <w:r>
        <w:rPr>
          <w:rFonts w:hint="eastAsia" w:ascii="仿宋_GB2312" w:hAnsi="仿宋"/>
          <w:b/>
          <w:color w:val="auto"/>
          <w:szCs w:val="32"/>
        </w:rPr>
        <w:t xml:space="preserve">    </w:t>
      </w:r>
      <w:r>
        <w:rPr>
          <w:rFonts w:hint="eastAsia" w:ascii="仿宋_GB2312" w:hAnsi="楷体_GB2312" w:cs="楷体_GB2312"/>
          <w:b/>
          <w:color w:val="auto"/>
          <w:szCs w:val="32"/>
          <w:lang w:eastAsia="zh-CN"/>
        </w:rPr>
        <w:t>（五）</w:t>
      </w:r>
      <w:r>
        <w:rPr>
          <w:rFonts w:hint="eastAsia" w:ascii="仿宋_GB2312" w:hAnsi="楷体_GB2312" w:cs="楷体_GB2312"/>
          <w:b/>
          <w:color w:val="auto"/>
          <w:szCs w:val="32"/>
        </w:rPr>
        <w:t>超期未开发用地</w:t>
      </w:r>
    </w:p>
    <w:p w14:paraId="588F198E">
      <w:pPr>
        <w:spacing w:line="600" w:lineRule="exact"/>
        <w:ind w:firstLine="640" w:firstLineChars="200"/>
        <w:rPr>
          <w:rFonts w:hint="eastAsia" w:ascii="仿宋_GB2312" w:hAnsi="仿宋"/>
          <w:b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超过土地出让合同或划拨决定书约定期限未动工开发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且未因自身原因被认为闲置</w:t>
      </w:r>
      <w:r>
        <w:rPr>
          <w:rFonts w:hint="eastAsia" w:ascii="仿宋_GB2312" w:hAnsi="仿宋_GB2312" w:cs="仿宋_GB2312"/>
          <w:color w:val="auto"/>
          <w:szCs w:val="32"/>
        </w:rPr>
        <w:t>的土地。</w:t>
      </w:r>
      <w:r>
        <w:rPr>
          <w:rFonts w:hint="eastAsia" w:ascii="仿宋_GB2312" w:hAnsi="仿宋_GB2312" w:cs="仿宋_GB2312"/>
          <w:color w:val="auto"/>
          <w:szCs w:val="32"/>
        </w:rPr>
        <w:cr/>
      </w:r>
      <w:r>
        <w:rPr>
          <w:rFonts w:hint="eastAsia" w:ascii="仿宋_GB2312" w:hAnsi="仿宋"/>
          <w:b/>
          <w:color w:val="auto"/>
          <w:szCs w:val="32"/>
        </w:rPr>
        <w:t xml:space="preserve">    </w:t>
      </w:r>
      <w:r>
        <w:rPr>
          <w:rFonts w:hint="eastAsia" w:ascii="仿宋_GB2312" w:hAnsi="楷体_GB2312" w:cs="楷体_GB2312"/>
          <w:b/>
          <w:color w:val="auto"/>
          <w:szCs w:val="32"/>
          <w:lang w:eastAsia="zh-CN"/>
        </w:rPr>
        <w:t>（六）</w:t>
      </w:r>
      <w:r>
        <w:rPr>
          <w:rFonts w:hint="eastAsia" w:ascii="仿宋_GB2312" w:hAnsi="楷体_GB2312" w:cs="楷体_GB2312"/>
          <w:b/>
          <w:color w:val="auto"/>
          <w:szCs w:val="32"/>
        </w:rPr>
        <w:t>历史遗留用地</w:t>
      </w:r>
    </w:p>
    <w:p w14:paraId="462953E5">
      <w:pPr>
        <w:spacing w:line="600" w:lineRule="exact"/>
        <w:ind w:firstLine="640" w:firstLineChars="200"/>
        <w:rPr>
          <w:rFonts w:hint="eastAsia" w:ascii="仿宋_GB2312" w:hAnsi="仿宋"/>
          <w:b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无合法用地手续的存量建设用地。</w:t>
      </w:r>
      <w:r>
        <w:rPr>
          <w:rFonts w:hint="eastAsia" w:ascii="仿宋_GB2312" w:hAnsi="仿宋"/>
          <w:color w:val="auto"/>
          <w:szCs w:val="32"/>
        </w:rPr>
        <w:cr/>
      </w:r>
      <w:r>
        <w:rPr>
          <w:rFonts w:hint="eastAsia" w:ascii="仿宋_GB2312" w:hAnsi="仿宋"/>
          <w:b/>
          <w:color w:val="auto"/>
          <w:szCs w:val="32"/>
        </w:rPr>
        <w:t xml:space="preserve">    </w:t>
      </w:r>
      <w:r>
        <w:rPr>
          <w:rFonts w:hint="eastAsia" w:ascii="仿宋_GB2312" w:hAnsi="楷体_GB2312" w:cs="楷体_GB2312"/>
          <w:b/>
          <w:color w:val="auto"/>
          <w:szCs w:val="32"/>
          <w:lang w:eastAsia="zh-CN"/>
        </w:rPr>
        <w:t>（七）</w:t>
      </w:r>
      <w:r>
        <w:rPr>
          <w:rFonts w:hint="eastAsia" w:ascii="仿宋_GB2312" w:hAnsi="楷体_GB2312" w:cs="楷体_GB2312"/>
          <w:b/>
          <w:color w:val="auto"/>
          <w:szCs w:val="32"/>
        </w:rPr>
        <w:t>其他低效用地</w:t>
      </w:r>
    </w:p>
    <w:p w14:paraId="529F1FDE">
      <w:pPr>
        <w:spacing w:line="600" w:lineRule="exact"/>
        <w:ind w:firstLine="640" w:firstLineChars="20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不符合详细规划，或已列入做地收储计划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等的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 w14:paraId="4B19BB3D"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三、认定流程</w:t>
      </w:r>
    </w:p>
    <w:p w14:paraId="7934208E">
      <w:pPr>
        <w:spacing w:line="60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各县（市、区）政府、台州湾新区管委</w:t>
      </w:r>
      <w:r>
        <w:rPr>
          <w:rFonts w:hint="eastAsia" w:ascii="仿宋_GB2312" w:hAnsi="仿宋_GB2312" w:cs="仿宋_GB2312"/>
          <w:szCs w:val="32"/>
        </w:rPr>
        <w:t>会作为辖区范围内城镇低效用地认定的责任主体，组织发改、经信、自然资源、建设、生态环境、文旅、教育、交通等行业主管部门，根据城市建设和产业发展需要，对辖区内的工矿企业、居住、商服、公共设施等项目进行调查，依据标准开展</w:t>
      </w:r>
      <w:r>
        <w:rPr>
          <w:rFonts w:hint="eastAsia" w:ascii="仿宋_GB2312" w:hAnsi="仿宋_GB2312" w:cs="仿宋_GB2312"/>
          <w:color w:val="auto"/>
          <w:szCs w:val="32"/>
        </w:rPr>
        <w:t>低效城镇用地认定工作。经认定为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城镇</w:t>
      </w:r>
      <w:r>
        <w:rPr>
          <w:rFonts w:hint="eastAsia" w:ascii="仿宋_GB2312" w:hAnsi="仿宋_GB2312" w:cs="仿宋_GB2312"/>
          <w:color w:val="auto"/>
          <w:szCs w:val="32"/>
        </w:rPr>
        <w:t>低效用地的，由属地自然资</w:t>
      </w:r>
      <w:r>
        <w:rPr>
          <w:rFonts w:hint="eastAsia" w:ascii="仿宋_GB2312" w:hAnsi="仿宋_GB2312" w:cs="仿宋_GB2312"/>
          <w:color w:val="000000"/>
          <w:szCs w:val="32"/>
        </w:rPr>
        <w:t>源和规划部门纳入省级低效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用地</w:t>
      </w:r>
      <w:r>
        <w:rPr>
          <w:rFonts w:hint="eastAsia" w:ascii="仿宋_GB2312" w:hAnsi="仿宋_GB2312" w:cs="仿宋_GB2312"/>
          <w:color w:val="000000"/>
          <w:szCs w:val="32"/>
        </w:rPr>
        <w:t>数据库备案。</w:t>
      </w:r>
    </w:p>
    <w:p w14:paraId="4724FD4C">
      <w:pPr>
        <w:spacing w:line="60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黑体" w:hAnsi="黑体" w:eastAsia="黑体" w:cs="黑体"/>
          <w:szCs w:val="32"/>
        </w:rPr>
        <w:t>四、其他事项</w:t>
      </w:r>
    </w:p>
    <w:p w14:paraId="262C1D0C">
      <w:pPr>
        <w:spacing w:line="600" w:lineRule="exact"/>
        <w:rPr>
          <w:rFonts w:hint="eastAsia"/>
        </w:rPr>
      </w:pPr>
      <w:r>
        <w:rPr>
          <w:rFonts w:hint="eastAsia" w:ascii="仿宋" w:hAnsi="仿宋" w:eastAsia="仿宋"/>
          <w:szCs w:val="32"/>
        </w:rPr>
        <w:t>　　</w:t>
      </w:r>
      <w:r>
        <w:rPr>
          <w:rFonts w:hint="eastAsia" w:ascii="仿宋_GB2312" w:hAnsi="仿宋_GB2312" w:cs="仿宋_GB2312"/>
          <w:szCs w:val="32"/>
        </w:rPr>
        <w:t>各县（市、区）政府、台州湾新区管委会可在以上认定标准的基础上，结合实际进一步细化标准指标。</w:t>
      </w:r>
    </w:p>
    <w:p w14:paraId="577A724D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74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A504A">
    <w:pPr>
      <w:pStyle w:val="2"/>
      <w:wordWrap w:val="0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15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1D25C"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16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>—</w:t>
    </w:r>
  </w:p>
  <w:p w14:paraId="1F0B7047">
    <w:pPr>
      <w:pStyle w:val="2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A3D52"/>
    <w:multiLevelType w:val="singleLevel"/>
    <w:tmpl w:val="6C5A3D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ZjcxNzk5ZWE3OTgzODA4ZGFhYTkyMDUyNTI3NmYifQ=="/>
  </w:docVars>
  <w:rsids>
    <w:rsidRoot w:val="53CD4680"/>
    <w:rsid w:val="53C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2025-03-07T06:38:00Z</dcterms:created>
  <dc:creator>施展</dc:creator>
  <cp:lastModifiedBy>施展</cp:lastModifiedBy>
  <dcterms:modified xsi:type="dcterms:W3CDTF">2025-03-07T06:39:31Z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AA5DF15443D4434F81F25814087BAE7C_11</vt:lpwstr>
  </property>
</Properties>
</file>