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42B3">
      <w:pPr>
        <w:keepNext w:val="0"/>
        <w:keepLines w:val="0"/>
        <w:pageBreakBefore w:val="0"/>
        <w:widowControl w:val="0"/>
        <w:kinsoku/>
        <w:wordWrap/>
        <w:overflowPunct/>
        <w:topLinePunct w:val="0"/>
        <w:autoSpaceDE/>
        <w:autoSpaceDN/>
        <w:bidi w:val="0"/>
        <w:adjustRightInd/>
        <w:snapToGrid/>
        <w:spacing w:before="0" w:line="700" w:lineRule="exact"/>
        <w:ind w:left="0"/>
        <w:jc w:val="center"/>
        <w:textAlignment w:val="auto"/>
        <w:rPr>
          <w:rFonts w:hint="eastAsia" w:ascii="方正小标宋简体" w:hAnsi="宋体" w:eastAsia="方正小标宋简体" w:cs="宋体"/>
          <w:snapToGrid/>
          <w:spacing w:val="0"/>
          <w:position w:val="0"/>
          <w:sz w:val="44"/>
          <w:szCs w:val="44"/>
          <w:lang w:eastAsia="zh-CN" w:bidi="ar"/>
        </w:rPr>
      </w:pPr>
      <w:bookmarkStart w:id="0" w:name="_GoBack"/>
      <w:r>
        <w:rPr>
          <w:rFonts w:hint="eastAsia" w:ascii="方正小标宋简体" w:hAnsi="宋体" w:eastAsia="方正小标宋简体" w:cs="宋体"/>
          <w:snapToGrid/>
          <w:spacing w:val="0"/>
          <w:position w:val="0"/>
          <w:sz w:val="44"/>
          <w:szCs w:val="44"/>
          <w:highlight w:val="none"/>
          <w:lang w:eastAsia="zh-CN" w:bidi="ar"/>
        </w:rPr>
        <w:t>温州市瓯海区政府</w:t>
      </w:r>
      <w:r>
        <w:rPr>
          <w:rFonts w:hint="eastAsia" w:ascii="方正小标宋简体" w:hAnsi="宋体" w:eastAsia="方正小标宋简体" w:cs="宋体"/>
          <w:snapToGrid/>
          <w:spacing w:val="0"/>
          <w:position w:val="0"/>
          <w:sz w:val="44"/>
          <w:szCs w:val="44"/>
          <w:highlight w:val="none"/>
          <w:lang w:val="en-US" w:eastAsia="zh-CN" w:bidi="ar"/>
        </w:rPr>
        <w:t>产业引导</w:t>
      </w:r>
      <w:r>
        <w:rPr>
          <w:rFonts w:hint="eastAsia" w:ascii="方正小标宋简体" w:hAnsi="宋体" w:eastAsia="方正小标宋简体" w:cs="宋体"/>
          <w:snapToGrid/>
          <w:spacing w:val="0"/>
          <w:position w:val="0"/>
          <w:sz w:val="44"/>
          <w:szCs w:val="44"/>
          <w:highlight w:val="none"/>
          <w:lang w:eastAsia="zh-CN" w:bidi="ar"/>
        </w:rPr>
        <w:t>基金管理办法</w:t>
      </w:r>
    </w:p>
    <w:p w14:paraId="6147DB1A">
      <w:pPr>
        <w:keepNext w:val="0"/>
        <w:keepLines w:val="0"/>
        <w:pageBreakBefore w:val="0"/>
        <w:widowControl w:val="0"/>
        <w:kinsoku/>
        <w:wordWrap/>
        <w:overflowPunct/>
        <w:topLinePunct w:val="0"/>
        <w:autoSpaceDE/>
        <w:autoSpaceDN/>
        <w:bidi w:val="0"/>
        <w:adjustRightInd/>
        <w:snapToGrid/>
        <w:spacing w:before="0" w:line="700" w:lineRule="exact"/>
        <w:ind w:left="0"/>
        <w:jc w:val="center"/>
        <w:textAlignment w:val="auto"/>
        <w:rPr>
          <w:rFonts w:hint="eastAsia" w:ascii="方正小标宋简体" w:hAnsi="宋体" w:eastAsia="方正小标宋简体" w:cs="宋体"/>
          <w:snapToGrid/>
          <w:spacing w:val="0"/>
          <w:position w:val="0"/>
          <w:sz w:val="44"/>
          <w:szCs w:val="44"/>
          <w:highlight w:val="none"/>
          <w:lang w:val="en-US" w:eastAsia="zh-CN" w:bidi="ar"/>
        </w:rPr>
      </w:pPr>
      <w:r>
        <w:rPr>
          <w:rFonts w:hint="eastAsia" w:ascii="方正小标宋简体" w:hAnsi="宋体" w:eastAsia="方正小标宋简体" w:cs="宋体"/>
          <w:snapToGrid/>
          <w:spacing w:val="0"/>
          <w:position w:val="0"/>
          <w:sz w:val="44"/>
          <w:szCs w:val="44"/>
          <w:highlight w:val="none"/>
          <w:lang w:val="en-US" w:eastAsia="zh-CN" w:bidi="ar"/>
        </w:rPr>
        <w:t>（意见征求稿）</w:t>
      </w:r>
    </w:p>
    <w:bookmarkEnd w:id="0"/>
    <w:p w14:paraId="2DD4BC4B">
      <w:pPr>
        <w:keepNext w:val="0"/>
        <w:keepLines w:val="0"/>
        <w:pageBreakBefore w:val="0"/>
        <w:wordWrap/>
        <w:overflowPunct/>
        <w:topLinePunct w:val="0"/>
        <w:bidi w:val="0"/>
        <w:adjustRightInd/>
        <w:snapToGrid/>
        <w:spacing w:line="576" w:lineRule="exact"/>
        <w:rPr>
          <w:rFonts w:ascii="Arial"/>
          <w:sz w:val="21"/>
          <w:highlight w:val="none"/>
        </w:rPr>
      </w:pPr>
    </w:p>
    <w:p w14:paraId="1B32C29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为规范和加强瓯海</w:t>
      </w:r>
      <w:r>
        <w:rPr>
          <w:rFonts w:hint="default" w:ascii="仿宋_GB2312" w:hAnsi="仿宋_GB2312" w:eastAsia="仿宋_GB2312" w:cs="仿宋_GB2312"/>
          <w:snapToGrid/>
          <w:spacing w:val="0"/>
          <w:sz w:val="32"/>
          <w:szCs w:val="32"/>
          <w:highlight w:val="none"/>
          <w:lang w:eastAsia="zh-CN" w:bidi="ar"/>
        </w:rPr>
        <w:t>区政府产业引导基金</w:t>
      </w:r>
      <w:r>
        <w:rPr>
          <w:rFonts w:ascii="仿宋_GB2312" w:hAnsi="仿宋_GB2312" w:eastAsia="仿宋_GB2312" w:cs="仿宋_GB2312"/>
          <w:snapToGrid/>
          <w:spacing w:val="0"/>
          <w:sz w:val="32"/>
          <w:szCs w:val="32"/>
          <w:highlight w:val="none"/>
          <w:lang w:eastAsia="zh-CN" w:bidi="ar"/>
        </w:rPr>
        <w:t>的管理与运作，根据省、市产业基金管理办法等文件精神，特制定本办法。</w:t>
      </w:r>
    </w:p>
    <w:p w14:paraId="66C0EC89">
      <w:pPr>
        <w:pStyle w:val="2"/>
        <w:keepNext w:val="0"/>
        <w:keepLines w:val="0"/>
        <w:pageBreakBefore w:val="0"/>
        <w:widowControl/>
        <w:kinsoku w:val="0"/>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一、</w:t>
      </w:r>
      <w:r>
        <w:rPr>
          <w:rFonts w:ascii="黑体" w:hAnsi="黑体" w:eastAsia="黑体" w:cs="黑体"/>
          <w:spacing w:val="7"/>
          <w:sz w:val="32"/>
          <w:szCs w:val="32"/>
          <w:highlight w:val="none"/>
        </w:rPr>
        <w:t>总 则</w:t>
      </w:r>
    </w:p>
    <w:p w14:paraId="624657AF">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hint="default" w:ascii="仿宋_GB2312" w:hAnsi="仿宋_GB2312" w:eastAsia="仿宋_GB2312" w:cs="仿宋_GB2312"/>
          <w:snapToGrid/>
          <w:sz w:val="32"/>
          <w:szCs w:val="32"/>
          <w:highlight w:val="none"/>
          <w:lang w:val="en-US" w:eastAsia="zh-CN" w:bidi="ar"/>
        </w:rPr>
      </w:pPr>
      <w:r>
        <w:rPr>
          <w:rFonts w:hint="eastAsia"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color w:val="000000"/>
          <w:spacing w:val="0"/>
          <w:sz w:val="32"/>
          <w:szCs w:val="32"/>
          <w:highlight w:val="none"/>
          <w:lang w:val="en-US" w:eastAsia="zh-CN" w:bidi="ar"/>
        </w:rPr>
        <w:t>本办法所称政府产业引导基金</w:t>
      </w:r>
      <w:r>
        <w:rPr>
          <w:rFonts w:hint="default"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下称“引导基金”），</w:t>
      </w:r>
      <w:r>
        <w:rPr>
          <w:rFonts w:hint="default" w:ascii="仿宋_GB2312" w:hAnsi="仿宋_GB2312" w:eastAsia="仿宋_GB2312" w:cs="仿宋_GB2312"/>
          <w:snapToGrid/>
          <w:color w:val="000000"/>
          <w:spacing w:val="0"/>
          <w:sz w:val="32"/>
          <w:szCs w:val="32"/>
          <w:highlight w:val="none"/>
          <w:lang w:val="en-US" w:eastAsia="zh-CN" w:bidi="ar"/>
        </w:rPr>
        <w:t>是指经瓯海区政府批准，通过区财政或区属国有企业直接出资设立，或与社会资本共同出资直接设立，采用股权投资等市场化方式，引导社会各类资本投资培育瓯海区相关产业和领域发展的基金。</w:t>
      </w:r>
      <w:r>
        <w:rPr>
          <w:rFonts w:hint="default" w:ascii="仿宋_GB2312" w:hAnsi="仿宋_GB2312" w:eastAsia="仿宋_GB2312" w:cs="仿宋_GB2312"/>
          <w:snapToGrid/>
          <w:spacing w:val="0"/>
          <w:sz w:val="32"/>
          <w:szCs w:val="32"/>
          <w:highlight w:val="none"/>
          <w:lang w:eastAsia="zh-CN" w:bidi="ar"/>
        </w:rPr>
        <w:t>引导</w:t>
      </w:r>
      <w:r>
        <w:rPr>
          <w:rFonts w:ascii="仿宋_GB2312" w:hAnsi="仿宋_GB2312" w:eastAsia="仿宋_GB2312" w:cs="仿宋_GB2312"/>
          <w:snapToGrid/>
          <w:spacing w:val="0"/>
          <w:sz w:val="32"/>
          <w:szCs w:val="32"/>
          <w:highlight w:val="none"/>
          <w:lang w:eastAsia="zh-CN" w:bidi="ar"/>
        </w:rPr>
        <w:t>基金按照“聚焦战略取向、突出政策引导、坚持市场运作、合理防范风险”的原则进行管理，其设立宗旨是发挥</w:t>
      </w:r>
      <w:r>
        <w:rPr>
          <w:rFonts w:hint="default" w:ascii="仿宋_GB2312" w:hAnsi="仿宋_GB2312" w:eastAsia="仿宋_GB2312" w:cs="仿宋_GB2312"/>
          <w:snapToGrid/>
          <w:color w:val="000000"/>
          <w:spacing w:val="0"/>
          <w:sz w:val="32"/>
          <w:szCs w:val="32"/>
          <w:highlight w:val="none"/>
          <w:lang w:val="en-US" w:eastAsia="zh-CN" w:bidi="ar"/>
        </w:rPr>
        <w:t>政府</w:t>
      </w:r>
      <w:r>
        <w:rPr>
          <w:rFonts w:ascii="仿宋_GB2312" w:hAnsi="仿宋_GB2312" w:eastAsia="仿宋_GB2312" w:cs="仿宋_GB2312"/>
          <w:snapToGrid/>
          <w:spacing w:val="0"/>
          <w:sz w:val="32"/>
          <w:szCs w:val="32"/>
          <w:highlight w:val="none"/>
          <w:lang w:eastAsia="zh-CN" w:bidi="ar"/>
        </w:rPr>
        <w:t>资金的杠杆作用，实现政府主导与市场运作相结合，引导金融资本和社会资本支持实体经济，推动全区创业创新和产业转型升级。</w:t>
      </w:r>
    </w:p>
    <w:p w14:paraId="1A93776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）瓯海区政府统筹安排一定资金用于引导基金。资金来源为</w:t>
      </w:r>
      <w:r>
        <w:rPr>
          <w:rFonts w:hint="default" w:ascii="仿宋_GB2312" w:hAnsi="仿宋_GB2312" w:eastAsia="仿宋_GB2312" w:cs="仿宋_GB2312"/>
          <w:snapToGrid/>
          <w:color w:val="000000"/>
          <w:spacing w:val="0"/>
          <w:sz w:val="32"/>
          <w:szCs w:val="32"/>
          <w:highlight w:val="none"/>
          <w:lang w:val="en-US" w:eastAsia="zh-CN" w:bidi="ar"/>
        </w:rPr>
        <w:t>区属国有企业资金、</w:t>
      </w:r>
      <w:r>
        <w:rPr>
          <w:rFonts w:ascii="仿宋_GB2312" w:hAnsi="仿宋_GB2312" w:eastAsia="仿宋_GB2312" w:cs="仿宋_GB2312"/>
          <w:snapToGrid/>
          <w:spacing w:val="0"/>
          <w:sz w:val="32"/>
          <w:szCs w:val="32"/>
          <w:highlight w:val="none"/>
          <w:lang w:eastAsia="zh-CN" w:bidi="ar"/>
        </w:rPr>
        <w:t>经过清理调整的竞争性领域财政专项资金、盘活的财政存量资金和基金投资收益等。</w:t>
      </w:r>
      <w:r>
        <w:rPr>
          <w:rFonts w:hint="default" w:ascii="仿宋_GB2312" w:hAnsi="仿宋_GB2312" w:eastAsia="仿宋_GB2312" w:cs="仿宋_GB2312"/>
          <w:snapToGrid/>
          <w:color w:val="000000"/>
          <w:spacing w:val="0"/>
          <w:sz w:val="32"/>
          <w:szCs w:val="32"/>
          <w:highlight w:val="none"/>
          <w:lang w:val="en-US" w:eastAsia="zh-CN" w:bidi="ar"/>
        </w:rPr>
        <w:t>区财政或区属国有企业出资参股引导基金的单位，统称基金出资法人（下称“出资法人”）。</w:t>
      </w:r>
    </w:p>
    <w:p w14:paraId="0F063743">
      <w:pPr>
        <w:pStyle w:val="3"/>
        <w:rPr>
          <w:highlight w:val="none"/>
          <w:lang w:eastAsia="zh-CN"/>
        </w:rPr>
      </w:pPr>
      <w:r>
        <w:rPr>
          <w:rFonts w:hint="eastAsia" w:ascii="仿宋_GB2312" w:hAnsi="仿宋_GB2312" w:cs="仿宋_GB2312"/>
          <w:snapToGrid/>
          <w:color w:val="000000"/>
          <w:spacing w:val="0"/>
          <w:sz w:val="32"/>
          <w:szCs w:val="32"/>
          <w:highlight w:val="none"/>
          <w:lang w:val="en-US" w:eastAsia="zh-CN" w:bidi="ar"/>
        </w:rPr>
        <w:t>（三）根据《国务院办公厅关于促进政府投资基金高质量发展的指导意见》，为防止产能过剩和低水平重复建设，原则上不在同一行业或领域重复设立引导基金，可按市场化原则对同一项目集合发力、接续支持。各级政府通过预算安排，单独出资或与社会资本共同出资设立，采用股权投资等市场化方式，引导各类社会资本支持相关产业和领域发展及创新创业的投资基金需经市级审批。</w:t>
      </w:r>
    </w:p>
    <w:p w14:paraId="112E252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二、</w:t>
      </w:r>
      <w:r>
        <w:rPr>
          <w:rFonts w:ascii="黑体" w:hAnsi="黑体" w:eastAsia="黑体" w:cs="黑体"/>
          <w:spacing w:val="7"/>
          <w:sz w:val="32"/>
          <w:szCs w:val="32"/>
          <w:highlight w:val="none"/>
        </w:rPr>
        <w:t>组织架构和相关职责</w:t>
      </w:r>
    </w:p>
    <w:p w14:paraId="1F9E26B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spacing w:val="0"/>
          <w:sz w:val="32"/>
          <w:szCs w:val="32"/>
          <w:highlight w:val="none"/>
          <w:lang w:val="en-US" w:eastAsia="zh-CN" w:bidi="ar"/>
        </w:rPr>
        <w:t>瓯海区政府设立</w:t>
      </w:r>
      <w:r>
        <w:rPr>
          <w:rFonts w:hint="default" w:ascii="仿宋_GB2312" w:hAnsi="仿宋_GB2312" w:eastAsia="仿宋_GB2312" w:cs="仿宋_GB2312"/>
          <w:snapToGrid/>
          <w:spacing w:val="0"/>
          <w:sz w:val="32"/>
          <w:szCs w:val="32"/>
          <w:highlight w:val="none"/>
          <w:lang w:eastAsia="zh-CN" w:bidi="ar"/>
        </w:rPr>
        <w:t>瓯海区政府产业引导基金部门联席</w:t>
      </w:r>
      <w:r>
        <w:rPr>
          <w:rFonts w:hint="eastAsia" w:ascii="仿宋_GB2312" w:hAnsi="仿宋_GB2312" w:eastAsia="仿宋_GB2312" w:cs="仿宋_GB2312"/>
          <w:snapToGrid/>
          <w:spacing w:val="0"/>
          <w:sz w:val="32"/>
          <w:szCs w:val="32"/>
          <w:highlight w:val="none"/>
          <w:lang w:val="en-US" w:eastAsia="zh-CN" w:bidi="ar"/>
        </w:rPr>
        <w:t>会议</w:t>
      </w:r>
      <w:r>
        <w:rPr>
          <w:rFonts w:hint="default"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下称“</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hint="default" w:ascii="仿宋_GB2312" w:hAnsi="仿宋_GB2312" w:eastAsia="仿宋_GB2312" w:cs="仿宋_GB2312"/>
          <w:snapToGrid/>
          <w:spacing w:val="0"/>
          <w:sz w:val="32"/>
          <w:szCs w:val="32"/>
          <w:highlight w:val="none"/>
          <w:lang w:val="en-US" w:eastAsia="zh-CN" w:bidi="ar"/>
        </w:rPr>
        <w:t>”</w:t>
      </w:r>
      <w:r>
        <w:rPr>
          <w:rFonts w:hint="default"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color w:val="000000"/>
          <w:spacing w:val="0"/>
          <w:sz w:val="32"/>
          <w:szCs w:val="32"/>
          <w:highlight w:val="none"/>
          <w:lang w:val="en-US" w:eastAsia="zh-CN" w:bidi="ar"/>
        </w:rPr>
        <w:t>负责引导基金的合规性审查、政策指导、统筹协调、监督管理等重大事项审议工作，对引导基金具体项目的投资决策有知情权。</w:t>
      </w:r>
    </w:p>
    <w:p w14:paraId="00E06D3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下设办公室，办公室设在</w:t>
      </w:r>
      <w:r>
        <w:rPr>
          <w:rFonts w:hint="default" w:ascii="仿宋_GB2312" w:hAnsi="仿宋_GB2312" w:eastAsia="仿宋_GB2312" w:cs="仿宋_GB2312"/>
          <w:snapToGrid/>
          <w:color w:val="000000"/>
          <w:spacing w:val="0"/>
          <w:kern w:val="0"/>
          <w:sz w:val="32"/>
          <w:szCs w:val="32"/>
          <w:highlight w:val="none"/>
          <w:lang w:val="en-US" w:eastAsia="zh-CN" w:bidi="ar"/>
        </w:rPr>
        <w:t>区属基金监管单位</w:t>
      </w:r>
      <w:r>
        <w:rPr>
          <w:rFonts w:hint="eastAsia" w:ascii="仿宋_GB2312" w:hAnsi="仿宋_GB2312" w:eastAsia="仿宋_GB2312" w:cs="仿宋_GB2312"/>
          <w:snapToGrid/>
          <w:color w:val="000000"/>
          <w:spacing w:val="0"/>
          <w:kern w:val="0"/>
          <w:sz w:val="32"/>
          <w:szCs w:val="32"/>
          <w:highlight w:val="none"/>
          <w:lang w:val="en-US" w:eastAsia="zh-CN" w:bidi="ar"/>
        </w:rPr>
        <w:t>，</w:t>
      </w:r>
      <w:r>
        <w:rPr>
          <w:rFonts w:ascii="仿宋_GB2312" w:hAnsi="仿宋_GB2312" w:eastAsia="仿宋_GB2312" w:cs="仿宋_GB2312"/>
          <w:snapToGrid/>
          <w:spacing w:val="0"/>
          <w:sz w:val="32"/>
          <w:szCs w:val="32"/>
          <w:highlight w:val="none"/>
          <w:lang w:eastAsia="zh-CN" w:bidi="ar"/>
        </w:rPr>
        <w:t>负责</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日常事务，贯彻落实</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有关</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基金发展的重大决策；组织召开联席会议；协调</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基金运作管理中出现的问题；向</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报告</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基金运行情况和重大投资、决策事项。</w:t>
      </w:r>
    </w:p>
    <w:p w14:paraId="6B2936AC">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三</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主要职责：</w:t>
      </w:r>
    </w:p>
    <w:p w14:paraId="134A9E09">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1.</w:t>
      </w:r>
      <w:r>
        <w:rPr>
          <w:rFonts w:ascii="仿宋_GB2312" w:hAnsi="仿宋_GB2312" w:eastAsia="仿宋_GB2312" w:cs="仿宋_GB2312"/>
          <w:snapToGrid/>
          <w:spacing w:val="0"/>
          <w:sz w:val="32"/>
          <w:szCs w:val="32"/>
          <w:highlight w:val="none"/>
          <w:lang w:eastAsia="zh-CN" w:bidi="ar"/>
        </w:rPr>
        <w:t>履行出资人职责，规划</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的构成与投向，</w:t>
      </w:r>
      <w:r>
        <w:rPr>
          <w:rFonts w:hint="default" w:ascii="仿宋_GB2312" w:hAnsi="仿宋_GB2312" w:eastAsia="仿宋_GB2312" w:cs="仿宋_GB2312"/>
          <w:snapToGrid/>
          <w:spacing w:val="0"/>
          <w:sz w:val="32"/>
          <w:szCs w:val="32"/>
          <w:highlight w:val="none"/>
          <w:lang w:val="en-US" w:eastAsia="zh-CN" w:bidi="ar"/>
        </w:rPr>
        <w:t>拟定</w:t>
      </w:r>
      <w:r>
        <w:rPr>
          <w:rFonts w:ascii="仿宋_GB2312" w:hAnsi="仿宋_GB2312" w:eastAsia="仿宋_GB2312" w:cs="仿宋_GB2312"/>
          <w:snapToGrid/>
          <w:spacing w:val="0"/>
          <w:sz w:val="32"/>
          <w:szCs w:val="32"/>
          <w:highlight w:val="none"/>
          <w:lang w:eastAsia="zh-CN" w:bidi="ar"/>
        </w:rPr>
        <w:t>年度投资计划</w:t>
      </w:r>
      <w:r>
        <w:rPr>
          <w:rFonts w:hint="default" w:ascii="仿宋_GB2312" w:hAnsi="仿宋_GB2312" w:eastAsia="仿宋_GB2312" w:cs="仿宋_GB2312"/>
          <w:snapToGrid/>
          <w:color w:val="000000"/>
          <w:spacing w:val="0"/>
          <w:sz w:val="32"/>
          <w:szCs w:val="32"/>
          <w:highlight w:val="none"/>
          <w:lang w:val="en-US" w:eastAsia="zh-CN" w:bidi="ar"/>
        </w:rPr>
        <w:t>及适时调整方案</w:t>
      </w:r>
      <w:r>
        <w:rPr>
          <w:rFonts w:ascii="仿宋_GB2312" w:hAnsi="仿宋_GB2312" w:eastAsia="仿宋_GB2312" w:cs="仿宋_GB2312"/>
          <w:snapToGrid/>
          <w:color w:val="000000"/>
          <w:spacing w:val="0"/>
          <w:sz w:val="32"/>
          <w:szCs w:val="32"/>
          <w:highlight w:val="none"/>
          <w:lang w:eastAsia="zh-CN" w:bidi="ar"/>
        </w:rPr>
        <w:t>报</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hint="default" w:ascii="仿宋_GB2312" w:hAnsi="仿宋_GB2312" w:eastAsia="仿宋_GB2312" w:cs="仿宋_GB2312"/>
          <w:snapToGrid/>
          <w:color w:val="000000"/>
          <w:spacing w:val="0"/>
          <w:sz w:val="32"/>
          <w:szCs w:val="32"/>
          <w:highlight w:val="none"/>
          <w:lang w:val="en-US" w:eastAsia="zh-CN" w:bidi="ar"/>
        </w:rPr>
        <w:t>备案</w:t>
      </w:r>
      <w:r>
        <w:rPr>
          <w:rFonts w:ascii="仿宋_GB2312" w:hAnsi="仿宋_GB2312" w:eastAsia="仿宋_GB2312" w:cs="仿宋_GB2312"/>
          <w:snapToGrid/>
          <w:spacing w:val="0"/>
          <w:sz w:val="32"/>
          <w:szCs w:val="32"/>
          <w:highlight w:val="none"/>
          <w:lang w:eastAsia="zh-CN" w:bidi="ar"/>
        </w:rPr>
        <w:t>；</w:t>
      </w:r>
    </w:p>
    <w:p w14:paraId="1480325C">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hint="default"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2.</w:t>
      </w:r>
      <w:r>
        <w:rPr>
          <w:rFonts w:ascii="仿宋_GB2312" w:hAnsi="仿宋_GB2312" w:eastAsia="仿宋_GB2312" w:cs="仿宋_GB2312"/>
          <w:snapToGrid/>
          <w:spacing w:val="0"/>
          <w:sz w:val="32"/>
          <w:szCs w:val="32"/>
          <w:highlight w:val="none"/>
          <w:lang w:eastAsia="zh-CN" w:bidi="ar"/>
        </w:rPr>
        <w:t>对</w:t>
      </w:r>
      <w:r>
        <w:rPr>
          <w:rFonts w:hint="default" w:ascii="仿宋_GB2312" w:hAnsi="仿宋_GB2312" w:eastAsia="仿宋_GB2312" w:cs="仿宋_GB2312"/>
          <w:snapToGrid/>
          <w:spacing w:val="0"/>
          <w:sz w:val="32"/>
          <w:szCs w:val="32"/>
          <w:highlight w:val="none"/>
          <w:lang w:val="en-US" w:eastAsia="zh-CN" w:bidi="ar"/>
        </w:rPr>
        <w:t>拟合作基金管理人</w:t>
      </w:r>
      <w:r>
        <w:rPr>
          <w:rFonts w:ascii="仿宋_GB2312" w:hAnsi="仿宋_GB2312" w:eastAsia="仿宋_GB2312" w:cs="仿宋_GB2312"/>
          <w:snapToGrid/>
          <w:spacing w:val="0"/>
          <w:sz w:val="32"/>
          <w:szCs w:val="32"/>
          <w:highlight w:val="none"/>
          <w:lang w:eastAsia="zh-CN" w:bidi="ar"/>
        </w:rPr>
        <w:t>开展尽职调查（省、市等上级政府</w:t>
      </w:r>
      <w:r>
        <w:rPr>
          <w:rFonts w:hint="default" w:ascii="仿宋_GB2312" w:hAnsi="仿宋_GB2312" w:eastAsia="仿宋_GB2312" w:cs="仿宋_GB2312"/>
          <w:snapToGrid/>
          <w:spacing w:val="0"/>
          <w:sz w:val="32"/>
          <w:szCs w:val="32"/>
          <w:highlight w:val="none"/>
          <w:lang w:eastAsia="zh-CN" w:bidi="ar"/>
        </w:rPr>
        <w:t>政府</w:t>
      </w:r>
      <w:r>
        <w:rPr>
          <w:rFonts w:hint="default" w:ascii="仿宋_GB2312" w:hAnsi="仿宋_GB2312" w:eastAsia="仿宋_GB2312" w:cs="仿宋_GB2312"/>
          <w:snapToGrid/>
          <w:spacing w:val="0"/>
          <w:sz w:val="32"/>
          <w:szCs w:val="32"/>
          <w:highlight w:val="none"/>
          <w:lang w:val="en-US" w:eastAsia="zh-CN" w:bidi="ar"/>
        </w:rPr>
        <w:t>产业引导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在</w:t>
      </w:r>
      <w:r>
        <w:rPr>
          <w:rFonts w:hint="default" w:ascii="仿宋_GB2312" w:hAnsi="仿宋_GB2312" w:eastAsia="仿宋_GB2312" w:cs="仿宋_GB2312"/>
          <w:snapToGrid/>
          <w:spacing w:val="0"/>
          <w:sz w:val="32"/>
          <w:szCs w:val="32"/>
          <w:highlight w:val="none"/>
          <w:lang w:val="en-US" w:eastAsia="zh-CN" w:bidi="ar"/>
        </w:rPr>
        <w:t>12</w:t>
      </w:r>
      <w:r>
        <w:rPr>
          <w:rFonts w:ascii="仿宋_GB2312" w:hAnsi="仿宋_GB2312" w:eastAsia="仿宋_GB2312" w:cs="仿宋_GB2312"/>
          <w:snapToGrid/>
          <w:spacing w:val="0"/>
          <w:sz w:val="32"/>
          <w:szCs w:val="32"/>
          <w:highlight w:val="none"/>
          <w:lang w:eastAsia="zh-CN" w:bidi="ar"/>
        </w:rPr>
        <w:t>个月内已出具尽职调查报告的，可不再进行尽职调</w:t>
      </w:r>
      <w:r>
        <w:rPr>
          <w:rFonts w:hint="default" w:ascii="仿宋_GB2312" w:hAnsi="仿宋_GB2312" w:eastAsia="仿宋_GB2312" w:cs="仿宋_GB2312"/>
          <w:snapToGrid/>
          <w:spacing w:val="0"/>
          <w:sz w:val="32"/>
          <w:szCs w:val="32"/>
          <w:highlight w:val="none"/>
          <w:lang w:val="en-US" w:eastAsia="zh-CN" w:bidi="ar"/>
        </w:rPr>
        <w:t>查</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eastAsia="zh-CN" w:bidi="ar"/>
        </w:rPr>
        <w:t>；</w:t>
      </w:r>
    </w:p>
    <w:p w14:paraId="4FCD78E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3.</w:t>
      </w:r>
      <w:r>
        <w:rPr>
          <w:rFonts w:ascii="仿宋_GB2312" w:hAnsi="仿宋_GB2312" w:eastAsia="仿宋_GB2312" w:cs="仿宋_GB2312"/>
          <w:snapToGrid/>
          <w:spacing w:val="0"/>
          <w:sz w:val="32"/>
          <w:szCs w:val="32"/>
          <w:highlight w:val="none"/>
          <w:lang w:eastAsia="zh-CN" w:bidi="ar"/>
        </w:rPr>
        <w:t>拟定</w:t>
      </w:r>
      <w:r>
        <w:rPr>
          <w:rFonts w:hint="default" w:ascii="仿宋_GB2312" w:hAnsi="仿宋_GB2312" w:eastAsia="仿宋_GB2312" w:cs="仿宋_GB2312"/>
          <w:snapToGrid/>
          <w:spacing w:val="0"/>
          <w:sz w:val="32"/>
          <w:szCs w:val="32"/>
          <w:highlight w:val="none"/>
          <w:lang w:val="en-US" w:eastAsia="zh-CN" w:bidi="ar"/>
        </w:rPr>
        <w:t>并签署</w:t>
      </w:r>
      <w:r>
        <w:rPr>
          <w:rFonts w:ascii="仿宋_GB2312" w:hAnsi="仿宋_GB2312" w:eastAsia="仿宋_GB2312" w:cs="仿宋_GB2312"/>
          <w:snapToGrid/>
          <w:spacing w:val="0"/>
          <w:sz w:val="32"/>
          <w:szCs w:val="32"/>
          <w:highlight w:val="none"/>
          <w:lang w:eastAsia="zh-CN" w:bidi="ar"/>
        </w:rPr>
        <w:t>合作协议，</w:t>
      </w:r>
      <w:r>
        <w:rPr>
          <w:rFonts w:hint="default" w:ascii="仿宋_GB2312" w:hAnsi="仿宋_GB2312" w:eastAsia="仿宋_GB2312" w:cs="仿宋_GB2312"/>
          <w:snapToGrid/>
          <w:spacing w:val="0"/>
          <w:sz w:val="32"/>
          <w:szCs w:val="32"/>
          <w:highlight w:val="none"/>
          <w:lang w:val="en-US" w:eastAsia="zh-CN" w:bidi="ar"/>
        </w:rPr>
        <w:t>出资设立基金</w:t>
      </w:r>
      <w:r>
        <w:rPr>
          <w:rFonts w:ascii="仿宋_GB2312" w:hAnsi="仿宋_GB2312" w:eastAsia="仿宋_GB2312" w:cs="仿宋_GB2312"/>
          <w:snapToGrid/>
          <w:spacing w:val="0"/>
          <w:sz w:val="32"/>
          <w:szCs w:val="32"/>
          <w:highlight w:val="none"/>
          <w:lang w:eastAsia="zh-CN" w:bidi="ar"/>
        </w:rPr>
        <w:t>；</w:t>
      </w:r>
    </w:p>
    <w:p w14:paraId="328EC586">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hint="default"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4.</w:t>
      </w:r>
      <w:r>
        <w:rPr>
          <w:rFonts w:hint="default" w:ascii="仿宋_GB2312" w:hAnsi="仿宋_GB2312" w:eastAsia="仿宋_GB2312" w:cs="仿宋_GB2312"/>
          <w:snapToGrid/>
          <w:spacing w:val="0"/>
          <w:sz w:val="32"/>
          <w:szCs w:val="32"/>
          <w:highlight w:val="none"/>
          <w:lang w:eastAsia="zh-CN" w:bidi="ar"/>
        </w:rPr>
        <w:t>对</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基金运作进行投后管理及监督，列席基金合伙人会</w:t>
      </w:r>
      <w:r>
        <w:rPr>
          <w:rFonts w:ascii="仿宋_GB2312" w:hAnsi="仿宋_GB2312" w:eastAsia="仿宋_GB2312" w:cs="仿宋_GB2312"/>
          <w:snapToGrid/>
          <w:spacing w:val="0"/>
          <w:sz w:val="32"/>
          <w:szCs w:val="32"/>
          <w:highlight w:val="none"/>
          <w:lang w:eastAsia="zh-CN" w:bidi="ar"/>
        </w:rPr>
        <w:t>议、投资决策会议等会议；</w:t>
      </w:r>
      <w:r>
        <w:rPr>
          <w:rFonts w:hint="default" w:ascii="仿宋_GB2312" w:hAnsi="仿宋_GB2312" w:eastAsia="仿宋_GB2312" w:cs="仿宋_GB2312"/>
          <w:snapToGrid/>
          <w:color w:val="000000"/>
          <w:spacing w:val="0"/>
          <w:sz w:val="32"/>
          <w:szCs w:val="32"/>
          <w:highlight w:val="none"/>
          <w:lang w:val="en-US" w:eastAsia="zh-CN" w:bidi="ar"/>
        </w:rPr>
        <w:t>根据区政府相关会议决策，出资法人在不同引导基金的投资决策委员会履行相应职责</w:t>
      </w:r>
      <w:r>
        <w:rPr>
          <w:rFonts w:hint="default" w:ascii="仿宋_GB2312" w:hAnsi="仿宋_GB2312" w:eastAsia="仿宋_GB2312" w:cs="仿宋_GB2312"/>
          <w:snapToGrid/>
          <w:color w:val="000000"/>
          <w:spacing w:val="0"/>
          <w:sz w:val="32"/>
          <w:szCs w:val="32"/>
          <w:highlight w:val="none"/>
          <w:lang w:eastAsia="zh-CN" w:bidi="ar"/>
        </w:rPr>
        <w:t>；</w:t>
      </w:r>
    </w:p>
    <w:p w14:paraId="6015A07D">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5.</w:t>
      </w:r>
      <w:r>
        <w:rPr>
          <w:rFonts w:ascii="仿宋_GB2312" w:hAnsi="仿宋_GB2312" w:eastAsia="仿宋_GB2312" w:cs="仿宋_GB2312"/>
          <w:snapToGrid/>
          <w:spacing w:val="0"/>
          <w:sz w:val="32"/>
          <w:szCs w:val="32"/>
          <w:highlight w:val="none"/>
          <w:lang w:eastAsia="zh-CN" w:bidi="ar"/>
        </w:rPr>
        <w:t>协调相关部门，为</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提供项目信息查询和项目对接服务；</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授权的其他事宜。</w:t>
      </w:r>
    </w:p>
    <w:p w14:paraId="3B2B9D15">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四</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基金管理人</w:t>
      </w:r>
      <w:r>
        <w:rPr>
          <w:rFonts w:ascii="仿宋_GB2312" w:hAnsi="仿宋_GB2312" w:eastAsia="仿宋_GB2312" w:cs="仿宋_GB2312"/>
          <w:snapToGrid/>
          <w:spacing w:val="0"/>
          <w:sz w:val="32"/>
          <w:szCs w:val="32"/>
          <w:highlight w:val="none"/>
          <w:lang w:eastAsia="zh-CN" w:bidi="ar"/>
        </w:rPr>
        <w:t>负责募集社会资本，募集行为采取私募方式募集，应向符合私募投资基金监督管理有关规定的合格投资者募集资金；按照基金投资计划对拟投资合作项目进行尽职调查、入股谈判，拟定投资对象公司的章程或合作协议、投后管理、基金退出等专业化运作。</w:t>
      </w:r>
    </w:p>
    <w:p w14:paraId="57192CE5">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84" w:firstLineChars="200"/>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pacing w:val="11"/>
          <w:sz w:val="32"/>
          <w:szCs w:val="32"/>
          <w:highlight w:val="none"/>
          <w:lang w:eastAsia="zh-CN"/>
        </w:rPr>
        <w:t>（</w:t>
      </w:r>
      <w:r>
        <w:rPr>
          <w:rFonts w:hint="eastAsia" w:ascii="仿宋_GB2312" w:hAnsi="仿宋_GB2312" w:eastAsia="仿宋_GB2312" w:cs="仿宋_GB2312"/>
          <w:spacing w:val="11"/>
          <w:sz w:val="32"/>
          <w:szCs w:val="32"/>
          <w:highlight w:val="none"/>
          <w:lang w:val="en-US" w:eastAsia="zh-CN"/>
        </w:rPr>
        <w:t>五）</w:t>
      </w:r>
      <w:r>
        <w:rPr>
          <w:rFonts w:hint="default" w:ascii="仿宋_GB2312" w:hAnsi="仿宋_GB2312" w:eastAsia="仿宋_GB2312" w:cs="仿宋_GB2312"/>
          <w:color w:val="000000"/>
          <w:kern w:val="0"/>
          <w:sz w:val="32"/>
          <w:szCs w:val="32"/>
          <w:lang w:val="en-US" w:eastAsia="zh-CN" w:bidi="ar-SA"/>
        </w:rPr>
        <w:t>各行业主管部门可围绕瓯海区经济发展战略和产业政策导向，研究提出相关领域投资信息和需求；协助开展基金招引、</w:t>
      </w:r>
      <w:r>
        <w:rPr>
          <w:rFonts w:hint="eastAsia" w:ascii="仿宋_GB2312" w:hAnsi="仿宋_GB2312" w:eastAsia="仿宋_GB2312" w:cs="仿宋_GB2312"/>
          <w:color w:val="000000"/>
          <w:kern w:val="0"/>
          <w:sz w:val="32"/>
          <w:szCs w:val="32"/>
          <w:lang w:val="en-US" w:eastAsia="zh-CN" w:bidi="ar-SA"/>
        </w:rPr>
        <w:t>项目投资等</w:t>
      </w:r>
      <w:r>
        <w:rPr>
          <w:rFonts w:hint="default" w:ascii="仿宋_GB2312" w:hAnsi="仿宋_GB2312" w:eastAsia="仿宋_GB2312" w:cs="仿宋_GB2312"/>
          <w:color w:val="000000"/>
          <w:kern w:val="0"/>
          <w:sz w:val="32"/>
          <w:szCs w:val="32"/>
          <w:lang w:val="en-US" w:eastAsia="zh-CN" w:bidi="ar-SA"/>
        </w:rPr>
        <w:t>工作</w:t>
      </w:r>
      <w:r>
        <w:rPr>
          <w:rFonts w:ascii="仿宋_GB2312" w:hAnsi="仿宋_GB2312" w:eastAsia="仿宋_GB2312" w:cs="仿宋_GB2312"/>
          <w:snapToGrid/>
          <w:spacing w:val="0"/>
          <w:sz w:val="32"/>
          <w:szCs w:val="32"/>
          <w:highlight w:val="none"/>
          <w:lang w:eastAsia="zh-CN" w:bidi="ar"/>
        </w:rPr>
        <w:t>；落实行业监管和项目对接落地服务</w:t>
      </w:r>
      <w:r>
        <w:rPr>
          <w:rFonts w:hint="default" w:ascii="仿宋_GB2312" w:hAnsi="仿宋_GB2312" w:eastAsia="仿宋_GB2312" w:cs="仿宋_GB2312"/>
          <w:snapToGrid/>
          <w:spacing w:val="0"/>
          <w:sz w:val="32"/>
          <w:szCs w:val="32"/>
          <w:highlight w:val="none"/>
          <w:lang w:eastAsia="zh-CN" w:bidi="ar"/>
        </w:rPr>
        <w:t>；</w:t>
      </w:r>
      <w:r>
        <w:rPr>
          <w:rFonts w:ascii="仿宋_GB2312" w:hAnsi="仿宋_GB2312" w:eastAsia="仿宋_GB2312" w:cs="仿宋_GB2312"/>
          <w:snapToGrid/>
          <w:spacing w:val="0"/>
          <w:sz w:val="32"/>
          <w:szCs w:val="32"/>
          <w:highlight w:val="none"/>
          <w:lang w:eastAsia="zh-CN" w:bidi="ar"/>
        </w:rPr>
        <w:t>向</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办公室推荐本行业的投资对象名单。</w:t>
      </w:r>
    </w:p>
    <w:p w14:paraId="49FF0F44">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三、</w:t>
      </w:r>
      <w:r>
        <w:rPr>
          <w:rFonts w:ascii="黑体" w:hAnsi="黑体" w:eastAsia="黑体" w:cs="黑体"/>
          <w:spacing w:val="7"/>
          <w:sz w:val="32"/>
          <w:szCs w:val="32"/>
          <w:highlight w:val="none"/>
        </w:rPr>
        <w:t>投资方向和投资原则</w:t>
      </w:r>
    </w:p>
    <w:p w14:paraId="068A0191">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应围绕瓯海区经济发展战略，重点支持高新技术产业和战略性新兴产业，扶持培育更多成长型、科技型企业更好更快地发展。不得投向高污染、高能耗、落后产能等国家和省市限制行业。</w:t>
      </w:r>
    </w:p>
    <w:p w14:paraId="65D634DD">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出资法人在引导</w:t>
      </w:r>
      <w:r>
        <w:rPr>
          <w:rFonts w:hint="default" w:ascii="仿宋_GB2312" w:hAnsi="仿宋_GB2312" w:eastAsia="仿宋_GB2312" w:cs="仿宋_GB2312"/>
          <w:snapToGrid/>
          <w:spacing w:val="0"/>
          <w:sz w:val="32"/>
          <w:szCs w:val="32"/>
          <w:highlight w:val="none"/>
          <w:lang w:eastAsia="zh-CN" w:bidi="ar"/>
        </w:rPr>
        <w:t>基金</w:t>
      </w:r>
      <w:r>
        <w:rPr>
          <w:rFonts w:hint="default" w:ascii="仿宋_GB2312" w:hAnsi="仿宋_GB2312" w:eastAsia="仿宋_GB2312" w:cs="仿宋_GB2312"/>
          <w:snapToGrid/>
          <w:spacing w:val="0"/>
          <w:sz w:val="32"/>
          <w:szCs w:val="32"/>
          <w:highlight w:val="none"/>
          <w:lang w:val="en-US" w:eastAsia="zh-CN" w:bidi="ar"/>
        </w:rPr>
        <w:t>中</w:t>
      </w:r>
      <w:r>
        <w:rPr>
          <w:rFonts w:ascii="仿宋_GB2312" w:hAnsi="仿宋_GB2312" w:eastAsia="仿宋_GB2312" w:cs="仿宋_GB2312"/>
          <w:snapToGrid/>
          <w:spacing w:val="0"/>
          <w:sz w:val="32"/>
          <w:szCs w:val="32"/>
          <w:highlight w:val="none"/>
          <w:lang w:eastAsia="zh-CN" w:bidi="ar"/>
        </w:rPr>
        <w:t>与社会出资同股同权，坚持风险共担、收益共享。</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在确认</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其他社会资本出资到位后，再支付参股资金。</w:t>
      </w:r>
    </w:p>
    <w:p w14:paraId="68252CD9">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firstLineChars="0"/>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三</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在设立</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时，应明确约定</w:t>
      </w:r>
      <w:r>
        <w:rPr>
          <w:rFonts w:hint="default" w:ascii="仿宋_GB2312" w:hAnsi="仿宋_GB2312" w:eastAsia="仿宋_GB2312" w:cs="仿宋_GB2312"/>
          <w:snapToGrid/>
          <w:spacing w:val="0"/>
          <w:sz w:val="32"/>
          <w:szCs w:val="32"/>
          <w:highlight w:val="none"/>
          <w:lang w:val="en-US" w:eastAsia="zh-CN" w:bidi="ar"/>
        </w:rPr>
        <w:t>引导基金</w:t>
      </w:r>
      <w:r>
        <w:rPr>
          <w:rFonts w:ascii="仿宋_GB2312" w:hAnsi="仿宋_GB2312" w:eastAsia="仿宋_GB2312" w:cs="仿宋_GB2312"/>
          <w:snapToGrid/>
          <w:spacing w:val="0"/>
          <w:sz w:val="32"/>
          <w:szCs w:val="32"/>
          <w:highlight w:val="none"/>
          <w:lang w:eastAsia="zh-CN" w:bidi="ar"/>
        </w:rPr>
        <w:t>对单个企业的投资额不得超过基金</w:t>
      </w:r>
      <w:r>
        <w:rPr>
          <w:rFonts w:hint="default" w:ascii="仿宋_GB2312" w:hAnsi="仿宋_GB2312" w:eastAsia="仿宋_GB2312" w:cs="仿宋_GB2312"/>
          <w:snapToGrid/>
          <w:spacing w:val="0"/>
          <w:sz w:val="32"/>
          <w:szCs w:val="32"/>
          <w:highlight w:val="none"/>
          <w:lang w:val="en-US" w:eastAsia="zh-CN" w:bidi="ar"/>
        </w:rPr>
        <w:t>认缴总额的</w:t>
      </w:r>
      <w:r>
        <w:rPr>
          <w:rFonts w:ascii="仿宋_GB2312" w:hAnsi="仿宋_GB2312" w:eastAsia="仿宋_GB2312" w:cs="仿宋_GB2312"/>
          <w:snapToGrid/>
          <w:spacing w:val="0"/>
          <w:sz w:val="32"/>
          <w:szCs w:val="32"/>
          <w:highlight w:val="none"/>
          <w:lang w:eastAsia="zh-CN" w:bidi="ar"/>
        </w:rPr>
        <w:t>30%，且不得从事以</w:t>
      </w:r>
      <w:r>
        <w:rPr>
          <w:rFonts w:ascii="仿宋_GB2312" w:hAnsi="仿宋_GB2312" w:eastAsia="仿宋_GB2312" w:cs="仿宋_GB2312"/>
          <w:snapToGrid/>
          <w:sz w:val="32"/>
          <w:szCs w:val="32"/>
          <w:highlight w:val="none"/>
          <w:lang w:eastAsia="zh-CN" w:bidi="ar"/>
        </w:rPr>
        <w:t>下业务：</w:t>
      </w:r>
    </w:p>
    <w:p w14:paraId="60749F8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1.</w:t>
      </w:r>
      <w:r>
        <w:rPr>
          <w:rFonts w:ascii="仿宋_GB2312" w:hAnsi="仿宋_GB2312" w:eastAsia="仿宋_GB2312" w:cs="仿宋_GB2312"/>
          <w:snapToGrid/>
          <w:spacing w:val="0"/>
          <w:sz w:val="32"/>
          <w:szCs w:val="32"/>
          <w:highlight w:val="none"/>
          <w:lang w:eastAsia="zh-CN" w:bidi="ar"/>
        </w:rPr>
        <w:t>不得投资于二级市场股票（上市公司增发除外）、期货、企业债券、信托产品、理财产品、保险计划及其他金融衍生品；</w:t>
      </w:r>
    </w:p>
    <w:p w14:paraId="224063E5">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2.</w:t>
      </w:r>
      <w:r>
        <w:rPr>
          <w:rFonts w:ascii="仿宋_GB2312" w:hAnsi="仿宋_GB2312" w:eastAsia="仿宋_GB2312" w:cs="仿宋_GB2312"/>
          <w:snapToGrid/>
          <w:spacing w:val="0"/>
          <w:sz w:val="32"/>
          <w:szCs w:val="32"/>
          <w:highlight w:val="none"/>
          <w:lang w:eastAsia="zh-CN" w:bidi="ar"/>
        </w:rPr>
        <w:t>不得从事担保、抵押、房地产（包括购买自用房地产）、委托贷款等业务；</w:t>
      </w:r>
    </w:p>
    <w:p w14:paraId="18404F2F">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3.</w:t>
      </w:r>
      <w:r>
        <w:rPr>
          <w:rFonts w:ascii="仿宋_GB2312" w:hAnsi="仿宋_GB2312" w:eastAsia="仿宋_GB2312" w:cs="仿宋_GB2312"/>
          <w:snapToGrid/>
          <w:spacing w:val="0"/>
          <w:sz w:val="32"/>
          <w:szCs w:val="32"/>
          <w:highlight w:val="none"/>
          <w:lang w:eastAsia="zh-CN" w:bidi="ar"/>
        </w:rPr>
        <w:t>不得用于赞助、捐赠等支出；</w:t>
      </w:r>
    </w:p>
    <w:p w14:paraId="6F1FE989">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4.</w:t>
      </w:r>
      <w:r>
        <w:rPr>
          <w:rFonts w:ascii="仿宋_GB2312" w:hAnsi="仿宋_GB2312" w:eastAsia="仿宋_GB2312" w:cs="仿宋_GB2312"/>
          <w:snapToGrid/>
          <w:spacing w:val="0"/>
          <w:sz w:val="32"/>
          <w:szCs w:val="32"/>
          <w:highlight w:val="none"/>
          <w:lang w:eastAsia="zh-CN" w:bidi="ar"/>
        </w:rPr>
        <w:t>不得吸收或变相吸收存款，或向任何第三人提供贷款和资金拆借；</w:t>
      </w:r>
    </w:p>
    <w:p w14:paraId="16F96E9F">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5.</w:t>
      </w:r>
      <w:r>
        <w:rPr>
          <w:rFonts w:ascii="仿宋_GB2312" w:hAnsi="仿宋_GB2312" w:eastAsia="仿宋_GB2312" w:cs="仿宋_GB2312"/>
          <w:snapToGrid/>
          <w:spacing w:val="0"/>
          <w:sz w:val="32"/>
          <w:szCs w:val="32"/>
          <w:highlight w:val="none"/>
          <w:lang w:eastAsia="zh-CN" w:bidi="ar"/>
        </w:rPr>
        <w:t>不得进行承担无限连带责任的对外投资；</w:t>
      </w:r>
    </w:p>
    <w:p w14:paraId="72ACE35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6.</w:t>
      </w:r>
      <w:r>
        <w:rPr>
          <w:rFonts w:ascii="仿宋_GB2312" w:hAnsi="仿宋_GB2312" w:eastAsia="仿宋_GB2312" w:cs="仿宋_GB2312"/>
          <w:snapToGrid/>
          <w:spacing w:val="0"/>
          <w:sz w:val="32"/>
          <w:szCs w:val="32"/>
          <w:highlight w:val="none"/>
          <w:lang w:eastAsia="zh-CN" w:bidi="ar"/>
        </w:rPr>
        <w:t>不得用于其他国家法律法规禁止从事的业务。</w:t>
      </w:r>
    </w:p>
    <w:p w14:paraId="1335CE20">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四、</w:t>
      </w:r>
      <w:r>
        <w:rPr>
          <w:rFonts w:ascii="黑体" w:hAnsi="黑体" w:eastAsia="黑体" w:cs="黑体"/>
          <w:spacing w:val="7"/>
          <w:sz w:val="32"/>
          <w:szCs w:val="32"/>
          <w:highlight w:val="none"/>
        </w:rPr>
        <w:t>运营机构和运作模式</w:t>
      </w:r>
    </w:p>
    <w:p w14:paraId="3295EE3B">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firstLineChars="0"/>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color w:val="000000"/>
          <w:spacing w:val="0"/>
          <w:sz w:val="32"/>
          <w:szCs w:val="32"/>
          <w:highlight w:val="none"/>
          <w:lang w:val="en-US" w:eastAsia="zh-CN" w:bidi="ar"/>
        </w:rPr>
        <w:t>引导基金</w:t>
      </w:r>
      <w:r>
        <w:rPr>
          <w:rFonts w:ascii="仿宋_GB2312" w:hAnsi="仿宋_GB2312" w:eastAsia="仿宋_GB2312" w:cs="仿宋_GB2312"/>
          <w:snapToGrid/>
          <w:color w:val="000000"/>
          <w:spacing w:val="0"/>
          <w:sz w:val="32"/>
          <w:szCs w:val="32"/>
          <w:highlight w:val="none"/>
          <w:lang w:eastAsia="zh-CN" w:bidi="ar"/>
        </w:rPr>
        <w:t>应</w:t>
      </w:r>
      <w:r>
        <w:rPr>
          <w:rFonts w:ascii="仿宋_GB2312" w:hAnsi="仿宋_GB2312" w:eastAsia="仿宋_GB2312" w:cs="仿宋_GB2312"/>
          <w:snapToGrid/>
          <w:color w:val="000000"/>
          <w:spacing w:val="0"/>
          <w:sz w:val="32"/>
          <w:szCs w:val="32"/>
          <w:highlight w:val="none"/>
          <w:lang w:eastAsia="zh-CN" w:bidi="ar"/>
          <w:woUserID w:val="1"/>
        </w:rPr>
        <w:t>通过</w:t>
      </w:r>
      <w:r>
        <w:rPr>
          <w:rFonts w:hint="default" w:ascii="仿宋_GB2312" w:hAnsi="仿宋_GB2312" w:eastAsia="仿宋_GB2312" w:cs="仿宋_GB2312"/>
          <w:snapToGrid/>
          <w:color w:val="000000"/>
          <w:spacing w:val="0"/>
          <w:sz w:val="32"/>
          <w:szCs w:val="32"/>
          <w:highlight w:val="none"/>
          <w:lang w:val="en-US" w:eastAsia="zh-CN" w:bidi="ar"/>
        </w:rPr>
        <w:t>公开方式选聘基金管理人</w:t>
      </w:r>
      <w:r>
        <w:rPr>
          <w:rFonts w:ascii="仿宋_GB2312" w:hAnsi="仿宋_GB2312" w:eastAsia="仿宋_GB2312" w:cs="仿宋_GB2312"/>
          <w:snapToGrid/>
          <w:color w:val="000000"/>
          <w:spacing w:val="0"/>
          <w:sz w:val="32"/>
          <w:szCs w:val="32"/>
          <w:highlight w:val="none"/>
          <w:lang w:eastAsia="zh-CN" w:bidi="ar"/>
        </w:rPr>
        <w:t>，选聘的</w:t>
      </w:r>
      <w:r>
        <w:rPr>
          <w:rFonts w:hint="default" w:ascii="仿宋_GB2312" w:hAnsi="仿宋_GB2312" w:eastAsia="仿宋_GB2312" w:cs="仿宋_GB2312"/>
          <w:snapToGrid/>
          <w:color w:val="000000"/>
          <w:spacing w:val="0"/>
          <w:sz w:val="32"/>
          <w:szCs w:val="32"/>
          <w:highlight w:val="none"/>
          <w:lang w:val="en-US" w:eastAsia="zh-CN" w:bidi="ar"/>
        </w:rPr>
        <w:t>基金管理人</w:t>
      </w:r>
      <w:r>
        <w:rPr>
          <w:rFonts w:ascii="仿宋_GB2312" w:hAnsi="仿宋_GB2312" w:eastAsia="仿宋_GB2312" w:cs="仿宋_GB2312"/>
          <w:snapToGrid/>
          <w:color w:val="000000"/>
          <w:spacing w:val="0"/>
          <w:sz w:val="32"/>
          <w:szCs w:val="32"/>
          <w:highlight w:val="none"/>
          <w:lang w:eastAsia="zh-CN" w:bidi="ar"/>
        </w:rPr>
        <w:t>应符合</w:t>
      </w:r>
      <w:r>
        <w:rPr>
          <w:rFonts w:hint="default" w:ascii="仿宋_GB2312" w:hAnsi="仿宋_GB2312" w:eastAsia="仿宋_GB2312" w:cs="仿宋_GB2312"/>
          <w:snapToGrid/>
          <w:color w:val="000000"/>
          <w:spacing w:val="0"/>
          <w:sz w:val="32"/>
          <w:szCs w:val="32"/>
          <w:highlight w:val="none"/>
          <w:lang w:val="en-US" w:eastAsia="zh-CN" w:bidi="ar"/>
        </w:rPr>
        <w:t>:</w:t>
      </w:r>
    </w:p>
    <w:p w14:paraId="45976B0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firstLineChars="0"/>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hint="default" w:ascii="仿宋_GB2312" w:hAnsi="仿宋_GB2312" w:eastAsia="仿宋_GB2312" w:cs="仿宋_GB2312"/>
          <w:snapToGrid/>
          <w:color w:val="000000"/>
          <w:spacing w:val="0"/>
          <w:sz w:val="32"/>
          <w:szCs w:val="32"/>
          <w:highlight w:val="none"/>
          <w:lang w:val="en-US" w:eastAsia="zh-CN" w:bidi="ar"/>
        </w:rPr>
        <w:t>1.在中华人民共和国境内依法设立，注册资本或出资金额不低于人民币500万元，并根据受托管理基金的规模相应提高注册资本数额；</w:t>
      </w:r>
      <w:r>
        <w:rPr>
          <w:rFonts w:hint="default" w:ascii="仿宋_GB2312" w:hAnsi="仿宋_GB2312" w:eastAsia="仿宋_GB2312" w:cs="仿宋_GB2312"/>
          <w:snapToGrid/>
          <w:color w:val="000000"/>
          <w:spacing w:val="0"/>
          <w:sz w:val="32"/>
          <w:szCs w:val="32"/>
          <w:highlight w:val="none"/>
          <w:lang w:val="en-US" w:eastAsia="zh-CN" w:bidi="ar"/>
        </w:rPr>
        <w:br w:type="textWrapping"/>
      </w:r>
      <w:r>
        <w:rPr>
          <w:rFonts w:hint="default" w:ascii="仿宋_GB2312" w:hAnsi="仿宋_GB2312" w:eastAsia="仿宋_GB2312" w:cs="仿宋_GB2312"/>
          <w:snapToGrid/>
          <w:color w:val="000000"/>
          <w:spacing w:val="0"/>
          <w:sz w:val="32"/>
          <w:szCs w:val="32"/>
          <w:highlight w:val="none"/>
          <w:lang w:val="en-US" w:eastAsia="zh-CN" w:bidi="ar"/>
        </w:rPr>
        <w:t>　　2.有一定的资金募集能力，有固定的营业场所和与其业务相适应的软硬件设施；</w:t>
      </w:r>
      <w:r>
        <w:rPr>
          <w:rFonts w:hint="default" w:ascii="仿宋_GB2312" w:hAnsi="仿宋_GB2312" w:eastAsia="仿宋_GB2312" w:cs="仿宋_GB2312"/>
          <w:snapToGrid/>
          <w:color w:val="000000"/>
          <w:spacing w:val="0"/>
          <w:sz w:val="32"/>
          <w:szCs w:val="32"/>
          <w:highlight w:val="none"/>
          <w:lang w:val="en-US" w:eastAsia="zh-CN" w:bidi="ar"/>
        </w:rPr>
        <w:br w:type="textWrapping"/>
      </w:r>
      <w:r>
        <w:rPr>
          <w:rFonts w:hint="default" w:ascii="仿宋_GB2312" w:hAnsi="仿宋_GB2312" w:eastAsia="仿宋_GB2312" w:cs="仿宋_GB2312"/>
          <w:snapToGrid/>
          <w:color w:val="000000"/>
          <w:spacing w:val="0"/>
          <w:sz w:val="32"/>
          <w:szCs w:val="32"/>
          <w:highlight w:val="none"/>
          <w:lang w:val="en-US" w:eastAsia="zh-CN" w:bidi="ar"/>
        </w:rPr>
        <w:t>　　3.具备丰富的投资管理经验和良好的管理业绩，健全的投资管理和风险控制流程，规范的项目遴选机制，能够为被投资企业提供创业辅导、管理咨询等增值服务；</w:t>
      </w:r>
      <w:r>
        <w:rPr>
          <w:rFonts w:hint="default" w:ascii="仿宋_GB2312" w:hAnsi="仿宋_GB2312" w:eastAsia="仿宋_GB2312" w:cs="仿宋_GB2312"/>
          <w:snapToGrid/>
          <w:color w:val="000000"/>
          <w:spacing w:val="0"/>
          <w:sz w:val="32"/>
          <w:szCs w:val="32"/>
          <w:highlight w:val="none"/>
          <w:lang w:val="en-US" w:eastAsia="zh-CN" w:bidi="ar"/>
        </w:rPr>
        <w:br w:type="textWrapping"/>
      </w:r>
      <w:r>
        <w:rPr>
          <w:rFonts w:hint="default" w:ascii="仿宋_GB2312" w:hAnsi="仿宋_GB2312" w:eastAsia="仿宋_GB2312" w:cs="仿宋_GB2312"/>
          <w:snapToGrid/>
          <w:color w:val="000000"/>
          <w:spacing w:val="0"/>
          <w:sz w:val="32"/>
          <w:szCs w:val="32"/>
          <w:highlight w:val="none"/>
          <w:lang w:val="en-US" w:eastAsia="zh-CN" w:bidi="ar"/>
        </w:rPr>
        <w:t>　　4.至少有3名具备3年以上基金管理工作经验的高级管理人员，至少有3个以上股权投资的成功案例；</w:t>
      </w:r>
    </w:p>
    <w:p w14:paraId="3FBA6BB6">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firstLineChars="0"/>
        <w:textAlignment w:val="baseline"/>
        <w:rPr>
          <w:rFonts w:ascii="仿宋_GB2312" w:hAnsi="仿宋_GB2312" w:eastAsia="仿宋_GB2312" w:cs="仿宋_GB2312"/>
          <w:snapToGrid/>
          <w:spacing w:val="0"/>
          <w:sz w:val="32"/>
          <w:szCs w:val="32"/>
          <w:highlight w:val="none"/>
          <w:lang w:eastAsia="zh-CN" w:bidi="ar"/>
        </w:rPr>
      </w:pPr>
      <w:r>
        <w:rPr>
          <w:rFonts w:hint="default" w:ascii="仿宋_GB2312" w:hAnsi="仿宋_GB2312" w:eastAsia="仿宋_GB2312" w:cs="仿宋_GB2312"/>
          <w:snapToGrid/>
          <w:color w:val="000000"/>
          <w:spacing w:val="0"/>
          <w:sz w:val="32"/>
          <w:szCs w:val="32"/>
          <w:highlight w:val="none"/>
          <w:lang w:val="en-US" w:eastAsia="zh-CN" w:bidi="ar"/>
        </w:rPr>
        <w:t>5</w:t>
      </w:r>
      <w:r>
        <w:rPr>
          <w:rFonts w:hint="eastAsia" w:ascii="仿宋_GB2312" w:hAnsi="仿宋_GB2312" w:eastAsia="仿宋_GB2312" w:cs="仿宋_GB2312"/>
          <w:snapToGrid/>
          <w:color w:val="000000"/>
          <w:spacing w:val="0"/>
          <w:sz w:val="32"/>
          <w:szCs w:val="32"/>
          <w:highlight w:val="none"/>
          <w:lang w:val="en-US" w:eastAsia="zh-CN" w:bidi="ar"/>
        </w:rPr>
        <w:t>.</w:t>
      </w:r>
      <w:r>
        <w:rPr>
          <w:rFonts w:ascii="仿宋_GB2312" w:hAnsi="仿宋_GB2312" w:eastAsia="仿宋_GB2312" w:cs="仿宋_GB2312"/>
          <w:snapToGrid/>
          <w:spacing w:val="0"/>
          <w:sz w:val="32"/>
          <w:szCs w:val="32"/>
          <w:highlight w:val="none"/>
          <w:lang w:eastAsia="zh-CN" w:bidi="ar"/>
        </w:rPr>
        <w:t>在中国证券投资基金业协会进行备案，3年不存在重大违法违规行为；</w:t>
      </w:r>
    </w:p>
    <w:p w14:paraId="24F9DC82">
      <w:pPr>
        <w:pStyle w:val="2"/>
        <w:keepNext w:val="0"/>
        <w:keepLines w:val="0"/>
        <w:pageBreakBefore w:val="0"/>
        <w:widowControl/>
        <w:numPr>
          <w:ilvl w:val="0"/>
          <w:numId w:val="0"/>
        </w:numPr>
        <w:kinsoku/>
        <w:wordWrap/>
        <w:overflowPunct/>
        <w:topLinePunct w:val="0"/>
        <w:autoSpaceDE w:val="0"/>
        <w:autoSpaceDN w:val="0"/>
        <w:bidi w:val="0"/>
        <w:adjustRightInd/>
        <w:snapToGrid/>
        <w:spacing w:line="576" w:lineRule="exact"/>
        <w:ind w:left="0" w:leftChars="0" w:right="0" w:firstLine="644" w:firstLineChars="0"/>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6.</w:t>
      </w:r>
      <w:r>
        <w:rPr>
          <w:rFonts w:ascii="仿宋_GB2312" w:hAnsi="仿宋_GB2312" w:eastAsia="仿宋_GB2312" w:cs="仿宋_GB2312"/>
          <w:snapToGrid/>
          <w:spacing w:val="0"/>
          <w:sz w:val="32"/>
          <w:szCs w:val="32"/>
          <w:highlight w:val="none"/>
          <w:lang w:eastAsia="zh-CN" w:bidi="ar"/>
        </w:rPr>
        <w:t>有健全的内部财务管理制度和会计核算办法；</w:t>
      </w:r>
    </w:p>
    <w:p w14:paraId="3B051643">
      <w:pPr>
        <w:pStyle w:val="2"/>
        <w:keepNext w:val="0"/>
        <w:keepLines w:val="0"/>
        <w:pageBreakBefore w:val="0"/>
        <w:widowControl/>
        <w:numPr>
          <w:ilvl w:val="0"/>
          <w:numId w:val="0"/>
        </w:numPr>
        <w:kinsoku/>
        <w:wordWrap/>
        <w:overflowPunct/>
        <w:topLinePunct w:val="0"/>
        <w:autoSpaceDE w:val="0"/>
        <w:autoSpaceDN w:val="0"/>
        <w:bidi w:val="0"/>
        <w:adjustRightInd/>
        <w:snapToGrid/>
        <w:spacing w:line="576" w:lineRule="exact"/>
        <w:ind w:left="0" w:leftChars="0" w:right="0" w:firstLine="644" w:firstLineChars="0"/>
        <w:textAlignment w:val="baseline"/>
        <w:rPr>
          <w:rFonts w:ascii="仿宋_GB2312" w:hAnsi="仿宋_GB2312" w:eastAsia="仿宋_GB2312" w:cs="仿宋_GB2312"/>
          <w:snapToGrid/>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7.</w:t>
      </w:r>
      <w:r>
        <w:rPr>
          <w:rFonts w:ascii="仿宋_GB2312" w:hAnsi="仿宋_GB2312" w:eastAsia="仿宋_GB2312" w:cs="仿宋_GB2312"/>
          <w:snapToGrid/>
          <w:spacing w:val="0"/>
          <w:sz w:val="32"/>
          <w:szCs w:val="32"/>
          <w:highlight w:val="none"/>
          <w:lang w:eastAsia="zh-CN" w:bidi="ar"/>
        </w:rPr>
        <w:t>有明确的投资领域,</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基金应承诺</w:t>
      </w:r>
      <w:r>
        <w:rPr>
          <w:rFonts w:ascii="仿宋_GB2312" w:hAnsi="仿宋_GB2312" w:eastAsia="仿宋_GB2312" w:cs="仿宋_GB2312"/>
          <w:snapToGrid/>
          <w:spacing w:val="0"/>
          <w:sz w:val="32"/>
          <w:szCs w:val="32"/>
          <w:highlight w:val="none"/>
          <w:lang w:eastAsia="zh-CN" w:bidi="ar"/>
        </w:rPr>
        <w:t>优先投资于</w:t>
      </w:r>
      <w:r>
        <w:rPr>
          <w:rFonts w:hint="default" w:ascii="仿宋_GB2312" w:hAnsi="仿宋_GB2312" w:eastAsia="仿宋_GB2312" w:cs="仿宋_GB2312"/>
          <w:snapToGrid/>
          <w:spacing w:val="0"/>
          <w:sz w:val="32"/>
          <w:szCs w:val="32"/>
          <w:highlight w:val="none"/>
          <w:lang w:val="en-US" w:eastAsia="zh-CN" w:bidi="ar"/>
        </w:rPr>
        <w:t>瓯海</w:t>
      </w:r>
      <w:r>
        <w:rPr>
          <w:rFonts w:ascii="仿宋_GB2312" w:hAnsi="仿宋_GB2312" w:eastAsia="仿宋_GB2312" w:cs="仿宋_GB2312"/>
          <w:snapToGrid/>
          <w:spacing w:val="0"/>
          <w:sz w:val="32"/>
          <w:szCs w:val="32"/>
          <w:highlight w:val="none"/>
          <w:lang w:eastAsia="zh-CN" w:bidi="ar"/>
        </w:rPr>
        <w:t>区高新技术产业及产业规划中确定的其他重点产业。</w:t>
      </w:r>
    </w:p>
    <w:p w14:paraId="68E0949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36"/>
        <w:textAlignment w:val="baseline"/>
        <w:rPr>
          <w:rFonts w:hint="default" w:ascii="仿宋_GB2312" w:hAnsi="仿宋_GB2312" w:eastAsia="仿宋_GB2312" w:cs="仿宋_GB2312"/>
          <w:snapToGrid/>
          <w:color w:val="auto"/>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color w:val="000000"/>
          <w:spacing w:val="0"/>
          <w:sz w:val="32"/>
          <w:szCs w:val="32"/>
          <w:highlight w:val="none"/>
          <w:lang w:val="en-US" w:eastAsia="zh-CN" w:bidi="ar"/>
        </w:rPr>
        <w:t>设立引导基金一般程序为：尽职调查、出资法人</w:t>
      </w:r>
      <w:r>
        <w:rPr>
          <w:rFonts w:hint="default" w:ascii="仿宋_GB2312" w:hAnsi="仿宋_GB2312" w:eastAsia="仿宋_GB2312" w:cs="仿宋_GB2312"/>
          <w:snapToGrid/>
          <w:color w:val="auto"/>
          <w:spacing w:val="0"/>
          <w:sz w:val="32"/>
          <w:szCs w:val="32"/>
          <w:highlight w:val="none"/>
          <w:lang w:val="en-US" w:eastAsia="zh-CN" w:bidi="ar"/>
        </w:rPr>
        <w:t>出具设立意见、</w:t>
      </w:r>
      <w:r>
        <w:rPr>
          <w:rFonts w:hint="default" w:ascii="仿宋_GB2312" w:hAnsi="仿宋_GB2312" w:eastAsia="仿宋_GB2312" w:cs="仿宋_GB2312"/>
          <w:snapToGrid/>
          <w:color w:val="auto"/>
          <w:spacing w:val="0"/>
          <w:sz w:val="32"/>
          <w:szCs w:val="32"/>
          <w:highlight w:val="none"/>
          <w:lang w:eastAsia="zh-CN" w:bidi="ar"/>
        </w:rPr>
        <w:t>联席</w:t>
      </w:r>
      <w:r>
        <w:rPr>
          <w:rFonts w:hint="eastAsia" w:ascii="仿宋_GB2312" w:hAnsi="仿宋_GB2312" w:eastAsia="仿宋_GB2312" w:cs="仿宋_GB2312"/>
          <w:snapToGrid/>
          <w:color w:val="auto"/>
          <w:spacing w:val="0"/>
          <w:sz w:val="32"/>
          <w:szCs w:val="32"/>
          <w:highlight w:val="none"/>
          <w:lang w:val="en-US" w:eastAsia="zh-CN" w:bidi="ar"/>
        </w:rPr>
        <w:t>会议</w:t>
      </w:r>
      <w:r>
        <w:rPr>
          <w:rFonts w:hint="default" w:ascii="仿宋_GB2312" w:hAnsi="仿宋_GB2312" w:eastAsia="仿宋_GB2312" w:cs="仿宋_GB2312"/>
          <w:snapToGrid/>
          <w:color w:val="auto"/>
          <w:spacing w:val="0"/>
          <w:sz w:val="32"/>
          <w:szCs w:val="32"/>
          <w:highlight w:val="none"/>
          <w:lang w:val="en-US" w:eastAsia="zh-CN" w:bidi="ar"/>
        </w:rPr>
        <w:t>评审、区长办公会议或区委</w:t>
      </w:r>
      <w:r>
        <w:rPr>
          <w:rFonts w:hint="eastAsia" w:ascii="仿宋_GB2312" w:hAnsi="仿宋_GB2312" w:eastAsia="仿宋_GB2312" w:cs="仿宋_GB2312"/>
          <w:snapToGrid/>
          <w:color w:val="auto"/>
          <w:spacing w:val="0"/>
          <w:sz w:val="32"/>
          <w:szCs w:val="32"/>
          <w:highlight w:val="none"/>
          <w:lang w:val="en-US" w:eastAsia="zh-CN" w:bidi="ar"/>
        </w:rPr>
        <w:t>财经委员会</w:t>
      </w:r>
      <w:r>
        <w:rPr>
          <w:rFonts w:hint="default" w:ascii="仿宋_GB2312" w:hAnsi="仿宋_GB2312" w:eastAsia="仿宋_GB2312" w:cs="仿宋_GB2312"/>
          <w:snapToGrid/>
          <w:color w:val="auto"/>
          <w:spacing w:val="0"/>
          <w:sz w:val="32"/>
          <w:szCs w:val="32"/>
          <w:highlight w:val="none"/>
          <w:lang w:val="en-US" w:eastAsia="zh-CN" w:bidi="ar"/>
        </w:rPr>
        <w:t>决策、组织实施等。</w:t>
      </w:r>
    </w:p>
    <w:p w14:paraId="67306B92">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2"/>
        <w:jc w:val="both"/>
        <w:textAlignment w:val="baseline"/>
        <w:rPr>
          <w:rFonts w:ascii="仿宋_GB2312" w:hAnsi="仿宋_GB2312" w:eastAsia="仿宋_GB2312" w:cs="仿宋_GB2312"/>
          <w:snapToGrid/>
          <w:color w:val="auto"/>
          <w:sz w:val="32"/>
          <w:szCs w:val="32"/>
          <w:highlight w:val="none"/>
          <w:lang w:eastAsia="zh-CN" w:bidi="ar"/>
        </w:rPr>
      </w:pPr>
      <w:r>
        <w:rPr>
          <w:rFonts w:ascii="仿宋_GB2312" w:hAnsi="仿宋_GB2312" w:eastAsia="仿宋_GB2312" w:cs="仿宋_GB2312"/>
          <w:snapToGrid/>
          <w:color w:val="auto"/>
          <w:spacing w:val="0"/>
          <w:sz w:val="32"/>
          <w:szCs w:val="32"/>
          <w:highlight w:val="none"/>
          <w:lang w:eastAsia="zh-CN" w:bidi="ar"/>
        </w:rPr>
        <w:t>（</w:t>
      </w:r>
      <w:r>
        <w:rPr>
          <w:rFonts w:hint="eastAsia" w:ascii="仿宋_GB2312" w:hAnsi="仿宋_GB2312" w:eastAsia="仿宋_GB2312" w:cs="仿宋_GB2312"/>
          <w:snapToGrid/>
          <w:color w:val="auto"/>
          <w:spacing w:val="0"/>
          <w:sz w:val="32"/>
          <w:szCs w:val="32"/>
          <w:highlight w:val="none"/>
          <w:lang w:val="en-US" w:eastAsia="zh-CN" w:bidi="ar"/>
        </w:rPr>
        <w:t>三</w:t>
      </w:r>
      <w:r>
        <w:rPr>
          <w:rFonts w:ascii="仿宋_GB2312" w:hAnsi="仿宋_GB2312" w:eastAsia="仿宋_GB2312" w:cs="仿宋_GB2312"/>
          <w:snapToGrid/>
          <w:color w:val="auto"/>
          <w:spacing w:val="0"/>
          <w:sz w:val="32"/>
          <w:szCs w:val="32"/>
          <w:highlight w:val="none"/>
          <w:lang w:eastAsia="zh-CN" w:bidi="ar"/>
        </w:rPr>
        <w:t>）</w:t>
      </w:r>
      <w:r>
        <w:rPr>
          <w:rFonts w:hint="default" w:ascii="仿宋_GB2312" w:hAnsi="仿宋_GB2312" w:eastAsia="仿宋_GB2312" w:cs="仿宋_GB2312"/>
          <w:snapToGrid/>
          <w:color w:val="auto"/>
          <w:spacing w:val="0"/>
          <w:sz w:val="32"/>
          <w:szCs w:val="32"/>
          <w:highlight w:val="none"/>
          <w:lang w:val="en-US" w:eastAsia="zh-CN" w:bidi="ar"/>
        </w:rPr>
        <w:t>引导</w:t>
      </w:r>
      <w:r>
        <w:rPr>
          <w:rFonts w:hint="default" w:ascii="仿宋_GB2312" w:hAnsi="仿宋_GB2312" w:eastAsia="仿宋_GB2312" w:cs="仿宋_GB2312"/>
          <w:snapToGrid/>
          <w:color w:val="auto"/>
          <w:spacing w:val="0"/>
          <w:sz w:val="32"/>
          <w:szCs w:val="32"/>
          <w:highlight w:val="none"/>
          <w:lang w:eastAsia="zh-CN" w:bidi="ar"/>
        </w:rPr>
        <w:t>基金</w:t>
      </w:r>
      <w:r>
        <w:rPr>
          <w:rFonts w:ascii="仿宋_GB2312" w:hAnsi="仿宋_GB2312" w:eastAsia="仿宋_GB2312" w:cs="仿宋_GB2312"/>
          <w:snapToGrid/>
          <w:color w:val="auto"/>
          <w:spacing w:val="0"/>
          <w:sz w:val="32"/>
          <w:szCs w:val="32"/>
          <w:highlight w:val="none"/>
          <w:lang w:eastAsia="zh-CN" w:bidi="ar"/>
        </w:rPr>
        <w:t>主体</w:t>
      </w:r>
      <w:r>
        <w:rPr>
          <w:rFonts w:hint="eastAsia" w:ascii="仿宋_GB2312" w:hAnsi="仿宋_GB2312" w:eastAsia="仿宋_GB2312" w:cs="仿宋_GB2312"/>
          <w:snapToGrid/>
          <w:color w:val="auto"/>
          <w:spacing w:val="0"/>
          <w:sz w:val="32"/>
          <w:szCs w:val="32"/>
          <w:highlight w:val="none"/>
          <w:lang w:val="en-US" w:eastAsia="zh-CN" w:bidi="ar"/>
        </w:rPr>
        <w:t>工商注册地址须与出资方协商确认</w:t>
      </w:r>
      <w:r>
        <w:rPr>
          <w:rFonts w:ascii="仿宋_GB2312" w:hAnsi="仿宋_GB2312" w:eastAsia="仿宋_GB2312" w:cs="仿宋_GB2312"/>
          <w:snapToGrid/>
          <w:color w:val="auto"/>
          <w:spacing w:val="0"/>
          <w:sz w:val="32"/>
          <w:szCs w:val="32"/>
          <w:highlight w:val="none"/>
          <w:lang w:eastAsia="zh-CN" w:bidi="ar"/>
        </w:rPr>
        <w:t>，</w:t>
      </w:r>
      <w:r>
        <w:rPr>
          <w:rFonts w:hint="default" w:ascii="仿宋_GB2312" w:hAnsi="仿宋_GB2312" w:eastAsia="仿宋_GB2312" w:cs="仿宋_GB2312"/>
          <w:snapToGrid/>
          <w:color w:val="auto"/>
          <w:spacing w:val="0"/>
          <w:sz w:val="32"/>
          <w:szCs w:val="32"/>
          <w:highlight w:val="none"/>
          <w:lang w:eastAsia="zh-CN" w:bidi="ar"/>
        </w:rPr>
        <w:t>基金管理人</w:t>
      </w:r>
      <w:r>
        <w:rPr>
          <w:rFonts w:ascii="仿宋_GB2312" w:hAnsi="仿宋_GB2312" w:eastAsia="仿宋_GB2312" w:cs="仿宋_GB2312"/>
          <w:snapToGrid/>
          <w:color w:val="auto"/>
          <w:spacing w:val="0"/>
          <w:sz w:val="32"/>
          <w:szCs w:val="32"/>
          <w:highlight w:val="none"/>
          <w:lang w:eastAsia="zh-CN" w:bidi="ar"/>
        </w:rPr>
        <w:t>建议注册或迁址至</w:t>
      </w:r>
      <w:r>
        <w:rPr>
          <w:rFonts w:hint="eastAsia" w:ascii="仿宋_GB2312" w:hAnsi="仿宋_GB2312" w:eastAsia="仿宋_GB2312" w:cs="仿宋_GB2312"/>
          <w:snapToGrid/>
          <w:color w:val="auto"/>
          <w:spacing w:val="0"/>
          <w:sz w:val="32"/>
          <w:szCs w:val="32"/>
          <w:highlight w:val="none"/>
          <w:lang w:val="en-US" w:eastAsia="zh-CN" w:bidi="ar"/>
        </w:rPr>
        <w:t>经协商确定的地点</w:t>
      </w:r>
      <w:r>
        <w:rPr>
          <w:rFonts w:hint="default" w:ascii="仿宋_GB2312" w:hAnsi="仿宋_GB2312" w:eastAsia="仿宋_GB2312" w:cs="仿宋_GB2312"/>
          <w:snapToGrid/>
          <w:color w:val="auto"/>
          <w:spacing w:val="0"/>
          <w:sz w:val="32"/>
          <w:szCs w:val="32"/>
          <w:highlight w:val="none"/>
          <w:lang w:eastAsia="zh-CN" w:bidi="ar"/>
        </w:rPr>
        <w:t>。</w:t>
      </w:r>
      <w:r>
        <w:rPr>
          <w:rFonts w:ascii="仿宋_GB2312" w:hAnsi="仿宋_GB2312" w:eastAsia="仿宋_GB2312" w:cs="仿宋_GB2312"/>
          <w:snapToGrid/>
          <w:color w:val="auto"/>
          <w:spacing w:val="0"/>
          <w:sz w:val="32"/>
          <w:szCs w:val="32"/>
          <w:highlight w:val="none"/>
          <w:lang w:eastAsia="zh-CN" w:bidi="ar"/>
        </w:rPr>
        <w:t>涉及出资参股国家、省、市基金的，</w:t>
      </w:r>
      <w:r>
        <w:rPr>
          <w:rFonts w:hint="default" w:ascii="仿宋_GB2312" w:hAnsi="Calibri" w:eastAsia="仿宋_GB2312" w:cs="仿宋_GB2312"/>
          <w:color w:val="auto"/>
          <w:kern w:val="2"/>
          <w:sz w:val="32"/>
          <w:szCs w:val="32"/>
          <w:lang w:val="en-US" w:eastAsia="zh-CN" w:bidi="ar"/>
        </w:rPr>
        <w:t>若注册地未</w:t>
      </w:r>
      <w:r>
        <w:rPr>
          <w:rFonts w:hint="eastAsia" w:ascii="仿宋_GB2312" w:eastAsia="仿宋_GB2312" w:cs="仿宋_GB2312"/>
          <w:color w:val="auto"/>
          <w:kern w:val="2"/>
          <w:sz w:val="32"/>
          <w:szCs w:val="32"/>
          <w:lang w:val="en-US" w:eastAsia="zh-CN" w:bidi="ar"/>
        </w:rPr>
        <w:t>能登记在已</w:t>
      </w:r>
      <w:r>
        <w:rPr>
          <w:rFonts w:hint="default" w:ascii="仿宋_GB2312" w:hAnsi="Calibri" w:eastAsia="仿宋_GB2312" w:cs="仿宋_GB2312"/>
          <w:color w:val="auto"/>
          <w:kern w:val="2"/>
          <w:sz w:val="32"/>
          <w:szCs w:val="32"/>
          <w:lang w:val="en-US" w:eastAsia="zh-CN" w:bidi="ar"/>
        </w:rPr>
        <w:t>经双方协商确定</w:t>
      </w:r>
      <w:r>
        <w:rPr>
          <w:rFonts w:hint="eastAsia" w:ascii="仿宋_GB2312" w:eastAsia="仿宋_GB2312" w:cs="仿宋_GB2312"/>
          <w:color w:val="auto"/>
          <w:kern w:val="2"/>
          <w:sz w:val="32"/>
          <w:szCs w:val="32"/>
          <w:lang w:val="en-US" w:eastAsia="zh-CN" w:bidi="ar"/>
        </w:rPr>
        <w:t>的</w:t>
      </w:r>
      <w:r>
        <w:rPr>
          <w:rFonts w:hint="default" w:ascii="仿宋_GB2312" w:hAnsi="Calibri" w:eastAsia="仿宋_GB2312" w:cs="仿宋_GB2312"/>
          <w:color w:val="auto"/>
          <w:kern w:val="2"/>
          <w:sz w:val="32"/>
          <w:szCs w:val="32"/>
          <w:lang w:val="en-US" w:eastAsia="zh-CN" w:bidi="ar"/>
        </w:rPr>
        <w:t>区域</w:t>
      </w:r>
      <w:r>
        <w:rPr>
          <w:rFonts w:hint="eastAsia" w:ascii="仿宋_GB2312" w:eastAsia="仿宋_GB2312" w:cs="仿宋_GB2312"/>
          <w:color w:val="auto"/>
          <w:kern w:val="2"/>
          <w:sz w:val="32"/>
          <w:szCs w:val="32"/>
          <w:lang w:val="en-US" w:eastAsia="zh-CN" w:bidi="ar"/>
        </w:rPr>
        <w:t>内</w:t>
      </w:r>
      <w:r>
        <w:rPr>
          <w:rFonts w:ascii="仿宋_GB2312" w:hAnsi="仿宋_GB2312" w:eastAsia="仿宋_GB2312" w:cs="仿宋_GB2312"/>
          <w:snapToGrid/>
          <w:color w:val="auto"/>
          <w:spacing w:val="0"/>
          <w:sz w:val="32"/>
          <w:szCs w:val="32"/>
          <w:highlight w:val="none"/>
          <w:lang w:eastAsia="zh-CN" w:bidi="ar"/>
        </w:rPr>
        <w:t>，应提交</w:t>
      </w:r>
      <w:r>
        <w:rPr>
          <w:rFonts w:hint="default" w:ascii="仿宋_GB2312" w:hAnsi="仿宋_GB2312" w:eastAsia="仿宋_GB2312" w:cs="仿宋_GB2312"/>
          <w:snapToGrid/>
          <w:color w:val="auto"/>
          <w:spacing w:val="0"/>
          <w:sz w:val="32"/>
          <w:szCs w:val="32"/>
          <w:highlight w:val="none"/>
          <w:lang w:eastAsia="zh-CN" w:bidi="ar"/>
        </w:rPr>
        <w:t>联席</w:t>
      </w:r>
      <w:r>
        <w:rPr>
          <w:rFonts w:hint="eastAsia" w:ascii="仿宋_GB2312" w:hAnsi="仿宋_GB2312" w:eastAsia="仿宋_GB2312" w:cs="仿宋_GB2312"/>
          <w:snapToGrid/>
          <w:color w:val="auto"/>
          <w:spacing w:val="0"/>
          <w:sz w:val="32"/>
          <w:szCs w:val="32"/>
          <w:highlight w:val="none"/>
          <w:lang w:val="en-US" w:eastAsia="zh-CN" w:bidi="ar"/>
        </w:rPr>
        <w:t>会议</w:t>
      </w:r>
      <w:r>
        <w:rPr>
          <w:rFonts w:ascii="仿宋_GB2312" w:hAnsi="仿宋_GB2312" w:eastAsia="仿宋_GB2312" w:cs="仿宋_GB2312"/>
          <w:snapToGrid/>
          <w:color w:val="auto"/>
          <w:spacing w:val="0"/>
          <w:sz w:val="32"/>
          <w:szCs w:val="32"/>
          <w:highlight w:val="none"/>
          <w:lang w:eastAsia="zh-CN" w:bidi="ar"/>
        </w:rPr>
        <w:t>决策。</w:t>
      </w:r>
    </w:p>
    <w:p w14:paraId="4E1C9162">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ascii="仿宋_GB2312" w:hAnsi="仿宋_GB2312" w:eastAsia="仿宋_GB2312" w:cs="仿宋_GB2312"/>
          <w:snapToGrid/>
          <w:color w:val="auto"/>
          <w:sz w:val="32"/>
          <w:szCs w:val="32"/>
          <w:highlight w:val="none"/>
          <w:lang w:eastAsia="zh-CN" w:bidi="ar"/>
        </w:rPr>
      </w:pPr>
      <w:r>
        <w:rPr>
          <w:rFonts w:ascii="仿宋_GB2312" w:hAnsi="仿宋_GB2312" w:eastAsia="仿宋_GB2312" w:cs="仿宋_GB2312"/>
          <w:snapToGrid/>
          <w:color w:val="auto"/>
          <w:spacing w:val="0"/>
          <w:sz w:val="32"/>
          <w:szCs w:val="32"/>
          <w:highlight w:val="none"/>
          <w:lang w:eastAsia="zh-CN" w:bidi="ar"/>
        </w:rPr>
        <w:t>（</w:t>
      </w:r>
      <w:r>
        <w:rPr>
          <w:rFonts w:hint="eastAsia" w:ascii="仿宋_GB2312" w:hAnsi="仿宋_GB2312" w:eastAsia="仿宋_GB2312" w:cs="仿宋_GB2312"/>
          <w:snapToGrid/>
          <w:color w:val="auto"/>
          <w:spacing w:val="0"/>
          <w:sz w:val="32"/>
          <w:szCs w:val="32"/>
          <w:highlight w:val="none"/>
          <w:lang w:val="en-US" w:eastAsia="zh-CN" w:bidi="ar"/>
        </w:rPr>
        <w:t>四</w:t>
      </w:r>
      <w:r>
        <w:rPr>
          <w:rFonts w:ascii="仿宋_GB2312" w:hAnsi="仿宋_GB2312" w:eastAsia="仿宋_GB2312" w:cs="仿宋_GB2312"/>
          <w:snapToGrid/>
          <w:color w:val="auto"/>
          <w:spacing w:val="0"/>
          <w:sz w:val="32"/>
          <w:szCs w:val="32"/>
          <w:highlight w:val="none"/>
          <w:lang w:eastAsia="zh-CN" w:bidi="ar"/>
        </w:rPr>
        <w:t>）为</w:t>
      </w:r>
      <w:r>
        <w:rPr>
          <w:rFonts w:hint="default" w:ascii="仿宋_GB2312" w:hAnsi="仿宋_GB2312" w:eastAsia="仿宋_GB2312" w:cs="仿宋_GB2312"/>
          <w:snapToGrid/>
          <w:color w:val="auto"/>
          <w:spacing w:val="0"/>
          <w:sz w:val="32"/>
          <w:szCs w:val="32"/>
          <w:highlight w:val="none"/>
          <w:lang w:val="en-US" w:eastAsia="zh-CN" w:bidi="ar"/>
        </w:rPr>
        <w:t>保障引导</w:t>
      </w:r>
      <w:r>
        <w:rPr>
          <w:rFonts w:ascii="仿宋_GB2312" w:hAnsi="仿宋_GB2312" w:eastAsia="仿宋_GB2312" w:cs="仿宋_GB2312"/>
          <w:snapToGrid/>
          <w:color w:val="auto"/>
          <w:spacing w:val="0"/>
          <w:sz w:val="32"/>
          <w:szCs w:val="32"/>
          <w:highlight w:val="none"/>
          <w:lang w:eastAsia="zh-CN" w:bidi="ar"/>
        </w:rPr>
        <w:t>基金安全运行，</w:t>
      </w:r>
      <w:r>
        <w:rPr>
          <w:rFonts w:hint="default" w:ascii="仿宋_GB2312" w:hAnsi="仿宋_GB2312" w:eastAsia="仿宋_GB2312" w:cs="仿宋_GB2312"/>
          <w:snapToGrid/>
          <w:color w:val="auto"/>
          <w:spacing w:val="0"/>
          <w:sz w:val="32"/>
          <w:szCs w:val="32"/>
          <w:highlight w:val="none"/>
          <w:lang w:eastAsia="zh-CN" w:bidi="ar"/>
        </w:rPr>
        <w:t>基金管理人</w:t>
      </w:r>
      <w:r>
        <w:rPr>
          <w:rFonts w:ascii="仿宋_GB2312" w:hAnsi="仿宋_GB2312" w:eastAsia="仿宋_GB2312" w:cs="仿宋_GB2312"/>
          <w:snapToGrid/>
          <w:color w:val="auto"/>
          <w:spacing w:val="0"/>
          <w:sz w:val="32"/>
          <w:szCs w:val="32"/>
          <w:highlight w:val="none"/>
          <w:lang w:eastAsia="zh-CN" w:bidi="ar"/>
        </w:rPr>
        <w:t>提议并经全体</w:t>
      </w:r>
      <w:r>
        <w:rPr>
          <w:rFonts w:hint="default" w:ascii="仿宋_GB2312" w:hAnsi="仿宋_GB2312" w:eastAsia="仿宋_GB2312" w:cs="仿宋_GB2312"/>
          <w:snapToGrid/>
          <w:color w:val="auto"/>
          <w:spacing w:val="0"/>
          <w:sz w:val="32"/>
          <w:szCs w:val="32"/>
          <w:highlight w:val="none"/>
          <w:lang w:val="en-US" w:eastAsia="zh-CN" w:bidi="ar"/>
        </w:rPr>
        <w:t>合伙</w:t>
      </w:r>
      <w:r>
        <w:rPr>
          <w:rFonts w:ascii="仿宋_GB2312" w:hAnsi="仿宋_GB2312" w:eastAsia="仿宋_GB2312" w:cs="仿宋_GB2312"/>
          <w:snapToGrid/>
          <w:color w:val="auto"/>
          <w:spacing w:val="0"/>
          <w:sz w:val="32"/>
          <w:szCs w:val="32"/>
          <w:highlight w:val="none"/>
          <w:lang w:eastAsia="zh-CN" w:bidi="ar"/>
        </w:rPr>
        <w:t>人一致同意，选择</w:t>
      </w:r>
      <w:r>
        <w:rPr>
          <w:rFonts w:hint="default" w:ascii="仿宋_GB2312" w:hAnsi="仿宋_GB2312" w:eastAsia="仿宋_GB2312" w:cs="仿宋_GB2312"/>
          <w:snapToGrid/>
          <w:color w:val="auto"/>
          <w:spacing w:val="0"/>
          <w:sz w:val="32"/>
          <w:szCs w:val="32"/>
          <w:highlight w:val="none"/>
          <w:lang w:val="en-US" w:eastAsia="zh-CN" w:bidi="ar"/>
        </w:rPr>
        <w:t>具备托管业务资质的商业银行在</w:t>
      </w:r>
      <w:r>
        <w:rPr>
          <w:rFonts w:hint="eastAsia" w:ascii="仿宋_GB2312" w:hAnsi="仿宋_GB2312" w:eastAsia="仿宋_GB2312" w:cs="仿宋_GB2312"/>
          <w:snapToGrid/>
          <w:color w:val="auto"/>
          <w:spacing w:val="0"/>
          <w:sz w:val="32"/>
          <w:szCs w:val="32"/>
          <w:highlight w:val="none"/>
          <w:lang w:val="en-US" w:eastAsia="zh-CN" w:bidi="ar"/>
        </w:rPr>
        <w:t>协商确定区域内</w:t>
      </w:r>
      <w:r>
        <w:rPr>
          <w:rFonts w:hint="default" w:ascii="仿宋_GB2312" w:hAnsi="仿宋_GB2312" w:eastAsia="仿宋_GB2312" w:cs="仿宋_GB2312"/>
          <w:snapToGrid/>
          <w:color w:val="auto"/>
          <w:spacing w:val="0"/>
          <w:sz w:val="32"/>
          <w:szCs w:val="32"/>
          <w:highlight w:val="none"/>
          <w:lang w:val="en-US" w:eastAsia="zh-CN" w:bidi="ar"/>
        </w:rPr>
        <w:t>的分支机构作为基金的托管银行，</w:t>
      </w:r>
      <w:r>
        <w:rPr>
          <w:rFonts w:hint="eastAsia" w:ascii="仿宋_GB2312" w:hAnsi="仿宋_GB2312" w:eastAsia="仿宋_GB2312" w:cs="仿宋_GB2312"/>
          <w:snapToGrid/>
          <w:color w:val="auto"/>
          <w:spacing w:val="0"/>
          <w:sz w:val="32"/>
          <w:szCs w:val="32"/>
          <w:highlight w:val="none"/>
          <w:lang w:val="en-US" w:eastAsia="zh-CN" w:bidi="ar"/>
        </w:rPr>
        <w:t>由其</w:t>
      </w:r>
      <w:r>
        <w:rPr>
          <w:rFonts w:ascii="仿宋_GB2312" w:hAnsi="仿宋_GB2312" w:eastAsia="仿宋_GB2312" w:cs="仿宋_GB2312"/>
          <w:snapToGrid/>
          <w:color w:val="auto"/>
          <w:spacing w:val="0"/>
          <w:sz w:val="32"/>
          <w:szCs w:val="32"/>
          <w:highlight w:val="none"/>
          <w:lang w:eastAsia="zh-CN" w:bidi="ar"/>
        </w:rPr>
        <w:t>对基金投资区域、投资比例进行动态监管，实行专户管理、专账核算，具体负责资金保管、拨付、结算等日常工作</w:t>
      </w:r>
      <w:r>
        <w:rPr>
          <w:rFonts w:hint="default" w:ascii="仿宋_GB2312" w:hAnsi="仿宋_GB2312" w:eastAsia="仿宋_GB2312" w:cs="仿宋_GB2312"/>
          <w:snapToGrid/>
          <w:color w:val="auto"/>
          <w:spacing w:val="0"/>
          <w:sz w:val="32"/>
          <w:szCs w:val="32"/>
          <w:highlight w:val="none"/>
          <w:lang w:eastAsia="zh-CN" w:bidi="ar"/>
        </w:rPr>
        <w:t>，</w:t>
      </w:r>
      <w:r>
        <w:rPr>
          <w:rFonts w:hint="default" w:ascii="仿宋_GB2312" w:hAnsi="仿宋_GB2312" w:eastAsia="仿宋_GB2312" w:cs="仿宋_GB2312"/>
          <w:snapToGrid/>
          <w:color w:val="auto"/>
          <w:spacing w:val="0"/>
          <w:sz w:val="32"/>
          <w:szCs w:val="32"/>
          <w:highlight w:val="none"/>
          <w:lang w:val="en-US" w:eastAsia="zh-CN" w:bidi="ar"/>
        </w:rPr>
        <w:t>如因实际情况确需将托管银行选定在协商确定区域外的商业银行，应提交</w:t>
      </w:r>
      <w:r>
        <w:rPr>
          <w:rFonts w:hint="default" w:ascii="仿宋_GB2312" w:hAnsi="仿宋_GB2312" w:eastAsia="仿宋_GB2312" w:cs="仿宋_GB2312"/>
          <w:snapToGrid/>
          <w:color w:val="auto"/>
          <w:spacing w:val="0"/>
          <w:sz w:val="32"/>
          <w:szCs w:val="32"/>
          <w:highlight w:val="none"/>
          <w:lang w:eastAsia="zh-CN" w:bidi="ar"/>
        </w:rPr>
        <w:t>联席</w:t>
      </w:r>
      <w:r>
        <w:rPr>
          <w:rFonts w:hint="eastAsia" w:ascii="仿宋_GB2312" w:hAnsi="仿宋_GB2312" w:eastAsia="仿宋_GB2312" w:cs="仿宋_GB2312"/>
          <w:snapToGrid/>
          <w:color w:val="auto"/>
          <w:spacing w:val="0"/>
          <w:sz w:val="32"/>
          <w:szCs w:val="32"/>
          <w:highlight w:val="none"/>
          <w:lang w:val="en-US" w:eastAsia="zh-CN" w:bidi="ar"/>
        </w:rPr>
        <w:t>会议</w:t>
      </w:r>
      <w:r>
        <w:rPr>
          <w:rFonts w:hint="default" w:ascii="仿宋_GB2312" w:hAnsi="仿宋_GB2312" w:eastAsia="仿宋_GB2312" w:cs="仿宋_GB2312"/>
          <w:snapToGrid/>
          <w:color w:val="auto"/>
          <w:spacing w:val="0"/>
          <w:sz w:val="32"/>
          <w:szCs w:val="32"/>
          <w:highlight w:val="none"/>
          <w:lang w:val="en-US" w:eastAsia="zh-CN" w:bidi="ar"/>
        </w:rPr>
        <w:t>决策。</w:t>
      </w:r>
      <w:r>
        <w:rPr>
          <w:rFonts w:ascii="仿宋_GB2312" w:hAnsi="仿宋_GB2312" w:eastAsia="仿宋_GB2312" w:cs="仿宋_GB2312"/>
          <w:snapToGrid/>
          <w:color w:val="auto"/>
          <w:spacing w:val="0"/>
          <w:sz w:val="32"/>
          <w:szCs w:val="32"/>
          <w:highlight w:val="none"/>
          <w:lang w:eastAsia="zh-CN" w:bidi="ar"/>
        </w:rPr>
        <w:t>托管银行根据托管协议每半年向</w:t>
      </w:r>
      <w:r>
        <w:rPr>
          <w:rFonts w:hint="default" w:ascii="仿宋_GB2312" w:hAnsi="仿宋_GB2312" w:eastAsia="仿宋_GB2312" w:cs="仿宋_GB2312"/>
          <w:snapToGrid/>
          <w:color w:val="auto"/>
          <w:spacing w:val="0"/>
          <w:sz w:val="32"/>
          <w:szCs w:val="32"/>
          <w:highlight w:val="none"/>
          <w:lang w:val="en-US" w:eastAsia="zh-CN" w:bidi="ar"/>
        </w:rPr>
        <w:t>基金管理人</w:t>
      </w:r>
      <w:r>
        <w:rPr>
          <w:rFonts w:ascii="仿宋_GB2312" w:hAnsi="仿宋_GB2312" w:eastAsia="仿宋_GB2312" w:cs="仿宋_GB2312"/>
          <w:snapToGrid/>
          <w:color w:val="auto"/>
          <w:spacing w:val="0"/>
          <w:sz w:val="32"/>
          <w:szCs w:val="32"/>
          <w:highlight w:val="none"/>
          <w:lang w:eastAsia="zh-CN" w:bidi="ar"/>
        </w:rPr>
        <w:t>出具托管报告。</w:t>
      </w:r>
    </w:p>
    <w:p w14:paraId="0EC551D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color w:val="auto"/>
          <w:spacing w:val="7"/>
          <w:sz w:val="32"/>
          <w:szCs w:val="32"/>
          <w:highlight w:val="none"/>
        </w:rPr>
      </w:pPr>
      <w:r>
        <w:rPr>
          <w:rFonts w:hint="eastAsia" w:ascii="黑体" w:hAnsi="黑体" w:eastAsia="黑体" w:cs="黑体"/>
          <w:color w:val="auto"/>
          <w:spacing w:val="7"/>
          <w:sz w:val="32"/>
          <w:szCs w:val="32"/>
          <w:highlight w:val="none"/>
          <w:lang w:val="en-US" w:eastAsia="zh-CN"/>
        </w:rPr>
        <w:t>五、</w:t>
      </w:r>
      <w:r>
        <w:rPr>
          <w:rFonts w:ascii="黑体" w:hAnsi="黑体" w:eastAsia="黑体" w:cs="黑体"/>
          <w:color w:val="auto"/>
          <w:spacing w:val="7"/>
          <w:sz w:val="32"/>
          <w:szCs w:val="32"/>
          <w:highlight w:val="none"/>
        </w:rPr>
        <w:t>退出方式</w:t>
      </w:r>
    </w:p>
    <w:p w14:paraId="651B8E7A">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ascii="仿宋_GB2312" w:hAnsi="仿宋_GB2312" w:eastAsia="仿宋_GB2312" w:cs="仿宋_GB2312"/>
          <w:snapToGrid/>
          <w:spacing w:val="0"/>
          <w:sz w:val="32"/>
          <w:szCs w:val="32"/>
          <w:highlight w:val="none"/>
          <w:lang w:eastAsia="zh-CN" w:bidi="ar"/>
        </w:rPr>
      </w:pPr>
      <w:r>
        <w:rPr>
          <w:rFonts w:ascii="仿宋_GB2312" w:hAnsi="仿宋_GB2312" w:eastAsia="仿宋_GB2312" w:cs="仿宋_GB2312"/>
          <w:snapToGrid/>
          <w:color w:val="auto"/>
          <w:spacing w:val="0"/>
          <w:sz w:val="32"/>
          <w:szCs w:val="32"/>
          <w:highlight w:val="none"/>
          <w:lang w:eastAsia="zh-CN" w:bidi="ar"/>
        </w:rPr>
        <w:t>（</w:t>
      </w:r>
      <w:r>
        <w:rPr>
          <w:rFonts w:hint="eastAsia" w:ascii="仿宋_GB2312" w:hAnsi="仿宋_GB2312" w:eastAsia="仿宋_GB2312" w:cs="仿宋_GB2312"/>
          <w:snapToGrid/>
          <w:color w:val="auto"/>
          <w:spacing w:val="0"/>
          <w:sz w:val="32"/>
          <w:szCs w:val="32"/>
          <w:highlight w:val="none"/>
          <w:lang w:val="en-US" w:eastAsia="zh-CN" w:bidi="ar"/>
        </w:rPr>
        <w:t>一</w:t>
      </w:r>
      <w:r>
        <w:rPr>
          <w:rFonts w:ascii="仿宋_GB2312" w:hAnsi="仿宋_GB2312" w:eastAsia="仿宋_GB2312" w:cs="仿宋_GB2312"/>
          <w:snapToGrid/>
          <w:color w:val="auto"/>
          <w:spacing w:val="0"/>
          <w:sz w:val="32"/>
          <w:szCs w:val="32"/>
          <w:highlight w:val="none"/>
          <w:lang w:eastAsia="zh-CN" w:bidi="ar"/>
        </w:rPr>
        <w:t>）</w:t>
      </w:r>
      <w:r>
        <w:rPr>
          <w:rFonts w:hint="default" w:ascii="仿宋_GB2312" w:hAnsi="仿宋_GB2312" w:eastAsia="仿宋_GB2312" w:cs="仿宋_GB2312"/>
          <w:snapToGrid/>
          <w:color w:val="auto"/>
          <w:spacing w:val="0"/>
          <w:sz w:val="32"/>
          <w:szCs w:val="32"/>
          <w:highlight w:val="none"/>
          <w:lang w:val="en-US" w:eastAsia="zh-CN" w:bidi="ar"/>
        </w:rPr>
        <w:t>引导基金</w:t>
      </w:r>
      <w:r>
        <w:rPr>
          <w:rFonts w:ascii="仿宋_GB2312" w:hAnsi="仿宋_GB2312" w:eastAsia="仿宋_GB2312" w:cs="仿宋_GB2312"/>
          <w:snapToGrid/>
          <w:color w:val="auto"/>
          <w:spacing w:val="0"/>
          <w:sz w:val="32"/>
          <w:szCs w:val="32"/>
          <w:highlight w:val="none"/>
          <w:lang w:eastAsia="zh-CN" w:bidi="ar"/>
        </w:rPr>
        <w:t>合伙协议中应约定符</w:t>
      </w:r>
      <w:r>
        <w:rPr>
          <w:rFonts w:ascii="仿宋_GB2312" w:hAnsi="仿宋_GB2312" w:eastAsia="仿宋_GB2312" w:cs="仿宋_GB2312"/>
          <w:snapToGrid/>
          <w:spacing w:val="0"/>
          <w:sz w:val="32"/>
          <w:szCs w:val="32"/>
          <w:highlight w:val="none"/>
          <w:lang w:eastAsia="zh-CN" w:bidi="ar"/>
        </w:rPr>
        <w:t>合《合伙企业法》的退出程序，其他合伙人须配合</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退出的条款，出现下述情况之一时，</w:t>
      </w:r>
      <w:r>
        <w:rPr>
          <w:rFonts w:hint="default" w:ascii="仿宋_GB2312" w:hAnsi="仿宋_GB2312" w:eastAsia="仿宋_GB2312" w:cs="仿宋_GB2312"/>
          <w:snapToGrid/>
          <w:spacing w:val="0"/>
          <w:sz w:val="32"/>
          <w:szCs w:val="32"/>
          <w:highlight w:val="none"/>
          <w:lang w:val="en-US" w:eastAsia="zh-CN" w:bidi="ar"/>
        </w:rPr>
        <w:t>报</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hint="default" w:ascii="仿宋_GB2312" w:hAnsi="仿宋_GB2312" w:eastAsia="仿宋_GB2312" w:cs="仿宋_GB2312"/>
          <w:snapToGrid/>
          <w:spacing w:val="0"/>
          <w:sz w:val="32"/>
          <w:szCs w:val="32"/>
          <w:highlight w:val="none"/>
          <w:lang w:val="en-US" w:eastAsia="zh-CN" w:bidi="ar"/>
        </w:rPr>
        <w:t>书面</w:t>
      </w:r>
      <w:r>
        <w:rPr>
          <w:rFonts w:ascii="仿宋_GB2312" w:hAnsi="仿宋_GB2312" w:eastAsia="仿宋_GB2312" w:cs="仿宋_GB2312"/>
          <w:snapToGrid/>
          <w:spacing w:val="0"/>
          <w:sz w:val="32"/>
          <w:szCs w:val="32"/>
          <w:highlight w:val="none"/>
          <w:lang w:eastAsia="zh-CN" w:bidi="ar"/>
        </w:rPr>
        <w:t>审批后，</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履行退出程序：</w:t>
      </w:r>
    </w:p>
    <w:p w14:paraId="7FC5CFA2">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1.</w:t>
      </w:r>
      <w:r>
        <w:rPr>
          <w:rFonts w:ascii="仿宋_GB2312" w:hAnsi="仿宋_GB2312" w:eastAsia="仿宋_GB2312" w:cs="仿宋_GB2312"/>
          <w:snapToGrid/>
          <w:spacing w:val="0"/>
          <w:sz w:val="32"/>
          <w:szCs w:val="32"/>
          <w:highlight w:val="none"/>
          <w:lang w:eastAsia="zh-CN" w:bidi="ar"/>
        </w:rPr>
        <w:t>基金合伙企业（公司）设立后超过12个月，其他出资人未按规定程序和时间要求完成设立或出资手续的；</w:t>
      </w:r>
    </w:p>
    <w:p w14:paraId="717311D5">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2.</w:t>
      </w:r>
      <w:r>
        <w:rPr>
          <w:rFonts w:ascii="仿宋_GB2312" w:hAnsi="仿宋_GB2312" w:eastAsia="仿宋_GB2312" w:cs="仿宋_GB2312"/>
          <w:snapToGrid/>
          <w:spacing w:val="0"/>
          <w:sz w:val="32"/>
          <w:szCs w:val="32"/>
          <w:highlight w:val="none"/>
          <w:lang w:eastAsia="zh-CN" w:bidi="ar"/>
        </w:rPr>
        <w:t>政府出资拨付基金账户12个月以上，</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基金未开展投资业务的；</w:t>
      </w:r>
    </w:p>
    <w:p w14:paraId="3CE31ACB">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3.</w:t>
      </w:r>
      <w:r>
        <w:rPr>
          <w:rFonts w:ascii="仿宋_GB2312" w:hAnsi="仿宋_GB2312" w:eastAsia="仿宋_GB2312" w:cs="仿宋_GB2312"/>
          <w:snapToGrid/>
          <w:spacing w:val="0"/>
          <w:sz w:val="32"/>
          <w:szCs w:val="32"/>
          <w:highlight w:val="none"/>
          <w:lang w:eastAsia="zh-CN" w:bidi="ar"/>
        </w:rPr>
        <w:t>基金投资领域和阶段不符合政策</w:t>
      </w:r>
      <w:r>
        <w:rPr>
          <w:rFonts w:hint="default" w:ascii="仿宋_GB2312" w:hAnsi="仿宋_GB2312" w:eastAsia="仿宋_GB2312" w:cs="仿宋_GB2312"/>
          <w:snapToGrid/>
          <w:spacing w:val="0"/>
          <w:sz w:val="32"/>
          <w:szCs w:val="32"/>
          <w:highlight w:val="none"/>
          <w:lang w:val="en-US" w:eastAsia="zh-CN" w:bidi="ar"/>
        </w:rPr>
        <w:t>方向</w:t>
      </w:r>
      <w:r>
        <w:rPr>
          <w:rFonts w:ascii="仿宋_GB2312" w:hAnsi="仿宋_GB2312" w:eastAsia="仿宋_GB2312" w:cs="仿宋_GB2312"/>
          <w:snapToGrid/>
          <w:spacing w:val="0"/>
          <w:sz w:val="32"/>
          <w:szCs w:val="32"/>
          <w:highlight w:val="none"/>
          <w:lang w:eastAsia="zh-CN" w:bidi="ar"/>
        </w:rPr>
        <w:t>的；</w:t>
      </w:r>
    </w:p>
    <w:p w14:paraId="4F47819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hint="default"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4.</w:t>
      </w:r>
      <w:r>
        <w:rPr>
          <w:rFonts w:ascii="仿宋_GB2312" w:hAnsi="仿宋_GB2312" w:eastAsia="仿宋_GB2312" w:cs="仿宋_GB2312"/>
          <w:snapToGrid/>
          <w:spacing w:val="0"/>
          <w:sz w:val="32"/>
          <w:szCs w:val="32"/>
          <w:highlight w:val="none"/>
          <w:lang w:eastAsia="zh-CN" w:bidi="ar"/>
        </w:rPr>
        <w:t>发现其他危及</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基金安全或违背</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基金政策目标等事前约定的退出情形的</w:t>
      </w:r>
      <w:r>
        <w:rPr>
          <w:rFonts w:hint="default" w:ascii="仿宋_GB2312" w:hAnsi="仿宋_GB2312" w:eastAsia="仿宋_GB2312" w:cs="仿宋_GB2312"/>
          <w:snapToGrid/>
          <w:spacing w:val="0"/>
          <w:sz w:val="32"/>
          <w:szCs w:val="32"/>
          <w:highlight w:val="none"/>
          <w:lang w:eastAsia="zh-CN" w:bidi="ar"/>
        </w:rPr>
        <w:t>；</w:t>
      </w:r>
    </w:p>
    <w:p w14:paraId="5501224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7"/>
        <w:jc w:val="both"/>
        <w:textAlignment w:val="baseline"/>
        <w:rPr>
          <w:rFonts w:hint="default" w:ascii="仿宋_GB2312" w:hAnsi="仿宋_GB2312" w:eastAsia="仿宋_GB2312" w:cs="仿宋_GB2312"/>
          <w:snapToGrid/>
          <w:spacing w:val="0"/>
          <w:sz w:val="32"/>
          <w:szCs w:val="32"/>
          <w:highlight w:val="none"/>
          <w:lang w:eastAsia="zh-CN" w:bidi="ar"/>
        </w:rPr>
      </w:pPr>
      <w:r>
        <w:rPr>
          <w:rFonts w:hint="eastAsia" w:ascii="仿宋_GB2312" w:hAnsi="仿宋_GB2312" w:eastAsia="仿宋_GB2312" w:cs="仿宋_GB2312"/>
          <w:snapToGrid/>
          <w:spacing w:val="0"/>
          <w:sz w:val="32"/>
          <w:szCs w:val="32"/>
          <w:highlight w:val="none"/>
          <w:lang w:val="en-US" w:eastAsia="zh-CN" w:bidi="ar"/>
        </w:rPr>
        <w:t>5.</w:t>
      </w:r>
      <w:r>
        <w:rPr>
          <w:rFonts w:hint="default" w:ascii="仿宋_GB2312" w:hAnsi="仿宋_GB2312" w:eastAsia="仿宋_GB2312" w:cs="仿宋_GB2312"/>
          <w:snapToGrid/>
          <w:spacing w:val="0"/>
          <w:sz w:val="32"/>
          <w:szCs w:val="32"/>
          <w:highlight w:val="none"/>
          <w:lang w:eastAsia="zh-CN" w:bidi="ar"/>
        </w:rPr>
        <w:t>基金管理人</w:t>
      </w:r>
      <w:r>
        <w:rPr>
          <w:rFonts w:ascii="仿宋_GB2312" w:hAnsi="仿宋_GB2312" w:eastAsia="仿宋_GB2312" w:cs="仿宋_GB2312"/>
          <w:snapToGrid/>
          <w:spacing w:val="0"/>
          <w:sz w:val="32"/>
          <w:szCs w:val="32"/>
          <w:highlight w:val="none"/>
          <w:lang w:eastAsia="zh-CN" w:bidi="ar"/>
        </w:rPr>
        <w:t>发生实质性变化且未经基金相关权利机构审议通过的。实质变化包括但不限于：</w:t>
      </w:r>
      <w:r>
        <w:rPr>
          <w:rFonts w:hint="default" w:ascii="仿宋_GB2312" w:hAnsi="仿宋_GB2312" w:eastAsia="仿宋_GB2312" w:cs="仿宋_GB2312"/>
          <w:snapToGrid/>
          <w:spacing w:val="0"/>
          <w:sz w:val="32"/>
          <w:szCs w:val="32"/>
          <w:highlight w:val="none"/>
          <w:lang w:eastAsia="zh-CN" w:bidi="ar"/>
        </w:rPr>
        <w:t>基金管理人</w:t>
      </w:r>
      <w:r>
        <w:rPr>
          <w:rFonts w:ascii="仿宋_GB2312" w:hAnsi="仿宋_GB2312" w:eastAsia="仿宋_GB2312" w:cs="仿宋_GB2312"/>
          <w:snapToGrid/>
          <w:spacing w:val="0"/>
          <w:sz w:val="32"/>
          <w:szCs w:val="32"/>
          <w:highlight w:val="none"/>
          <w:lang w:eastAsia="zh-CN" w:bidi="ar"/>
        </w:rPr>
        <w:t>的主要股东（公司制）或普通合伙人（合伙制）发生实质性变化</w:t>
      </w:r>
      <w:r>
        <w:rPr>
          <w:rFonts w:hint="default" w:ascii="仿宋_GB2312" w:hAnsi="仿宋_GB2312" w:eastAsia="仿宋_GB2312" w:cs="仿宋_GB2312"/>
          <w:snapToGrid/>
          <w:spacing w:val="0"/>
          <w:sz w:val="32"/>
          <w:szCs w:val="32"/>
          <w:highlight w:val="none"/>
          <w:lang w:eastAsia="zh-CN" w:bidi="ar"/>
        </w:rPr>
        <w:t>。</w:t>
      </w:r>
    </w:p>
    <w:p w14:paraId="7E37E7B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0" w:firstLineChars="200"/>
        <w:textAlignment w:val="baseline"/>
        <w:rPr>
          <w:rFonts w:ascii="仿宋_GB2312" w:hAnsi="仿宋_GB2312" w:eastAsia="仿宋_GB2312" w:cs="仿宋_GB2312"/>
          <w:snapToGrid/>
          <w:spacing w:val="0"/>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退出：在合伙协议、公司章程或投资文件中对退出条件和退出方式有明确约定并按规定履行备案的，按事前约定依法退出</w:t>
      </w:r>
      <w:r>
        <w:rPr>
          <w:rFonts w:hint="default"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已上市股权由基金管理人根据引导基金投资决策会议审议通过的方案进行退出</w:t>
      </w:r>
      <w:r>
        <w:rPr>
          <w:rFonts w:ascii="仿宋_GB2312" w:hAnsi="仿宋_GB2312" w:eastAsia="仿宋_GB2312" w:cs="仿宋_GB2312"/>
          <w:snapToGrid/>
          <w:spacing w:val="0"/>
          <w:sz w:val="32"/>
          <w:szCs w:val="32"/>
          <w:highlight w:val="none"/>
          <w:lang w:eastAsia="zh-CN" w:bidi="ar"/>
        </w:rPr>
        <w:t>。事前没有约定、约定不明和正常清算退出的，应按照国有产权管理的有关规定通过公开市场进行，应聘请符合资质的中介机构对所持股权进行专项审计和资产评估，作为确定退出价格的重要参考。</w:t>
      </w:r>
    </w:p>
    <w:p w14:paraId="6781E7D0">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六、</w:t>
      </w:r>
      <w:r>
        <w:rPr>
          <w:rFonts w:ascii="黑体" w:hAnsi="黑体" w:eastAsia="黑体" w:cs="黑体"/>
          <w:spacing w:val="7"/>
          <w:sz w:val="32"/>
          <w:szCs w:val="32"/>
          <w:highlight w:val="none"/>
        </w:rPr>
        <w:t>费用和收益管理</w:t>
      </w:r>
    </w:p>
    <w:p w14:paraId="106D4170">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的委托管理费根据市场情况及行业惯例协商确定，主要用于基金运作所发生的各项管理成本、人员费用等。</w:t>
      </w:r>
    </w:p>
    <w:p w14:paraId="1B07F4F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38"/>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投资收益分配方式原则上采取“先回本后分利”方式，在章程或合伙协议中列明。</w:t>
      </w:r>
    </w:p>
    <w:p w14:paraId="7126C900">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七、</w:t>
      </w:r>
      <w:r>
        <w:rPr>
          <w:rFonts w:ascii="黑体" w:hAnsi="黑体" w:eastAsia="黑体" w:cs="黑体"/>
          <w:spacing w:val="7"/>
          <w:sz w:val="32"/>
          <w:szCs w:val="32"/>
          <w:highlight w:val="none"/>
        </w:rPr>
        <w:t>监督管理与风险防控</w:t>
      </w:r>
    </w:p>
    <w:p w14:paraId="0E9F6D85">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1"/>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（一）</w:t>
      </w:r>
      <w:r>
        <w:rPr>
          <w:rFonts w:hint="default" w:ascii="仿宋_GB2312" w:hAnsi="仿宋_GB2312" w:eastAsia="仿宋_GB2312" w:cs="仿宋_GB2312"/>
          <w:snapToGrid/>
          <w:spacing w:val="0"/>
          <w:sz w:val="32"/>
          <w:szCs w:val="32"/>
          <w:highlight w:val="none"/>
          <w:lang w:val="en-US" w:eastAsia="zh-CN" w:bidi="ar"/>
        </w:rPr>
        <w:t>出资法人应</w:t>
      </w:r>
      <w:r>
        <w:rPr>
          <w:rFonts w:ascii="仿宋_GB2312" w:hAnsi="仿宋_GB2312" w:eastAsia="仿宋_GB2312" w:cs="仿宋_GB2312"/>
          <w:snapToGrid/>
          <w:spacing w:val="0"/>
          <w:sz w:val="32"/>
          <w:szCs w:val="32"/>
          <w:highlight w:val="none"/>
          <w:lang w:eastAsia="zh-CN" w:bidi="ar"/>
        </w:rPr>
        <w:t>建立健全包括风险管理制度、风险管理组织和风险控制流程在内的风控合规体系及内部管控制度。区审计局按照国有资产相关规定对</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进行专项审计。</w:t>
      </w:r>
    </w:p>
    <w:p w14:paraId="0C06553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38"/>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基金管理人</w:t>
      </w:r>
      <w:r>
        <w:rPr>
          <w:rFonts w:ascii="仿宋_GB2312" w:hAnsi="仿宋_GB2312" w:eastAsia="仿宋_GB2312" w:cs="仿宋_GB2312"/>
          <w:snapToGrid/>
          <w:spacing w:val="0"/>
          <w:sz w:val="32"/>
          <w:szCs w:val="32"/>
          <w:highlight w:val="none"/>
          <w:lang w:eastAsia="zh-CN" w:bidi="ar"/>
        </w:rPr>
        <w:t>及其工作人员在</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使用及管理中不履行职责或不正确履行职责的，应根据基金合伙协议及有关法律法规规定，依法追究相应责任；涉嫌犯罪的，依法移送司法机关处理。</w:t>
      </w:r>
    </w:p>
    <w:p w14:paraId="37A50B27">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2"/>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三</w:t>
      </w:r>
      <w:r>
        <w:rPr>
          <w:rFonts w:ascii="仿宋_GB2312" w:hAnsi="仿宋_GB2312" w:eastAsia="仿宋_GB2312" w:cs="仿宋_GB2312"/>
          <w:snapToGrid/>
          <w:spacing w:val="0"/>
          <w:sz w:val="32"/>
          <w:szCs w:val="32"/>
          <w:highlight w:val="none"/>
          <w:lang w:eastAsia="zh-CN" w:bidi="ar"/>
        </w:rPr>
        <w:t>）建立健全尽职免责机制。鼓励创新、宽容失败</w:t>
      </w:r>
      <w:r>
        <w:rPr>
          <w:rFonts w:hint="eastAsia" w:ascii="仿宋_GB2312" w:hAnsi="仿宋_GB2312" w:eastAsia="仿宋_GB2312" w:cs="仿宋_GB2312"/>
          <w:snapToGrid/>
          <w:spacing w:val="0"/>
          <w:sz w:val="32"/>
          <w:szCs w:val="32"/>
          <w:highlight w:val="none"/>
          <w:lang w:eastAsia="zh-CN" w:bidi="ar"/>
        </w:rPr>
        <w:t>，</w:t>
      </w:r>
      <w:r>
        <w:rPr>
          <w:rFonts w:ascii="仿宋_GB2312" w:hAnsi="仿宋_GB2312" w:eastAsia="仿宋_GB2312" w:cs="仿宋_GB2312"/>
          <w:snapToGrid/>
          <w:spacing w:val="0"/>
          <w:sz w:val="32"/>
          <w:szCs w:val="32"/>
          <w:highlight w:val="none"/>
          <w:lang w:eastAsia="zh-CN" w:bidi="ar"/>
        </w:rPr>
        <w:t>提高对</w:t>
      </w:r>
      <w:r>
        <w:rPr>
          <w:rFonts w:hint="default" w:ascii="仿宋_GB2312" w:hAnsi="仿宋_GB2312" w:eastAsia="仿宋_GB2312" w:cs="仿宋_GB2312"/>
          <w:snapToGrid/>
          <w:spacing w:val="0"/>
          <w:sz w:val="32"/>
          <w:szCs w:val="32"/>
          <w:highlight w:val="none"/>
          <w:lang w:eastAsia="zh-CN" w:bidi="ar"/>
        </w:rPr>
        <w:t>引导基金</w:t>
      </w:r>
      <w:r>
        <w:rPr>
          <w:rFonts w:ascii="仿宋_GB2312" w:hAnsi="仿宋_GB2312" w:eastAsia="仿宋_GB2312" w:cs="仿宋_GB2312"/>
          <w:snapToGrid/>
          <w:spacing w:val="0"/>
          <w:sz w:val="32"/>
          <w:szCs w:val="32"/>
          <w:highlight w:val="none"/>
          <w:lang w:eastAsia="zh-CN" w:bidi="ar"/>
        </w:rPr>
        <w:t>风险容忍度，对于已履职尽责的基金组建与投资项目，如发生风险造成投资损失，</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基金管理人</w:t>
      </w:r>
      <w:r>
        <w:rPr>
          <w:rFonts w:ascii="仿宋_GB2312" w:hAnsi="仿宋_GB2312" w:eastAsia="仿宋_GB2312" w:cs="仿宋_GB2312"/>
          <w:snapToGrid/>
          <w:spacing w:val="0"/>
          <w:sz w:val="32"/>
          <w:szCs w:val="32"/>
          <w:highlight w:val="none"/>
          <w:lang w:eastAsia="zh-CN" w:bidi="ar"/>
        </w:rPr>
        <w:t>、主管</w:t>
      </w:r>
      <w:r>
        <w:rPr>
          <w:rFonts w:hint="default" w:ascii="仿宋_GB2312" w:hAnsi="仿宋_GB2312" w:eastAsia="仿宋_GB2312" w:cs="仿宋_GB2312"/>
          <w:snapToGrid/>
          <w:spacing w:val="0"/>
          <w:sz w:val="32"/>
          <w:szCs w:val="32"/>
          <w:highlight w:val="none"/>
          <w:lang w:val="en-US" w:eastAsia="zh-CN" w:bidi="ar"/>
        </w:rPr>
        <w:t>单位</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及</w:t>
      </w:r>
      <w:r>
        <w:rPr>
          <w:rFonts w:hint="default" w:ascii="仿宋_GB2312" w:hAnsi="仿宋_GB2312" w:eastAsia="仿宋_GB2312" w:cs="仿宋_GB2312"/>
          <w:snapToGrid/>
          <w:spacing w:val="0"/>
          <w:sz w:val="32"/>
          <w:szCs w:val="32"/>
          <w:highlight w:val="none"/>
          <w:lang w:val="en-US" w:eastAsia="zh-CN" w:bidi="ar"/>
        </w:rPr>
        <w:t>相关决策会议参会人员</w:t>
      </w:r>
      <w:r>
        <w:rPr>
          <w:rFonts w:ascii="仿宋_GB2312" w:hAnsi="仿宋_GB2312" w:eastAsia="仿宋_GB2312" w:cs="仿宋_GB2312"/>
          <w:snapToGrid/>
          <w:spacing w:val="0"/>
          <w:sz w:val="32"/>
          <w:szCs w:val="32"/>
          <w:highlight w:val="none"/>
          <w:lang w:eastAsia="zh-CN" w:bidi="ar"/>
        </w:rPr>
        <w:t>等不承担相关责任。</w:t>
      </w:r>
    </w:p>
    <w:p w14:paraId="55E0DDFA">
      <w:pPr>
        <w:pStyle w:val="2"/>
        <w:keepNext w:val="0"/>
        <w:keepLines w:val="0"/>
        <w:pageBreakBefore w:val="0"/>
        <w:widowControl/>
        <w:kinsoku/>
        <w:wordWrap/>
        <w:overflowPunct/>
        <w:topLinePunct w:val="0"/>
        <w:autoSpaceDE w:val="0"/>
        <w:autoSpaceDN w:val="0"/>
        <w:bidi w:val="0"/>
        <w:adjustRightInd/>
        <w:snapToGrid/>
        <w:spacing w:line="576" w:lineRule="exact"/>
        <w:ind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八、</w:t>
      </w:r>
      <w:r>
        <w:rPr>
          <w:rFonts w:ascii="黑体" w:hAnsi="黑体" w:eastAsia="黑体" w:cs="黑体"/>
          <w:spacing w:val="7"/>
          <w:sz w:val="32"/>
          <w:szCs w:val="32"/>
          <w:highlight w:val="none"/>
        </w:rPr>
        <w:t>定期报告制度</w:t>
      </w:r>
    </w:p>
    <w:p w14:paraId="4D64CCBE">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4"/>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（一）每季度结束后15工作日内，</w:t>
      </w:r>
      <w:r>
        <w:rPr>
          <w:rFonts w:hint="default" w:ascii="仿宋_GB2312" w:hAnsi="仿宋_GB2312" w:eastAsia="仿宋_GB2312" w:cs="仿宋_GB2312"/>
          <w:snapToGrid/>
          <w:spacing w:val="0"/>
          <w:sz w:val="32"/>
          <w:szCs w:val="32"/>
          <w:highlight w:val="none"/>
          <w:lang w:val="en-US" w:eastAsia="zh-CN" w:bidi="ar"/>
        </w:rPr>
        <w:t>基金管理人</w:t>
      </w:r>
      <w:r>
        <w:rPr>
          <w:rFonts w:ascii="仿宋_GB2312" w:hAnsi="仿宋_GB2312" w:eastAsia="仿宋_GB2312" w:cs="仿宋_GB2312"/>
          <w:snapToGrid/>
          <w:spacing w:val="0"/>
          <w:sz w:val="32"/>
          <w:szCs w:val="32"/>
          <w:highlight w:val="none"/>
          <w:lang w:eastAsia="zh-CN" w:bidi="ar"/>
        </w:rPr>
        <w:t>要向</w:t>
      </w:r>
      <w:r>
        <w:rPr>
          <w:rFonts w:hint="default" w:ascii="仿宋_GB2312" w:hAnsi="仿宋_GB2312" w:eastAsia="仿宋_GB2312" w:cs="仿宋_GB2312"/>
          <w:snapToGrid/>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报送</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资金及投资运作等情况。会计年度结束后</w:t>
      </w:r>
      <w:r>
        <w:rPr>
          <w:rFonts w:hint="default" w:ascii="仿宋_GB2312" w:hAnsi="仿宋_GB2312" w:eastAsia="仿宋_GB2312" w:cs="仿宋_GB2312"/>
          <w:snapToGrid/>
          <w:spacing w:val="0"/>
          <w:sz w:val="32"/>
          <w:szCs w:val="32"/>
          <w:highlight w:val="none"/>
          <w:lang w:val="en-US" w:eastAsia="zh-CN" w:bidi="ar"/>
        </w:rPr>
        <w:t>4</w:t>
      </w:r>
      <w:r>
        <w:rPr>
          <w:rFonts w:ascii="仿宋_GB2312" w:hAnsi="仿宋_GB2312" w:eastAsia="仿宋_GB2312" w:cs="仿宋_GB2312"/>
          <w:snapToGrid/>
          <w:spacing w:val="0"/>
          <w:sz w:val="32"/>
          <w:szCs w:val="32"/>
          <w:highlight w:val="none"/>
          <w:lang w:eastAsia="zh-CN" w:bidi="ar"/>
        </w:rPr>
        <w:t>个月内，</w:t>
      </w:r>
      <w:r>
        <w:rPr>
          <w:rFonts w:hint="default" w:ascii="仿宋_GB2312" w:hAnsi="仿宋_GB2312" w:eastAsia="仿宋_GB2312" w:cs="仿宋_GB2312"/>
          <w:snapToGrid/>
          <w:spacing w:val="0"/>
          <w:sz w:val="32"/>
          <w:szCs w:val="32"/>
          <w:highlight w:val="none"/>
          <w:lang w:val="en-US" w:eastAsia="zh-CN" w:bidi="ar"/>
        </w:rPr>
        <w:t>基金管理人</w:t>
      </w:r>
      <w:r>
        <w:rPr>
          <w:rFonts w:ascii="仿宋_GB2312" w:hAnsi="仿宋_GB2312" w:eastAsia="仿宋_GB2312" w:cs="仿宋_GB2312"/>
          <w:snapToGrid/>
          <w:spacing w:val="0"/>
          <w:sz w:val="32"/>
          <w:szCs w:val="32"/>
          <w:highlight w:val="none"/>
          <w:lang w:eastAsia="zh-CN" w:bidi="ar"/>
        </w:rPr>
        <w:t>要向</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提交</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年度工作报告和年度财务审计报告。</w:t>
      </w:r>
    </w:p>
    <w:p w14:paraId="7C90ED5B">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9"/>
        <w:jc w:val="both"/>
        <w:textAlignment w:val="baseline"/>
        <w:rPr>
          <w:rFonts w:ascii="仿宋_GB2312" w:hAnsi="仿宋_GB2312" w:eastAsia="仿宋_GB2312" w:cs="仿宋_GB2312"/>
          <w:snapToGrid/>
          <w:sz w:val="32"/>
          <w:szCs w:val="32"/>
          <w:highlight w:val="none"/>
          <w:lang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）每季度结束后15工作日内，</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应向</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办公室报送</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基金投资运作、投资项目进展、股本变化和资金使用等情况。会计年度结束后4个月内，</w:t>
      </w:r>
      <w:r>
        <w:rPr>
          <w:rFonts w:hint="default" w:ascii="仿宋_GB2312" w:hAnsi="仿宋_GB2312" w:eastAsia="仿宋_GB2312" w:cs="仿宋_GB2312"/>
          <w:snapToGrid/>
          <w:spacing w:val="0"/>
          <w:sz w:val="32"/>
          <w:szCs w:val="32"/>
          <w:highlight w:val="none"/>
          <w:lang w:val="en-US" w:eastAsia="zh-CN" w:bidi="ar"/>
        </w:rPr>
        <w:t>出资法人应</w:t>
      </w:r>
      <w:r>
        <w:rPr>
          <w:rFonts w:ascii="仿宋_GB2312" w:hAnsi="仿宋_GB2312" w:eastAsia="仿宋_GB2312" w:cs="仿宋_GB2312"/>
          <w:snapToGrid/>
          <w:spacing w:val="0"/>
          <w:sz w:val="32"/>
          <w:szCs w:val="32"/>
          <w:highlight w:val="none"/>
          <w:lang w:eastAsia="zh-CN" w:bidi="ar"/>
        </w:rPr>
        <w:t>向</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办公室提交</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基金年度工作报告和经注册会计师事务所审计的年度会计报告。</w:t>
      </w:r>
    </w:p>
    <w:p w14:paraId="7DADEBF3">
      <w:pPr>
        <w:pStyle w:val="2"/>
        <w:keepNext w:val="0"/>
        <w:keepLines w:val="0"/>
        <w:pageBreakBefore w:val="0"/>
        <w:widowControl/>
        <w:kinsoku/>
        <w:wordWrap/>
        <w:overflowPunct/>
        <w:topLinePunct w:val="0"/>
        <w:autoSpaceDE w:val="0"/>
        <w:autoSpaceDN w:val="0"/>
        <w:bidi w:val="0"/>
        <w:adjustRightInd/>
        <w:snapToGrid/>
        <w:spacing w:line="576" w:lineRule="exact"/>
        <w:ind w:left="0" w:leftChars="0" w:right="0" w:firstLine="649"/>
        <w:jc w:val="both"/>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三</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引导</w:t>
      </w:r>
      <w:r>
        <w:rPr>
          <w:rFonts w:ascii="仿宋_GB2312" w:hAnsi="仿宋_GB2312" w:eastAsia="仿宋_GB2312" w:cs="仿宋_GB2312"/>
          <w:snapToGrid/>
          <w:spacing w:val="0"/>
          <w:sz w:val="32"/>
          <w:szCs w:val="32"/>
          <w:highlight w:val="none"/>
          <w:lang w:eastAsia="zh-CN" w:bidi="ar"/>
        </w:rPr>
        <w:t>基金运作和投资管理中如发生重大问题，</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应在</w:t>
      </w:r>
      <w:r>
        <w:rPr>
          <w:rFonts w:hint="default" w:ascii="仿宋_GB2312" w:hAnsi="仿宋_GB2312" w:eastAsia="仿宋_GB2312" w:cs="仿宋_GB2312"/>
          <w:snapToGrid/>
          <w:color w:val="000000"/>
          <w:spacing w:val="0"/>
          <w:sz w:val="32"/>
          <w:szCs w:val="32"/>
          <w:highlight w:val="none"/>
          <w:lang w:val="en-US" w:eastAsia="zh-CN" w:bidi="ar"/>
        </w:rPr>
        <w:t>10日</w:t>
      </w:r>
      <w:r>
        <w:rPr>
          <w:rFonts w:ascii="仿宋_GB2312" w:hAnsi="仿宋_GB2312" w:eastAsia="仿宋_GB2312" w:cs="仿宋_GB2312"/>
          <w:snapToGrid/>
          <w:spacing w:val="0"/>
          <w:sz w:val="32"/>
          <w:szCs w:val="32"/>
          <w:highlight w:val="none"/>
          <w:lang w:eastAsia="zh-CN" w:bidi="ar"/>
        </w:rPr>
        <w:t>内向</w:t>
      </w:r>
      <w:r>
        <w:rPr>
          <w:rFonts w:hint="default" w:ascii="仿宋_GB2312" w:hAnsi="仿宋_GB2312" w:eastAsia="仿宋_GB2312" w:cs="仿宋_GB2312"/>
          <w:snapToGrid/>
          <w:spacing w:val="0"/>
          <w:sz w:val="32"/>
          <w:szCs w:val="32"/>
          <w:highlight w:val="none"/>
          <w:lang w:eastAsia="zh-CN" w:bidi="ar"/>
        </w:rPr>
        <w:t>联席</w:t>
      </w:r>
      <w:r>
        <w:rPr>
          <w:rFonts w:hint="eastAsia" w:ascii="仿宋_GB2312" w:hAnsi="仿宋_GB2312" w:eastAsia="仿宋_GB2312" w:cs="仿宋_GB2312"/>
          <w:snapToGrid/>
          <w:spacing w:val="0"/>
          <w:sz w:val="32"/>
          <w:szCs w:val="32"/>
          <w:highlight w:val="none"/>
          <w:lang w:val="en-US" w:eastAsia="zh-CN" w:bidi="ar"/>
        </w:rPr>
        <w:t>会议</w:t>
      </w:r>
      <w:r>
        <w:rPr>
          <w:rFonts w:ascii="仿宋_GB2312" w:hAnsi="仿宋_GB2312" w:eastAsia="仿宋_GB2312" w:cs="仿宋_GB2312"/>
          <w:snapToGrid/>
          <w:spacing w:val="0"/>
          <w:sz w:val="32"/>
          <w:szCs w:val="32"/>
          <w:highlight w:val="none"/>
          <w:lang w:eastAsia="zh-CN" w:bidi="ar"/>
        </w:rPr>
        <w:t>办公室报告，</w:t>
      </w:r>
      <w:r>
        <w:rPr>
          <w:rFonts w:hint="default" w:ascii="仿宋_GB2312" w:hAnsi="仿宋_GB2312" w:eastAsia="仿宋_GB2312" w:cs="仿宋_GB2312"/>
          <w:snapToGrid/>
          <w:color w:val="000000"/>
          <w:spacing w:val="0"/>
          <w:sz w:val="32"/>
          <w:szCs w:val="32"/>
          <w:highlight w:val="none"/>
          <w:lang w:val="en-US" w:eastAsia="zh-CN" w:bidi="ar"/>
        </w:rPr>
        <w:t>并在20日内提出对问题的处置方案。</w:t>
      </w:r>
    </w:p>
    <w:p w14:paraId="1A61799D">
      <w:pPr>
        <w:pStyle w:val="2"/>
        <w:keepNext w:val="0"/>
        <w:keepLines w:val="0"/>
        <w:pageBreakBefore w:val="0"/>
        <w:widowControl/>
        <w:kinsoku/>
        <w:wordWrap/>
        <w:overflowPunct/>
        <w:topLinePunct w:val="0"/>
        <w:autoSpaceDE w:val="0"/>
        <w:autoSpaceDN w:val="0"/>
        <w:bidi w:val="0"/>
        <w:adjustRightInd/>
        <w:snapToGrid/>
        <w:spacing w:line="576" w:lineRule="exact"/>
        <w:ind w:right="0" w:firstLine="668" w:firstLineChars="200"/>
        <w:jc w:val="both"/>
        <w:textAlignment w:val="baseline"/>
        <w:rPr>
          <w:rFonts w:ascii="黑体" w:hAnsi="黑体" w:eastAsia="黑体" w:cs="黑体"/>
          <w:spacing w:val="7"/>
          <w:sz w:val="32"/>
          <w:szCs w:val="32"/>
          <w:highlight w:val="none"/>
        </w:rPr>
      </w:pPr>
      <w:r>
        <w:rPr>
          <w:rFonts w:hint="eastAsia" w:ascii="黑体" w:hAnsi="黑体" w:eastAsia="黑体" w:cs="黑体"/>
          <w:spacing w:val="7"/>
          <w:sz w:val="32"/>
          <w:szCs w:val="32"/>
          <w:highlight w:val="none"/>
          <w:lang w:val="en-US" w:eastAsia="zh-CN"/>
        </w:rPr>
        <w:t>九、</w:t>
      </w:r>
      <w:r>
        <w:rPr>
          <w:rFonts w:ascii="黑体" w:hAnsi="黑体" w:eastAsia="黑体" w:cs="黑体"/>
          <w:spacing w:val="7"/>
          <w:sz w:val="32"/>
          <w:szCs w:val="32"/>
          <w:highlight w:val="none"/>
        </w:rPr>
        <w:t>附  则</w:t>
      </w:r>
    </w:p>
    <w:p w14:paraId="312C4E89">
      <w:pPr>
        <w:pStyle w:val="2"/>
        <w:keepNext w:val="0"/>
        <w:keepLines w:val="0"/>
        <w:pageBreakBefore w:val="0"/>
        <w:widowControl/>
        <w:kinsoku/>
        <w:wordWrap/>
        <w:overflowPunct/>
        <w:topLinePunct w:val="0"/>
        <w:autoSpaceDE w:val="0"/>
        <w:autoSpaceDN w:val="0"/>
        <w:bidi w:val="0"/>
        <w:adjustRightInd/>
        <w:snapToGrid/>
        <w:spacing w:line="576" w:lineRule="exact"/>
        <w:ind w:right="0" w:firstLine="640" w:firstLineChars="200"/>
        <w:jc w:val="both"/>
        <w:textAlignment w:val="baseline"/>
        <w:rPr>
          <w:rFonts w:hint="default" w:ascii="仿宋_GB2312" w:hAnsi="仿宋_GB2312" w:eastAsia="仿宋_GB2312" w:cs="仿宋_GB2312"/>
          <w:snapToGrid/>
          <w:color w:val="000000"/>
          <w:spacing w:val="0"/>
          <w:sz w:val="32"/>
          <w:szCs w:val="32"/>
          <w:highlight w:val="none"/>
          <w:lang w:val="en-US" w:eastAsia="zh-CN" w:bidi="ar"/>
        </w:rPr>
      </w:pPr>
      <w:r>
        <w:rPr>
          <w:rFonts w:ascii="仿宋_GB2312" w:hAnsi="仿宋_GB2312" w:eastAsia="仿宋_GB2312" w:cs="仿宋_GB2312"/>
          <w:snapToGrid/>
          <w:spacing w:val="0"/>
          <w:sz w:val="32"/>
          <w:szCs w:val="32"/>
          <w:highlight w:val="none"/>
          <w:lang w:eastAsia="zh-CN" w:bidi="ar"/>
        </w:rPr>
        <w:t>（一）以上规范</w:t>
      </w:r>
      <w:r>
        <w:rPr>
          <w:rFonts w:hint="default" w:ascii="仿宋_GB2312" w:hAnsi="仿宋_GB2312" w:eastAsia="仿宋_GB2312" w:cs="仿宋_GB2312"/>
          <w:snapToGrid/>
          <w:spacing w:val="0"/>
          <w:sz w:val="32"/>
          <w:szCs w:val="32"/>
          <w:highlight w:val="none"/>
          <w:lang w:val="en-US" w:eastAsia="zh-CN" w:bidi="ar"/>
        </w:rPr>
        <w:t>出资法人</w:t>
      </w:r>
      <w:r>
        <w:rPr>
          <w:rFonts w:ascii="仿宋_GB2312" w:hAnsi="仿宋_GB2312" w:eastAsia="仿宋_GB2312" w:cs="仿宋_GB2312"/>
          <w:snapToGrid/>
          <w:spacing w:val="0"/>
          <w:sz w:val="32"/>
          <w:szCs w:val="32"/>
          <w:highlight w:val="none"/>
          <w:lang w:eastAsia="zh-CN" w:bidi="ar"/>
        </w:rPr>
        <w:t>、</w:t>
      </w:r>
      <w:r>
        <w:rPr>
          <w:rFonts w:hint="default" w:ascii="仿宋_GB2312" w:hAnsi="仿宋_GB2312" w:eastAsia="仿宋_GB2312" w:cs="仿宋_GB2312"/>
          <w:snapToGrid/>
          <w:spacing w:val="0"/>
          <w:sz w:val="32"/>
          <w:szCs w:val="32"/>
          <w:highlight w:val="none"/>
          <w:lang w:val="en-US" w:eastAsia="zh-CN" w:bidi="ar"/>
        </w:rPr>
        <w:t>引导</w:t>
      </w:r>
      <w:r>
        <w:rPr>
          <w:rFonts w:hint="default" w:ascii="仿宋_GB2312" w:hAnsi="仿宋_GB2312" w:eastAsia="仿宋_GB2312" w:cs="仿宋_GB2312"/>
          <w:snapToGrid/>
          <w:spacing w:val="0"/>
          <w:sz w:val="32"/>
          <w:szCs w:val="32"/>
          <w:highlight w:val="none"/>
          <w:lang w:eastAsia="zh-CN" w:bidi="ar"/>
        </w:rPr>
        <w:t>基金</w:t>
      </w:r>
      <w:r>
        <w:rPr>
          <w:rFonts w:ascii="仿宋_GB2312" w:hAnsi="仿宋_GB2312" w:eastAsia="仿宋_GB2312" w:cs="仿宋_GB2312"/>
          <w:snapToGrid/>
          <w:spacing w:val="0"/>
          <w:sz w:val="32"/>
          <w:szCs w:val="32"/>
          <w:highlight w:val="none"/>
          <w:lang w:eastAsia="zh-CN" w:bidi="ar"/>
        </w:rPr>
        <w:t>及基金</w:t>
      </w:r>
      <w:r>
        <w:rPr>
          <w:rFonts w:hint="default" w:ascii="仿宋_GB2312" w:hAnsi="仿宋_GB2312" w:eastAsia="仿宋_GB2312" w:cs="仿宋_GB2312"/>
          <w:snapToGrid/>
          <w:spacing w:val="0"/>
          <w:sz w:val="32"/>
          <w:szCs w:val="32"/>
          <w:highlight w:val="none"/>
          <w:lang w:val="en-US" w:eastAsia="zh-CN" w:bidi="ar"/>
        </w:rPr>
        <w:t>管理人</w:t>
      </w:r>
      <w:r>
        <w:rPr>
          <w:rFonts w:ascii="仿宋_GB2312" w:hAnsi="仿宋_GB2312" w:eastAsia="仿宋_GB2312" w:cs="仿宋_GB2312"/>
          <w:snapToGrid/>
          <w:spacing w:val="0"/>
          <w:sz w:val="32"/>
          <w:szCs w:val="32"/>
          <w:highlight w:val="none"/>
          <w:lang w:eastAsia="zh-CN" w:bidi="ar"/>
        </w:rPr>
        <w:t>的限制性规定，应通过基金合伙协议或公司章程予以约定实施。</w:t>
      </w:r>
      <w:r>
        <w:rPr>
          <w:rFonts w:hint="default" w:ascii="仿宋_GB2312" w:hAnsi="仿宋_GB2312" w:eastAsia="仿宋_GB2312" w:cs="仿宋_GB2312"/>
          <w:snapToGrid/>
          <w:color w:val="000000"/>
          <w:spacing w:val="0"/>
          <w:sz w:val="32"/>
          <w:szCs w:val="32"/>
          <w:highlight w:val="none"/>
          <w:lang w:val="en-US" w:eastAsia="zh-CN" w:bidi="ar"/>
        </w:rPr>
        <w:t>另有专项基金管理办法规定的，从其规定。</w:t>
      </w:r>
    </w:p>
    <w:p w14:paraId="3EAF857B">
      <w:pPr>
        <w:pStyle w:val="2"/>
        <w:keepNext w:val="0"/>
        <w:keepLines w:val="0"/>
        <w:pageBreakBefore w:val="0"/>
        <w:widowControl/>
        <w:kinsoku/>
        <w:wordWrap/>
        <w:overflowPunct/>
        <w:topLinePunct w:val="0"/>
        <w:autoSpaceDE w:val="0"/>
        <w:autoSpaceDN w:val="0"/>
        <w:bidi w:val="0"/>
        <w:adjustRightInd/>
        <w:snapToGrid/>
        <w:spacing w:line="576" w:lineRule="exact"/>
        <w:ind w:right="0" w:firstLine="640" w:firstLineChars="200"/>
        <w:textAlignment w:val="baseline"/>
        <w:rPr>
          <w:spacing w:val="-2"/>
          <w:sz w:val="32"/>
          <w:szCs w:val="32"/>
          <w:highlight w:val="none"/>
        </w:rPr>
      </w:pPr>
      <w:r>
        <w:rPr>
          <w:rFonts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二</w:t>
      </w:r>
      <w:r>
        <w:rPr>
          <w:rFonts w:ascii="仿宋_GB2312" w:hAnsi="仿宋_GB2312" w:eastAsia="仿宋_GB2312" w:cs="仿宋_GB2312"/>
          <w:snapToGrid/>
          <w:spacing w:val="0"/>
          <w:sz w:val="32"/>
          <w:szCs w:val="32"/>
          <w:highlight w:val="none"/>
          <w:lang w:eastAsia="zh-CN" w:bidi="ar"/>
        </w:rPr>
        <w:t>）本</w:t>
      </w:r>
      <w:r>
        <w:rPr>
          <w:rFonts w:hint="default" w:ascii="仿宋_GB2312" w:hAnsi="仿宋_GB2312" w:eastAsia="仿宋_GB2312" w:cs="仿宋_GB2312"/>
          <w:snapToGrid/>
          <w:spacing w:val="0"/>
          <w:sz w:val="32"/>
          <w:szCs w:val="32"/>
          <w:highlight w:val="none"/>
          <w:lang w:val="en-US" w:eastAsia="zh-CN" w:bidi="ar"/>
        </w:rPr>
        <w:t>办法</w:t>
      </w:r>
      <w:r>
        <w:rPr>
          <w:rFonts w:ascii="仿宋_GB2312" w:hAnsi="仿宋_GB2312" w:eastAsia="仿宋_GB2312" w:cs="仿宋_GB2312"/>
          <w:snapToGrid/>
          <w:spacing w:val="0"/>
          <w:sz w:val="32"/>
          <w:szCs w:val="32"/>
          <w:highlight w:val="none"/>
          <w:lang w:eastAsia="zh-CN" w:bidi="ar"/>
        </w:rPr>
        <w:t>自20</w:t>
      </w:r>
      <w:r>
        <w:rPr>
          <w:rFonts w:hint="default" w:ascii="仿宋_GB2312" w:hAnsi="仿宋_GB2312" w:eastAsia="仿宋_GB2312" w:cs="仿宋_GB2312"/>
          <w:snapToGrid/>
          <w:spacing w:val="0"/>
          <w:sz w:val="32"/>
          <w:szCs w:val="32"/>
          <w:highlight w:val="none"/>
          <w:lang w:val="en-US" w:eastAsia="zh-CN" w:bidi="ar"/>
        </w:rPr>
        <w:t>2</w:t>
      </w:r>
      <w:r>
        <w:rPr>
          <w:rFonts w:hint="eastAsia" w:ascii="仿宋_GB2312" w:hAnsi="仿宋_GB2312" w:eastAsia="仿宋_GB2312" w:cs="仿宋_GB2312"/>
          <w:snapToGrid/>
          <w:spacing w:val="0"/>
          <w:sz w:val="32"/>
          <w:szCs w:val="32"/>
          <w:highlight w:val="none"/>
          <w:lang w:val="en-US" w:eastAsia="zh-CN" w:bidi="ar"/>
        </w:rPr>
        <w:t>*</w:t>
      </w:r>
      <w:r>
        <w:rPr>
          <w:rFonts w:ascii="仿宋_GB2312" w:hAnsi="仿宋_GB2312" w:eastAsia="仿宋_GB2312" w:cs="仿宋_GB2312"/>
          <w:snapToGrid/>
          <w:spacing w:val="0"/>
          <w:sz w:val="32"/>
          <w:szCs w:val="32"/>
          <w:highlight w:val="none"/>
          <w:lang w:eastAsia="zh-CN" w:bidi="ar"/>
        </w:rPr>
        <w:t>年</w:t>
      </w:r>
      <w:r>
        <w:rPr>
          <w:rFonts w:hint="eastAsia" w:ascii="仿宋_GB2312" w:hAnsi="仿宋_GB2312" w:eastAsia="仿宋_GB2312" w:cs="仿宋_GB2312"/>
          <w:snapToGrid/>
          <w:spacing w:val="0"/>
          <w:sz w:val="32"/>
          <w:szCs w:val="32"/>
          <w:highlight w:val="none"/>
          <w:lang w:val="en-US" w:eastAsia="zh-CN" w:bidi="ar"/>
        </w:rPr>
        <w:t>**</w:t>
      </w:r>
      <w:r>
        <w:rPr>
          <w:rFonts w:ascii="仿宋_GB2312" w:hAnsi="仿宋_GB2312" w:eastAsia="仿宋_GB2312" w:cs="仿宋_GB2312"/>
          <w:snapToGrid/>
          <w:spacing w:val="0"/>
          <w:sz w:val="32"/>
          <w:szCs w:val="32"/>
          <w:highlight w:val="none"/>
          <w:lang w:eastAsia="zh-CN" w:bidi="ar"/>
        </w:rPr>
        <w:t>月</w:t>
      </w:r>
      <w:r>
        <w:rPr>
          <w:rFonts w:hint="eastAsia" w:ascii="仿宋_GB2312" w:hAnsi="仿宋_GB2312" w:eastAsia="仿宋_GB2312" w:cs="仿宋_GB2312"/>
          <w:snapToGrid/>
          <w:spacing w:val="0"/>
          <w:sz w:val="32"/>
          <w:szCs w:val="32"/>
          <w:highlight w:val="none"/>
          <w:lang w:val="en-US" w:eastAsia="zh-CN" w:bidi="ar"/>
        </w:rPr>
        <w:t>**</w:t>
      </w:r>
      <w:r>
        <w:rPr>
          <w:rFonts w:ascii="仿宋_GB2312" w:hAnsi="仿宋_GB2312" w:eastAsia="仿宋_GB2312" w:cs="仿宋_GB2312"/>
          <w:snapToGrid/>
          <w:spacing w:val="0"/>
          <w:sz w:val="32"/>
          <w:szCs w:val="32"/>
          <w:highlight w:val="none"/>
          <w:lang w:eastAsia="zh-CN" w:bidi="ar"/>
        </w:rPr>
        <w:t>日起施行</w:t>
      </w:r>
      <w:r>
        <w:rPr>
          <w:rFonts w:hint="default" w:ascii="仿宋_GB2312" w:hAnsi="仿宋_GB2312" w:eastAsia="仿宋_GB2312" w:cs="仿宋_GB2312"/>
          <w:snapToGrid/>
          <w:spacing w:val="0"/>
          <w:sz w:val="32"/>
          <w:szCs w:val="32"/>
          <w:highlight w:val="none"/>
          <w:lang w:eastAsia="zh-CN" w:bidi="ar"/>
        </w:rPr>
        <w:t>，《温州市瓯海区人民政府关于印发温州市瓯海区政府</w:t>
      </w:r>
      <w:r>
        <w:rPr>
          <w:rFonts w:hint="default" w:ascii="仿宋_GB2312" w:hAnsi="仿宋_GB2312" w:eastAsia="仿宋_GB2312" w:cs="仿宋_GB2312"/>
          <w:snapToGrid/>
          <w:spacing w:val="0"/>
          <w:sz w:val="32"/>
          <w:szCs w:val="32"/>
          <w:highlight w:val="none"/>
          <w:lang w:val="en-US" w:eastAsia="zh-CN" w:bidi="ar"/>
        </w:rPr>
        <w:t>产业引导</w:t>
      </w:r>
      <w:r>
        <w:rPr>
          <w:rFonts w:hint="default" w:ascii="仿宋_GB2312" w:hAnsi="仿宋_GB2312" w:eastAsia="仿宋_GB2312" w:cs="仿宋_GB2312"/>
          <w:snapToGrid/>
          <w:spacing w:val="0"/>
          <w:sz w:val="32"/>
          <w:szCs w:val="32"/>
          <w:highlight w:val="none"/>
          <w:lang w:eastAsia="zh-CN" w:bidi="ar"/>
        </w:rPr>
        <w:t>基金管理办法的通知》（温瓯政发〔</w:t>
      </w:r>
      <w:r>
        <w:rPr>
          <w:rFonts w:hint="eastAsia" w:ascii="仿宋_GB2312" w:hAnsi="仿宋_GB2312" w:eastAsia="仿宋_GB2312" w:cs="仿宋_GB2312"/>
          <w:snapToGrid/>
          <w:spacing w:val="0"/>
          <w:sz w:val="32"/>
          <w:szCs w:val="32"/>
          <w:highlight w:val="none"/>
          <w:lang w:val="en-US" w:eastAsia="zh-CN" w:bidi="ar"/>
        </w:rPr>
        <w:t>2024</w:t>
      </w:r>
      <w:r>
        <w:rPr>
          <w:rFonts w:hint="default" w:ascii="仿宋_GB2312" w:hAnsi="仿宋_GB2312" w:eastAsia="仿宋_GB2312" w:cs="仿宋_GB2312"/>
          <w:snapToGrid/>
          <w:spacing w:val="0"/>
          <w:sz w:val="32"/>
          <w:szCs w:val="32"/>
          <w:highlight w:val="none"/>
          <w:lang w:eastAsia="zh-CN" w:bidi="ar"/>
        </w:rPr>
        <w:t>〕</w:t>
      </w:r>
      <w:r>
        <w:rPr>
          <w:rFonts w:hint="eastAsia" w:ascii="仿宋_GB2312" w:hAnsi="仿宋_GB2312" w:eastAsia="仿宋_GB2312" w:cs="仿宋_GB2312"/>
          <w:snapToGrid/>
          <w:spacing w:val="0"/>
          <w:sz w:val="32"/>
          <w:szCs w:val="32"/>
          <w:highlight w:val="none"/>
          <w:lang w:val="en-US" w:eastAsia="zh-CN" w:bidi="ar"/>
        </w:rPr>
        <w:t>26</w:t>
      </w:r>
      <w:r>
        <w:rPr>
          <w:rFonts w:hint="default" w:ascii="仿宋_GB2312" w:hAnsi="仿宋_GB2312" w:eastAsia="仿宋_GB2312" w:cs="仿宋_GB2312"/>
          <w:snapToGrid/>
          <w:spacing w:val="0"/>
          <w:sz w:val="32"/>
          <w:szCs w:val="32"/>
          <w:highlight w:val="none"/>
          <w:lang w:eastAsia="zh-CN" w:bidi="ar"/>
        </w:rPr>
        <w:t>号）同时</w:t>
      </w:r>
      <w:r>
        <w:rPr>
          <w:rFonts w:hint="default" w:ascii="仿宋_GB2312" w:hAnsi="仿宋_GB2312" w:eastAsia="仿宋_GB2312" w:cs="仿宋_GB2312"/>
          <w:snapToGrid/>
          <w:spacing w:val="0"/>
          <w:sz w:val="32"/>
          <w:szCs w:val="32"/>
          <w:highlight w:val="none"/>
          <w:lang w:val="en-US" w:eastAsia="zh-CN" w:bidi="ar"/>
        </w:rPr>
        <w:t>废止</w:t>
      </w:r>
      <w:r>
        <w:rPr>
          <w:rFonts w:ascii="仿宋_GB2312" w:hAnsi="仿宋_GB2312" w:eastAsia="仿宋_GB2312" w:cs="仿宋_GB2312"/>
          <w:snapToGrid/>
          <w:spacing w:val="0"/>
          <w:sz w:val="32"/>
          <w:szCs w:val="32"/>
          <w:highlight w:val="none"/>
          <w:lang w:eastAsia="zh-CN" w:bidi="ar"/>
        </w:rPr>
        <w:t>。</w:t>
      </w:r>
    </w:p>
    <w:p w14:paraId="059CAE35"/>
    <w:p w14:paraId="5F63F7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AFC626-FC2A-4A5A-9476-6E0C0CD2153C}"/>
  </w:font>
  <w:font w:name="黑体">
    <w:panose1 w:val="02010609060101010101"/>
    <w:charset w:val="86"/>
    <w:family w:val="auto"/>
    <w:pitch w:val="default"/>
    <w:sig w:usb0="800002BF" w:usb1="38CF7CFA" w:usb2="00000016" w:usb3="00000000" w:csb0="00040001" w:csb1="00000000"/>
    <w:embedRegular r:id="rId2" w:fontKey="{508AB083-A8D7-4309-9C5F-3F8C5B73F1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76F5A3-BAFC-47C6-BF2E-D28BCD97905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E6301654-9821-4D68-A56D-7CE021A5A1B3}"/>
  </w:font>
  <w:font w:name="方正小标宋简体">
    <w:panose1 w:val="02000000000000000000"/>
    <w:charset w:val="86"/>
    <w:family w:val="auto"/>
    <w:pitch w:val="default"/>
    <w:sig w:usb0="00000001" w:usb1="08000000" w:usb2="00000000" w:usb3="00000000" w:csb0="00040000" w:csb1="00000000"/>
    <w:embedRegular r:id="rId5" w:fontKey="{C87B6D27-B87F-46EC-9741-1FF24A0FA3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C5CE0"/>
    <w:rsid w:val="6EEC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First Indent"/>
    <w:basedOn w:val="2"/>
    <w:next w:val="4"/>
    <w:qFormat/>
    <w:uiPriority w:val="0"/>
    <w:pPr>
      <w:spacing w:after="120"/>
      <w:ind w:firstLine="420" w:firstLineChars="100"/>
    </w:pPr>
    <w:rPr>
      <w:rFonts w:eastAsia="仿宋_GB2312"/>
      <w:snapToGrid w:val="0"/>
    </w:rPr>
  </w:style>
  <w:style w:type="paragraph" w:styleId="4">
    <w:name w:val="toc 6"/>
    <w:basedOn w:val="1"/>
    <w:next w:val="1"/>
    <w:qFormat/>
    <w:uiPriority w:val="0"/>
    <w:pPr>
      <w:ind w:left="21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2025-08-04T07:42:00Z</dcterms:created>
  <dc:creator>Miranda</dc:creator>
  <cp:lastModifiedBy>Miranda</cp:lastModifiedBy>
  <dcterms:modified xsi:type="dcterms:W3CDTF">2025-08-04T07:43:03Z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EED3D53A79FD47F69957F668E06CF103_11</vt:lpwstr>
  </property>
  <property fmtid="{D5CDD505-2E9C-101B-9397-08002B2CF9AE}" pid="4" name="KSOTemplateDocerSaveRecord">
    <vt:lpwstr>eyJoZGlkIjoiZjExMzlkZjQ3Yjg3ZmQ1NWRkM2MwZTQ4NmZmMjBmMDQiLCJ1c2VySWQiOiIxMTI3NjQxMTY2In0=</vt:lpwstr>
  </property>
</Properties>
</file>