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before="624" w:beforeLines="200" w:after="312" w:afterLines="100" w:line="240" w:lineRule="auto"/>
        <w:ind w:firstLine="0" w:firstLineChars="0"/>
        <w:jc w:val="center"/>
        <w:textAlignment w:val="auto"/>
        <w:rPr>
          <w:rFonts w:hint="eastAsia" w:ascii="黑体" w:hAnsi="黑体" w:eastAsia="黑体" w:cs="黑体"/>
          <w:b/>
          <w:bCs/>
          <w:snapToGrid/>
          <w:sz w:val="44"/>
          <w:szCs w:val="44"/>
          <w:lang w:eastAsia="zh-CN"/>
        </w:rPr>
      </w:pPr>
      <w:r>
        <w:rPr>
          <w:rFonts w:hint="eastAsia" w:ascii="黑体" w:hAnsi="黑体" w:eastAsia="黑体" w:cs="黑体"/>
          <w:b/>
          <w:bCs/>
          <w:snapToGrid/>
          <w:sz w:val="44"/>
          <w:szCs w:val="44"/>
          <w:lang w:eastAsia="zh-CN"/>
        </w:rPr>
        <w:t>浙江省岱山县高亭渔港港章</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bCs/>
          <w:snapToGrid/>
          <w:sz w:val="44"/>
          <w:szCs w:val="44"/>
          <w:lang w:eastAsia="zh-CN"/>
        </w:rPr>
      </w:pP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征求意见稿</w:t>
      </w:r>
      <w:r>
        <w:rPr>
          <w:rFonts w:hint="eastAsia" w:ascii="Times New Roman" w:hAnsi="Times New Roman" w:eastAsia="仿宋_GB2312" w:cs="Times New Roman"/>
          <w:sz w:val="32"/>
          <w:szCs w:val="32"/>
          <w:lang w:val="en-US" w:eastAsia="zh-CN"/>
        </w:rPr>
        <w:t>）</w:t>
      </w:r>
    </w:p>
    <w:p>
      <w:pPr>
        <w:kinsoku/>
        <w:autoSpaceDE/>
        <w:autoSpaceDN/>
        <w:adjustRightInd/>
        <w:snapToGrid/>
        <w:spacing w:before="312" w:beforeLines="100" w:after="312" w:afterLines="100" w:line="240" w:lineRule="auto"/>
        <w:ind w:firstLine="0" w:firstLineChars="0"/>
        <w:jc w:val="center"/>
        <w:textAlignment w:val="auto"/>
        <w:outlineLvl w:val="0"/>
        <w:rPr>
          <w:rFonts w:hint="eastAsia" w:ascii="黑体" w:hAnsi="黑体" w:eastAsia="黑体" w:cs="Times New Roman"/>
          <w:b/>
          <w:bCs/>
          <w:snapToGrid/>
          <w:sz w:val="28"/>
          <w:szCs w:val="28"/>
          <w:lang w:eastAsia="zh-CN"/>
        </w:rPr>
      </w:pPr>
      <w:r>
        <w:rPr>
          <w:rFonts w:hint="eastAsia" w:ascii="黑体" w:hAnsi="黑体" w:eastAsia="黑体" w:cs="Times New Roman"/>
          <w:b/>
          <w:bCs/>
          <w:snapToGrid/>
          <w:sz w:val="28"/>
          <w:szCs w:val="28"/>
          <w:lang w:eastAsia="zh-CN"/>
        </w:rPr>
        <w:t>第一章  总 则</w:t>
      </w:r>
    </w:p>
    <w:p>
      <w:pPr>
        <w:widowControl w:val="0"/>
        <w:kinsoku/>
        <w:spacing w:line="360" w:lineRule="auto"/>
        <w:ind w:firstLine="562" w:firstLineChars="200"/>
        <w:outlineLvl w:val="1"/>
        <w:rPr>
          <w:rFonts w:hint="eastAsia" w:ascii="仿宋_GB2312" w:hAnsi="仿宋_GB2312" w:eastAsia="仿宋_GB2312" w:cs="仿宋_GB2312"/>
          <w:sz w:val="28"/>
          <w:szCs w:val="28"/>
          <w:lang w:eastAsia="zh-CN"/>
        </w:rPr>
      </w:pPr>
      <w:r>
        <w:rPr>
          <w:rFonts w:hint="eastAsia" w:ascii="仿宋_GB2312" w:eastAsia="仿宋_GB2312"/>
          <w:b/>
          <w:bCs/>
          <w:sz w:val="28"/>
          <w:szCs w:val="28"/>
        </w:rPr>
        <w:t>第一条</w:t>
      </w:r>
      <w:r>
        <w:rPr>
          <w:rFonts w:hint="eastAsia" w:ascii="仿宋_GB2312" w:eastAsia="仿宋_GB2312"/>
          <w:b/>
          <w:bCs/>
          <w:sz w:val="28"/>
          <w:szCs w:val="28"/>
          <w:lang w:val="en-US" w:eastAsia="zh-CN"/>
        </w:rPr>
        <w:t xml:space="preserve">  </w:t>
      </w:r>
      <w:r>
        <w:rPr>
          <w:rFonts w:hint="eastAsia" w:ascii="仿宋_GB2312" w:hAnsi="仿宋_GB2312" w:eastAsia="仿宋_GB2312" w:cs="仿宋_GB2312"/>
          <w:sz w:val="28"/>
          <w:szCs w:val="28"/>
          <w:lang w:eastAsia="zh-CN"/>
        </w:rPr>
        <w:t>目的与依据</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为了加强高亭渔港（以下称本渔港）的管理，维护渔港正常秩序，保障渔港设施、渔业船舶及渔民生命财产安全，防止渔港水域环境污染，推进渔港经济发展，依据《中华人民共和国渔业法》、《中华人民共和国港口法》、《中华人民共和国海上交通安全法》、《中华人民共和国渔港水域交通安全管理条例》、《中华人民共和国海洋环境保护法》、《防治船舶污染海洋环境管理条例》、《浙江省渔港渔业船舶管理条例》等有关法律、行政法规、部门规章，结合当地实际，特制定本港章。</w:t>
      </w:r>
    </w:p>
    <w:p>
      <w:pPr>
        <w:widowControl w:val="0"/>
        <w:kinsoku/>
        <w:spacing w:line="360" w:lineRule="auto"/>
        <w:ind w:firstLine="562" w:firstLineChars="200"/>
        <w:outlineLvl w:val="1"/>
        <w:rPr>
          <w:b/>
          <w:bCs/>
          <w:sz w:val="28"/>
          <w:szCs w:val="28"/>
          <w:lang w:eastAsia="zh-CN"/>
        </w:rPr>
      </w:pPr>
      <w:r>
        <w:rPr>
          <w:rFonts w:hint="eastAsia" w:ascii="仿宋_GB2312" w:eastAsia="仿宋_GB2312"/>
          <w:b/>
          <w:bCs/>
          <w:sz w:val="28"/>
          <w:szCs w:val="28"/>
        </w:rPr>
        <w:t>第二条</w:t>
      </w:r>
      <w:r>
        <w:rPr>
          <w:rFonts w:hint="eastAsia" w:ascii="仿宋_GB2312" w:eastAsia="仿宋_GB2312"/>
          <w:b/>
          <w:bCs/>
          <w:sz w:val="28"/>
          <w:szCs w:val="28"/>
          <w:lang w:val="en-US" w:eastAsia="zh-CN"/>
        </w:rPr>
        <w:t xml:space="preserve">  </w:t>
      </w:r>
      <w:r>
        <w:rPr>
          <w:rFonts w:hint="eastAsia" w:ascii="仿宋_GB2312" w:hAnsi="仿宋_GB2312" w:eastAsia="仿宋_GB2312" w:cs="仿宋_GB2312"/>
          <w:sz w:val="28"/>
          <w:szCs w:val="28"/>
          <w:lang w:eastAsia="zh-CN"/>
        </w:rPr>
        <w:t>适用范围</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凡在本渔港区域范围内停泊、避风、航行、作业的船舶、车辆，及从事建设、渔港运营管理、经营活动的公民、法人和其他组织都应遵守本港章的规定。</w:t>
      </w:r>
    </w:p>
    <w:p>
      <w:pPr>
        <w:widowControl w:val="0"/>
        <w:kinsoku/>
        <w:spacing w:line="360" w:lineRule="auto"/>
        <w:ind w:firstLine="562" w:firstLineChars="200"/>
        <w:outlineLvl w:val="1"/>
        <w:rPr>
          <w:b/>
          <w:bCs/>
          <w:sz w:val="28"/>
          <w:szCs w:val="28"/>
          <w:highlight w:val="none"/>
          <w:lang w:eastAsia="zh-CN"/>
        </w:rPr>
      </w:pPr>
      <w:r>
        <w:rPr>
          <w:rFonts w:hint="eastAsia" w:ascii="仿宋_GB2312" w:eastAsia="仿宋_GB2312"/>
          <w:b/>
          <w:bCs/>
          <w:sz w:val="28"/>
          <w:szCs w:val="28"/>
          <w:highlight w:val="none"/>
        </w:rPr>
        <w:t>第三条</w:t>
      </w:r>
      <w:r>
        <w:rPr>
          <w:rFonts w:hint="eastAsia" w:ascii="仿宋_GB2312" w:eastAsia="仿宋_GB2312"/>
          <w:b/>
          <w:bCs/>
          <w:sz w:val="28"/>
          <w:szCs w:val="28"/>
        </w:rPr>
        <w:t xml:space="preserve"> </w:t>
      </w:r>
      <w:r>
        <w:rPr>
          <w:rFonts w:hint="eastAsia" w:ascii="仿宋_GB2312" w:eastAsia="仿宋_GB2312"/>
          <w:sz w:val="28"/>
          <w:szCs w:val="28"/>
        </w:rPr>
        <w:t xml:space="preserve"> </w:t>
      </w:r>
      <w:r>
        <w:rPr>
          <w:rFonts w:hint="eastAsia" w:ascii="仿宋_GB2312" w:hAnsi="仿宋_GB2312" w:eastAsia="仿宋_GB2312" w:cs="仿宋_GB2312"/>
          <w:sz w:val="28"/>
          <w:szCs w:val="28"/>
          <w:highlight w:val="none"/>
          <w:lang w:eastAsia="zh-CN"/>
        </w:rPr>
        <w:t>渔港位置</w:t>
      </w:r>
    </w:p>
    <w:p>
      <w:pPr>
        <w:widowControl w:val="0"/>
        <w:kinsoku/>
        <w:spacing w:line="360" w:lineRule="auto"/>
        <w:ind w:firstLine="576" w:firstLineChars="200"/>
        <w:jc w:val="both"/>
        <w:rPr>
          <w:rFonts w:hint="default" w:ascii="仿宋_GB2312" w:hAnsi="仿宋_GB2312" w:eastAsia="仿宋_GB2312" w:cs="仿宋_GB2312"/>
          <w:spacing w:val="4"/>
          <w:sz w:val="28"/>
          <w:szCs w:val="28"/>
          <w:lang w:val="en-US" w:eastAsia="zh-CN"/>
        </w:rPr>
      </w:pPr>
      <w:r>
        <w:rPr>
          <w:rFonts w:hint="eastAsia" w:ascii="仿宋_GB2312" w:hAnsi="仿宋_GB2312" w:eastAsia="仿宋_GB2312" w:cs="仿宋_GB2312"/>
          <w:spacing w:val="4"/>
          <w:sz w:val="28"/>
          <w:szCs w:val="28"/>
          <w:lang w:eastAsia="zh-CN"/>
        </w:rPr>
        <w:t>本渔港位于浙江省舟山市岱山县</w:t>
      </w:r>
      <w:r>
        <w:rPr>
          <w:rFonts w:hint="eastAsia" w:ascii="仿宋_GB2312" w:hAnsi="仿宋_GB2312" w:eastAsia="仿宋_GB2312" w:cs="仿宋_GB2312"/>
          <w:spacing w:val="4"/>
          <w:sz w:val="28"/>
          <w:szCs w:val="28"/>
          <w:lang w:val="en-US" w:eastAsia="zh-CN"/>
        </w:rPr>
        <w:t>高亭镇</w:t>
      </w:r>
      <w:r>
        <w:rPr>
          <w:rFonts w:hint="eastAsia" w:ascii="仿宋_GB2312" w:hAnsi="仿宋_GB2312" w:eastAsia="仿宋_GB2312" w:cs="仿宋_GB2312"/>
          <w:spacing w:val="4"/>
          <w:sz w:val="28"/>
          <w:szCs w:val="28"/>
          <w:lang w:eastAsia="zh-CN"/>
        </w:rPr>
        <w:t>，</w:t>
      </w:r>
      <w:r>
        <w:rPr>
          <w:rFonts w:hint="eastAsia" w:ascii="仿宋_GB2312" w:hAnsi="仿宋_GB2312" w:eastAsia="仿宋_GB2312" w:cs="仿宋_GB2312"/>
          <w:spacing w:val="4"/>
          <w:sz w:val="28"/>
          <w:szCs w:val="28"/>
          <w:lang w:val="en-US" w:eastAsia="zh-CN"/>
        </w:rPr>
        <w:t>由江南山港区、浪激渚港区和产业园港区组成。江南山港区位于江南二桥以西，牛轭岛、江南山和峰景湾附近；浪激渚港区位于岱山本岛南部对港山、浪激渚社区和滨港路附近；产业园港区位于高亭镇海开路蟹文化产业园。</w:t>
      </w:r>
    </w:p>
    <w:p>
      <w:pPr>
        <w:widowControl w:val="0"/>
        <w:kinsoku/>
        <w:spacing w:line="360" w:lineRule="auto"/>
        <w:ind w:firstLine="562" w:firstLineChars="200"/>
        <w:outlineLvl w:val="1"/>
        <w:rPr>
          <w:rFonts w:hint="eastAsia" w:ascii="黑体" w:hAnsi="黑体" w:eastAsia="黑体" w:cs="黑体"/>
          <w:sz w:val="28"/>
          <w:szCs w:val="28"/>
          <w:lang w:eastAsia="zh-CN"/>
        </w:rPr>
      </w:pPr>
      <w:r>
        <w:rPr>
          <w:rFonts w:hint="eastAsia" w:ascii="仿宋_GB2312" w:eastAsia="仿宋_GB2312"/>
          <w:b/>
          <w:bCs/>
          <w:sz w:val="28"/>
          <w:szCs w:val="28"/>
        </w:rPr>
        <w:t xml:space="preserve">第四条 </w:t>
      </w:r>
      <w:r>
        <w:rPr>
          <w:rFonts w:hint="eastAsia" w:ascii="仿宋_GB2312" w:eastAsia="仿宋_GB2312"/>
          <w:sz w:val="28"/>
          <w:szCs w:val="28"/>
        </w:rPr>
        <w:t xml:space="preserve"> </w:t>
      </w:r>
      <w:r>
        <w:rPr>
          <w:rFonts w:hint="eastAsia" w:ascii="仿宋_GB2312" w:hAnsi="仿宋_GB2312" w:eastAsia="仿宋_GB2312" w:cs="仿宋_GB2312"/>
          <w:sz w:val="28"/>
          <w:szCs w:val="28"/>
          <w:lang w:eastAsia="zh-CN"/>
        </w:rPr>
        <w:t>渔港范围</w:t>
      </w:r>
    </w:p>
    <w:p>
      <w:pPr>
        <w:widowControl w:val="0"/>
        <w:kinsoku/>
        <w:spacing w:line="360" w:lineRule="auto"/>
        <w:ind w:firstLine="560" w:firstLineChars="200"/>
        <w:jc w:val="both"/>
        <w:rPr>
          <w:rFonts w:ascii="仿宋_GB2312" w:hAnsi="仿宋_GB2312" w:eastAsia="仿宋_GB2312" w:cs="仿宋_GB2312"/>
          <w:spacing w:val="4"/>
          <w:sz w:val="28"/>
          <w:szCs w:val="28"/>
          <w:lang w:eastAsia="zh-CN"/>
        </w:rPr>
      </w:pPr>
      <w:r>
        <w:rPr>
          <w:rFonts w:hint="eastAsia" w:ascii="仿宋_GB2312" w:hAnsi="Times New Roman" w:eastAsia="仿宋_GB2312" w:cs="Times New Roman"/>
          <w:snapToGrid/>
          <w:sz w:val="28"/>
          <w:szCs w:val="28"/>
          <w:lang w:eastAsia="zh-CN"/>
        </w:rPr>
        <w:t>本渔港范围为岱山县人民政府核定的渔港港界内所有水域、陆域等，</w:t>
      </w:r>
      <w:r>
        <w:rPr>
          <w:rFonts w:hint="eastAsia" w:ascii="仿宋_GB2312" w:hAnsi="仿宋_GB2312" w:eastAsia="仿宋_GB2312" w:cs="仿宋_GB2312"/>
          <w:spacing w:val="4"/>
          <w:sz w:val="28"/>
          <w:szCs w:val="28"/>
          <w:highlight w:val="none"/>
          <w:lang w:eastAsia="zh-CN"/>
        </w:rPr>
        <w:t>港区东起江南山大桥，西至蟹文化产业园，南</w:t>
      </w:r>
      <w:r>
        <w:rPr>
          <w:rFonts w:hint="eastAsia" w:ascii="仿宋_GB2312" w:hAnsi="仿宋_GB2312" w:eastAsia="仿宋_GB2312" w:cs="仿宋_GB2312"/>
          <w:spacing w:val="4"/>
          <w:sz w:val="28"/>
          <w:szCs w:val="28"/>
          <w:highlight w:val="none"/>
          <w:lang w:val="en-US" w:eastAsia="zh-CN"/>
        </w:rPr>
        <w:t>至</w:t>
      </w:r>
      <w:r>
        <w:rPr>
          <w:rFonts w:hint="eastAsia" w:ascii="仿宋_GB2312" w:hAnsi="仿宋_GB2312" w:eastAsia="仿宋_GB2312" w:cs="仿宋_GB2312"/>
          <w:spacing w:val="4"/>
          <w:sz w:val="28"/>
          <w:szCs w:val="28"/>
          <w:highlight w:val="none"/>
          <w:lang w:eastAsia="zh-CN"/>
        </w:rPr>
        <w:t>牛轭岛</w:t>
      </w:r>
      <w:r>
        <w:rPr>
          <w:rFonts w:hint="eastAsia" w:ascii="仿宋_GB2312" w:hAnsi="仿宋_GB2312" w:eastAsia="仿宋_GB2312" w:cs="仿宋_GB2312"/>
          <w:spacing w:val="4"/>
          <w:sz w:val="28"/>
          <w:szCs w:val="28"/>
          <w:highlight w:val="none"/>
          <w:lang w:val="en-US" w:eastAsia="zh-CN"/>
        </w:rPr>
        <w:t>码头护岸</w:t>
      </w:r>
      <w:r>
        <w:rPr>
          <w:rFonts w:hint="eastAsia" w:ascii="仿宋_GB2312" w:hAnsi="仿宋_GB2312" w:eastAsia="仿宋_GB2312" w:cs="仿宋_GB2312"/>
          <w:spacing w:val="4"/>
          <w:sz w:val="28"/>
          <w:szCs w:val="28"/>
          <w:highlight w:val="none"/>
          <w:lang w:eastAsia="zh-CN"/>
        </w:rPr>
        <w:t>，北靠岱山本岛陆地。</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highlight w:val="none"/>
          <w:lang w:eastAsia="zh-CN"/>
        </w:rPr>
        <w:t>渔港总面积为</w:t>
      </w:r>
      <w:r>
        <w:rPr>
          <w:rFonts w:hint="eastAsia" w:ascii="仿宋_GB2312" w:hAnsi="仿宋_GB2312" w:eastAsia="仿宋_GB2312" w:cs="仿宋_GB2312"/>
          <w:spacing w:val="4"/>
          <w:sz w:val="28"/>
          <w:szCs w:val="28"/>
          <w:highlight w:val="none"/>
          <w:lang w:val="en-US" w:eastAsia="zh-CN"/>
        </w:rPr>
        <w:t>231.10</w:t>
      </w:r>
      <w:r>
        <w:rPr>
          <w:rFonts w:hint="default" w:ascii="Times New Roman" w:hAnsi="Times New Roman" w:eastAsia="仿宋_GB2312" w:cs="Times New Roman"/>
          <w:spacing w:val="4"/>
          <w:sz w:val="28"/>
          <w:szCs w:val="28"/>
          <w:highlight w:val="none"/>
          <w:lang w:eastAsia="zh-CN"/>
        </w:rPr>
        <w:t>万平方米，其中水域</w:t>
      </w:r>
      <w:r>
        <w:rPr>
          <w:rFonts w:hint="eastAsia" w:eastAsia="仿宋_GB2312" w:cs="Times New Roman"/>
          <w:spacing w:val="4"/>
          <w:sz w:val="28"/>
          <w:szCs w:val="28"/>
          <w:highlight w:val="none"/>
          <w:lang w:val="en-US" w:eastAsia="zh-CN"/>
        </w:rPr>
        <w:t>188.88</w:t>
      </w:r>
      <w:r>
        <w:rPr>
          <w:rFonts w:hint="default" w:ascii="Times New Roman" w:hAnsi="Times New Roman" w:eastAsia="仿宋_GB2312" w:cs="Times New Roman"/>
          <w:spacing w:val="4"/>
          <w:sz w:val="28"/>
          <w:szCs w:val="28"/>
          <w:highlight w:val="none"/>
          <w:lang w:eastAsia="zh-CN"/>
        </w:rPr>
        <w:t>万平方米，陆域</w:t>
      </w:r>
      <w:r>
        <w:rPr>
          <w:rFonts w:hint="eastAsia" w:eastAsia="仿宋_GB2312" w:cs="Times New Roman"/>
          <w:spacing w:val="4"/>
          <w:sz w:val="28"/>
          <w:szCs w:val="28"/>
          <w:highlight w:val="none"/>
          <w:lang w:val="en-US" w:eastAsia="zh-CN"/>
        </w:rPr>
        <w:t>42.22</w:t>
      </w:r>
      <w:r>
        <w:rPr>
          <w:rFonts w:hint="eastAsia" w:ascii="仿宋_GB2312" w:hAnsi="仿宋_GB2312" w:eastAsia="仿宋_GB2312" w:cs="仿宋_GB2312"/>
          <w:spacing w:val="4"/>
          <w:sz w:val="28"/>
          <w:szCs w:val="28"/>
          <w:highlight w:val="none"/>
          <w:lang w:eastAsia="zh-CN"/>
        </w:rPr>
        <w:t>万平方米。</w:t>
      </w:r>
      <w:r>
        <w:rPr>
          <w:rFonts w:hint="eastAsia" w:ascii="仿宋_GB2312" w:hAnsi="仿宋_GB2312" w:eastAsia="仿宋_GB2312" w:cs="仿宋_GB2312"/>
          <w:spacing w:val="4"/>
          <w:sz w:val="28"/>
          <w:szCs w:val="28"/>
          <w:lang w:eastAsia="zh-CN"/>
        </w:rPr>
        <w:t>渔港港界水域、陆域和设施的具体范围、位置及坐标详见附件浙江省岱山县高亭渔港港界图。</w:t>
      </w:r>
    </w:p>
    <w:p>
      <w:pPr>
        <w:keepNext w:val="0"/>
        <w:keepLines w:val="0"/>
        <w:pageBreakBefore w:val="0"/>
        <w:widowControl w:val="0"/>
        <w:kinsoku/>
        <w:wordWrap/>
        <w:overflowPunct/>
        <w:topLinePunct w:val="0"/>
        <w:autoSpaceDE w:val="0"/>
        <w:autoSpaceDN w:val="0"/>
        <w:bidi w:val="0"/>
        <w:adjustRightInd w:val="0"/>
        <w:snapToGrid w:val="0"/>
        <w:spacing w:before="312" w:beforeLines="100" w:after="312" w:afterLines="100"/>
        <w:ind w:firstLine="0" w:firstLineChars="0"/>
        <w:jc w:val="center"/>
        <w:textAlignment w:val="baseline"/>
        <w:outlineLvl w:val="0"/>
        <w:rPr>
          <w:rFonts w:hint="eastAsia" w:ascii="黑体" w:hAnsi="黑体" w:eastAsia="黑体" w:cs="Arial"/>
          <w:b/>
          <w:bCs/>
          <w:sz w:val="28"/>
          <w:szCs w:val="28"/>
          <w:lang w:eastAsia="zh-CN"/>
        </w:rPr>
      </w:pPr>
      <w:r>
        <w:rPr>
          <w:rFonts w:hint="eastAsia" w:ascii="黑体" w:hAnsi="黑体" w:eastAsia="黑体" w:cs="Arial"/>
          <w:b/>
          <w:bCs/>
          <w:sz w:val="28"/>
          <w:szCs w:val="28"/>
          <w:lang w:eastAsia="zh-CN"/>
        </w:rPr>
        <w:t>第二章  渔港管理机构</w:t>
      </w:r>
    </w:p>
    <w:p>
      <w:pPr>
        <w:widowControl w:val="0"/>
        <w:kinsoku/>
        <w:spacing w:line="360" w:lineRule="auto"/>
        <w:ind w:firstLine="562" w:firstLineChars="200"/>
        <w:outlineLvl w:val="1"/>
        <w:rPr>
          <w:sz w:val="28"/>
          <w:szCs w:val="28"/>
          <w:lang w:eastAsia="zh-CN"/>
        </w:rPr>
      </w:pPr>
      <w:r>
        <w:rPr>
          <w:rFonts w:hint="eastAsia" w:ascii="仿宋_GB2312" w:eastAsia="仿宋_GB2312"/>
          <w:b/>
          <w:bCs/>
          <w:sz w:val="28"/>
          <w:szCs w:val="28"/>
        </w:rPr>
        <w:t xml:space="preserve">第五条  </w:t>
      </w:r>
      <w:r>
        <w:rPr>
          <w:rFonts w:hint="eastAsia" w:ascii="仿宋_GB2312" w:hAnsi="仿宋_GB2312" w:eastAsia="仿宋_GB2312" w:cs="仿宋_GB2312"/>
          <w:sz w:val="28"/>
          <w:szCs w:val="28"/>
          <w:lang w:eastAsia="zh-CN"/>
        </w:rPr>
        <w:t>渔港行政管理部门</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岱山县</w:t>
      </w:r>
      <w:r>
        <w:rPr>
          <w:rFonts w:hint="eastAsia" w:ascii="仿宋_GB2312" w:eastAsia="仿宋_GB2312" w:cs="Times New Roman"/>
          <w:snapToGrid/>
          <w:sz w:val="28"/>
          <w:szCs w:val="28"/>
          <w:lang w:eastAsia="zh-CN"/>
        </w:rPr>
        <w:t>海洋经济发展局</w:t>
      </w:r>
      <w:r>
        <w:rPr>
          <w:rFonts w:hint="eastAsia" w:ascii="仿宋_GB2312" w:hAnsi="Times New Roman" w:eastAsia="仿宋_GB2312" w:cs="Times New Roman"/>
          <w:snapToGrid/>
          <w:sz w:val="28"/>
          <w:szCs w:val="28"/>
          <w:lang w:eastAsia="zh-CN"/>
        </w:rPr>
        <w:t>是本渔港的渔业行政主管部门，负责组织渔港建设规划等工作，依法对渔港、渔业船舶进行监督管理。</w:t>
      </w:r>
    </w:p>
    <w:p>
      <w:pPr>
        <w:widowControl w:val="0"/>
        <w:kinsoku/>
        <w:spacing w:line="360" w:lineRule="auto"/>
        <w:ind w:firstLine="562" w:firstLineChars="200"/>
        <w:outlineLvl w:val="1"/>
        <w:rPr>
          <w:rFonts w:hint="eastAsia" w:ascii="黑体" w:hAnsi="黑体" w:eastAsia="黑体" w:cs="黑体"/>
          <w:sz w:val="28"/>
          <w:szCs w:val="28"/>
          <w:lang w:eastAsia="zh-CN"/>
        </w:rPr>
      </w:pPr>
      <w:r>
        <w:rPr>
          <w:rFonts w:hint="eastAsia" w:ascii="仿宋_GB2312" w:eastAsia="仿宋_GB2312"/>
          <w:b/>
          <w:bCs/>
          <w:sz w:val="28"/>
          <w:szCs w:val="28"/>
        </w:rPr>
        <w:t xml:space="preserve">第六条 </w:t>
      </w:r>
      <w:r>
        <w:rPr>
          <w:rFonts w:hint="eastAsia" w:ascii="仿宋_GB2312" w:eastAsia="仿宋_GB2312"/>
          <w:sz w:val="28"/>
          <w:szCs w:val="28"/>
        </w:rPr>
        <w:t xml:space="preserve"> </w:t>
      </w:r>
      <w:r>
        <w:rPr>
          <w:rFonts w:hint="eastAsia" w:ascii="仿宋_GB2312" w:hAnsi="仿宋_GB2312" w:eastAsia="仿宋_GB2312" w:cs="仿宋_GB2312"/>
          <w:sz w:val="28"/>
          <w:szCs w:val="28"/>
          <w:lang w:eastAsia="zh-CN"/>
        </w:rPr>
        <w:t>渔港监督管理机构</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highlight w:val="none"/>
          <w:lang w:eastAsia="zh-CN"/>
        </w:rPr>
        <w:t>岱山县</w:t>
      </w:r>
      <w:r>
        <w:rPr>
          <w:rFonts w:hint="eastAsia" w:ascii="仿宋_GB2312" w:hAnsi="仿宋_GB2312" w:eastAsia="仿宋_GB2312" w:cs="仿宋_GB2312"/>
          <w:spacing w:val="4"/>
          <w:sz w:val="28"/>
          <w:szCs w:val="28"/>
          <w:highlight w:val="none"/>
          <w:lang w:val="en-US" w:eastAsia="zh-CN"/>
        </w:rPr>
        <w:t>渔政渔港监督站</w:t>
      </w:r>
      <w:r>
        <w:rPr>
          <w:rFonts w:hint="eastAsia" w:ascii="仿宋_GB2312" w:hAnsi="仿宋_GB2312" w:eastAsia="仿宋_GB2312" w:cs="仿宋_GB2312"/>
          <w:spacing w:val="4"/>
          <w:sz w:val="28"/>
          <w:szCs w:val="28"/>
          <w:highlight w:val="none"/>
          <w:lang w:eastAsia="zh-CN"/>
        </w:rPr>
        <w:t>是岱</w:t>
      </w:r>
      <w:r>
        <w:rPr>
          <w:rFonts w:hint="eastAsia" w:ascii="仿宋_GB2312" w:hAnsi="仿宋_GB2312" w:eastAsia="仿宋_GB2312" w:cs="仿宋_GB2312"/>
          <w:spacing w:val="4"/>
          <w:sz w:val="28"/>
          <w:szCs w:val="28"/>
          <w:lang w:eastAsia="zh-CN"/>
        </w:rPr>
        <w:t>山县渔业行政主管部门派驻本渔港、对本渔港实施监督管理的常设机构。</w:t>
      </w:r>
    </w:p>
    <w:p>
      <w:pPr>
        <w:widowControl w:val="0"/>
        <w:kinsoku/>
        <w:spacing w:line="360" w:lineRule="auto"/>
        <w:ind w:firstLine="562" w:firstLineChars="200"/>
        <w:outlineLvl w:val="1"/>
        <w:rPr>
          <w:rFonts w:hint="eastAsia" w:ascii="黑体" w:hAnsi="黑体" w:eastAsia="黑体" w:cs="黑体"/>
          <w:sz w:val="28"/>
          <w:szCs w:val="28"/>
          <w:lang w:eastAsia="zh-CN"/>
        </w:rPr>
      </w:pPr>
      <w:r>
        <w:rPr>
          <w:rFonts w:hint="eastAsia" w:ascii="仿宋_GB2312" w:eastAsia="仿宋_GB2312"/>
          <w:b/>
          <w:bCs/>
          <w:sz w:val="28"/>
          <w:szCs w:val="28"/>
        </w:rPr>
        <w:t xml:space="preserve">第七条  </w:t>
      </w:r>
      <w:r>
        <w:rPr>
          <w:rFonts w:hint="eastAsia" w:ascii="仿宋_GB2312" w:hAnsi="仿宋_GB2312" w:eastAsia="仿宋_GB2312" w:cs="仿宋_GB2312"/>
          <w:sz w:val="28"/>
          <w:szCs w:val="28"/>
          <w:lang w:eastAsia="zh-CN"/>
        </w:rPr>
        <w:t>其他管理部门</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lang w:eastAsia="zh-CN"/>
        </w:rPr>
        <w:t>一、渔港执法管理机构</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lang w:eastAsia="zh-CN"/>
        </w:rPr>
        <w:t>岱山县</w:t>
      </w:r>
      <w:r>
        <w:rPr>
          <w:rFonts w:hint="eastAsia" w:ascii="仿宋_GB2312" w:hAnsi="仿宋_GB2312" w:eastAsia="仿宋_GB2312" w:cs="仿宋_GB2312"/>
          <w:spacing w:val="4"/>
          <w:sz w:val="28"/>
          <w:szCs w:val="28"/>
          <w:highlight w:val="none"/>
          <w:lang w:eastAsia="zh-CN"/>
        </w:rPr>
        <w:t>海洋行政执法</w:t>
      </w:r>
      <w:r>
        <w:rPr>
          <w:rFonts w:hint="eastAsia" w:ascii="仿宋_GB2312" w:hAnsi="仿宋_GB2312" w:eastAsia="仿宋_GB2312" w:cs="仿宋_GB2312"/>
          <w:spacing w:val="4"/>
          <w:sz w:val="28"/>
          <w:szCs w:val="28"/>
          <w:highlight w:val="none"/>
          <w:lang w:val="en-US" w:eastAsia="zh-CN"/>
        </w:rPr>
        <w:t>中</w:t>
      </w:r>
      <w:r>
        <w:rPr>
          <w:rFonts w:hint="eastAsia" w:ascii="仿宋_GB2312" w:hAnsi="仿宋_GB2312" w:eastAsia="仿宋_GB2312" w:cs="仿宋_GB2312"/>
          <w:spacing w:val="4"/>
          <w:sz w:val="28"/>
          <w:szCs w:val="28"/>
          <w:highlight w:val="none"/>
          <w:lang w:eastAsia="zh-CN"/>
        </w:rPr>
        <w:t>队</w:t>
      </w:r>
      <w:r>
        <w:rPr>
          <w:rFonts w:hint="eastAsia" w:ascii="仿宋_GB2312" w:hAnsi="仿宋_GB2312" w:eastAsia="仿宋_GB2312" w:cs="仿宋_GB2312"/>
          <w:spacing w:val="4"/>
          <w:sz w:val="28"/>
          <w:szCs w:val="28"/>
          <w:lang w:eastAsia="zh-CN"/>
        </w:rPr>
        <w:t>是本渔港的执法管理机构，在岱山县高亭渔港所设办公场所，驻港办公，负责本渔港区域内海洋监察等执法工作。</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lang w:eastAsia="zh-CN"/>
        </w:rPr>
        <w:t>二、渔港港务管理机构</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highlight w:val="none"/>
          <w:lang w:eastAsia="zh-CN"/>
        </w:rPr>
        <w:t>岱山县</w:t>
      </w:r>
      <w:r>
        <w:rPr>
          <w:rFonts w:hint="eastAsia" w:ascii="仿宋_GB2312" w:hAnsi="仿宋_GB2312" w:eastAsia="仿宋_GB2312" w:cs="仿宋_GB2312"/>
          <w:spacing w:val="4"/>
          <w:sz w:val="28"/>
          <w:szCs w:val="28"/>
          <w:highlight w:val="none"/>
          <w:lang w:val="en-US" w:eastAsia="zh-CN"/>
        </w:rPr>
        <w:t>渔港管理站</w:t>
      </w:r>
      <w:r>
        <w:rPr>
          <w:rFonts w:hint="eastAsia" w:ascii="仿宋_GB2312" w:hAnsi="仿宋_GB2312" w:eastAsia="仿宋_GB2312" w:cs="仿宋_GB2312"/>
          <w:spacing w:val="4"/>
          <w:sz w:val="28"/>
          <w:szCs w:val="28"/>
          <w:highlight w:val="none"/>
          <w:lang w:eastAsia="zh-CN"/>
        </w:rPr>
        <w:t>负责对本渔港基础设施等实施</w:t>
      </w:r>
      <w:r>
        <w:rPr>
          <w:rFonts w:hint="eastAsia" w:ascii="仿宋_GB2312" w:hAnsi="仿宋_GB2312" w:eastAsia="仿宋_GB2312" w:cs="仿宋_GB2312"/>
          <w:spacing w:val="4"/>
          <w:sz w:val="28"/>
          <w:szCs w:val="28"/>
          <w:highlight w:val="none"/>
          <w:lang w:val="en-US" w:eastAsia="zh-CN"/>
        </w:rPr>
        <w:t>建设、</w:t>
      </w:r>
      <w:r>
        <w:rPr>
          <w:rFonts w:hint="eastAsia" w:ascii="仿宋_GB2312" w:hAnsi="仿宋_GB2312" w:eastAsia="仿宋_GB2312" w:cs="仿宋_GB2312"/>
          <w:spacing w:val="4"/>
          <w:sz w:val="28"/>
          <w:szCs w:val="28"/>
          <w:highlight w:val="none"/>
          <w:lang w:eastAsia="zh-CN"/>
        </w:rPr>
        <w:t>管理、</w:t>
      </w:r>
      <w:r>
        <w:rPr>
          <w:rFonts w:hint="eastAsia" w:ascii="仿宋_GB2312" w:hAnsi="仿宋_GB2312" w:eastAsia="仿宋_GB2312" w:cs="仿宋_GB2312"/>
          <w:spacing w:val="4"/>
          <w:sz w:val="28"/>
          <w:szCs w:val="28"/>
          <w:highlight w:val="none"/>
          <w:lang w:val="en-US" w:eastAsia="zh-CN"/>
        </w:rPr>
        <w:t>维护</w:t>
      </w:r>
      <w:r>
        <w:rPr>
          <w:rFonts w:hint="eastAsia" w:ascii="仿宋_GB2312" w:hAnsi="仿宋_GB2312" w:eastAsia="仿宋_GB2312" w:cs="仿宋_GB2312"/>
          <w:spacing w:val="4"/>
          <w:sz w:val="28"/>
          <w:szCs w:val="28"/>
          <w:highlight w:val="none"/>
          <w:lang w:eastAsia="zh-CN"/>
        </w:rPr>
        <w:t>的具体工作。</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其他涉及本渔港管理的海事、交通运输、公安、应急管理、市场</w:t>
      </w:r>
      <w:r>
        <w:rPr>
          <w:rFonts w:hint="eastAsia" w:ascii="仿宋_GB2312" w:eastAsia="仿宋_GB2312" w:cs="Times New Roman"/>
          <w:snapToGrid/>
          <w:sz w:val="28"/>
          <w:szCs w:val="28"/>
          <w:lang w:eastAsia="zh-CN"/>
        </w:rPr>
        <w:t>监督</w:t>
      </w:r>
      <w:r>
        <w:rPr>
          <w:rFonts w:hint="eastAsia" w:ascii="仿宋_GB2312" w:hAnsi="Times New Roman" w:eastAsia="仿宋_GB2312" w:cs="Times New Roman"/>
          <w:snapToGrid/>
          <w:sz w:val="28"/>
          <w:szCs w:val="28"/>
          <w:lang w:eastAsia="zh-CN"/>
        </w:rPr>
        <w:t>、自然资源、海洋综合执法、生态环境等部门根据各自职责负责相应的管理工作。</w:t>
      </w:r>
    </w:p>
    <w:p>
      <w:pPr>
        <w:keepNext w:val="0"/>
        <w:keepLines w:val="0"/>
        <w:pageBreakBefore w:val="0"/>
        <w:widowControl w:val="0"/>
        <w:kinsoku/>
        <w:wordWrap/>
        <w:overflowPunct/>
        <w:topLinePunct w:val="0"/>
        <w:autoSpaceDE w:val="0"/>
        <w:autoSpaceDN w:val="0"/>
        <w:bidi w:val="0"/>
        <w:adjustRightInd w:val="0"/>
        <w:snapToGrid w:val="0"/>
        <w:spacing w:before="312" w:beforeLines="100" w:after="312" w:afterLines="100"/>
        <w:ind w:firstLine="0" w:firstLineChars="0"/>
        <w:jc w:val="center"/>
        <w:textAlignment w:val="baseline"/>
        <w:outlineLvl w:val="0"/>
        <w:rPr>
          <w:rFonts w:hint="eastAsia" w:ascii="黑体" w:hAnsi="黑体" w:eastAsia="黑体" w:cs="Arial"/>
          <w:b/>
          <w:bCs/>
          <w:sz w:val="28"/>
          <w:szCs w:val="28"/>
          <w:lang w:eastAsia="zh-CN"/>
        </w:rPr>
      </w:pPr>
      <w:r>
        <w:rPr>
          <w:rFonts w:hint="eastAsia" w:ascii="黑体" w:hAnsi="黑体" w:eastAsia="黑体" w:cs="Arial"/>
          <w:b/>
          <w:bCs/>
          <w:sz w:val="28"/>
          <w:szCs w:val="28"/>
          <w:lang w:eastAsia="zh-CN"/>
        </w:rPr>
        <w:t xml:space="preserve">第三章  </w:t>
      </w:r>
      <w:bookmarkStart w:id="0" w:name="_Hlk131688382"/>
      <w:r>
        <w:rPr>
          <w:rFonts w:hint="eastAsia" w:ascii="黑体" w:hAnsi="黑体" w:eastAsia="黑体" w:cs="Arial"/>
          <w:b/>
          <w:bCs/>
          <w:sz w:val="28"/>
          <w:szCs w:val="28"/>
          <w:lang w:eastAsia="zh-CN"/>
        </w:rPr>
        <w:t>渔业船舶</w:t>
      </w:r>
      <w:bookmarkEnd w:id="0"/>
      <w:r>
        <w:rPr>
          <w:rFonts w:hint="eastAsia" w:ascii="黑体" w:hAnsi="黑体" w:eastAsia="黑体" w:cs="Arial"/>
          <w:b/>
          <w:bCs/>
          <w:sz w:val="28"/>
          <w:szCs w:val="28"/>
          <w:lang w:eastAsia="zh-CN"/>
        </w:rPr>
        <w:t>管理</w:t>
      </w:r>
    </w:p>
    <w:p>
      <w:pPr>
        <w:widowControl w:val="0"/>
        <w:kinsoku/>
        <w:spacing w:line="360" w:lineRule="auto"/>
        <w:ind w:firstLine="562" w:firstLineChars="200"/>
        <w:outlineLvl w:val="1"/>
        <w:rPr>
          <w:rFonts w:hint="eastAsia" w:ascii="黑体" w:hAnsi="黑体" w:eastAsia="黑体" w:cs="黑体"/>
          <w:sz w:val="28"/>
          <w:szCs w:val="28"/>
          <w:lang w:eastAsia="zh-CN"/>
        </w:rPr>
      </w:pPr>
      <w:r>
        <w:rPr>
          <w:rFonts w:eastAsia="仿宋_GB2312"/>
          <w:b/>
          <w:bCs/>
          <w:sz w:val="28"/>
          <w:szCs w:val="28"/>
        </w:rPr>
        <w:t>第八条</w:t>
      </w:r>
      <w:r>
        <w:rPr>
          <w:rFonts w:hint="eastAsia" w:ascii="方正仿宋_GB2312" w:hAnsi="方正仿宋_GB2312" w:eastAsia="方正仿宋_GB2312" w:cs="方正仿宋_GB2312"/>
          <w:b/>
          <w:bCs/>
          <w:sz w:val="28"/>
          <w:szCs w:val="28"/>
          <w:lang w:val="en-US" w:eastAsia="zh-CN"/>
        </w:rPr>
        <w:t xml:space="preserve">  </w:t>
      </w:r>
      <w:r>
        <w:rPr>
          <w:rFonts w:hint="eastAsia" w:ascii="仿宋_GB2312" w:hAnsi="仿宋_GB2312" w:eastAsia="仿宋_GB2312" w:cs="仿宋_GB2312"/>
          <w:sz w:val="28"/>
          <w:szCs w:val="28"/>
          <w:lang w:eastAsia="zh-CN"/>
        </w:rPr>
        <w:t>进出本渔港的渔业船舶，必须具备以下条件：</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（一）按规定标示船名号、船籍港。日间应悬挂国旗，日、夜间按规定显示号型、号灯。</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（二）</w:t>
      </w:r>
      <w:r>
        <w:rPr>
          <w:rFonts w:hint="eastAsia" w:ascii="仿宋_GB2312" w:eastAsia="仿宋_GB2312" w:cs="Times New Roman"/>
          <w:snapToGrid/>
          <w:sz w:val="28"/>
          <w:szCs w:val="28"/>
          <w:lang w:val="en-US" w:eastAsia="zh-CN"/>
        </w:rPr>
        <w:t>持</w:t>
      </w:r>
      <w:r>
        <w:rPr>
          <w:rFonts w:hint="eastAsia" w:ascii="仿宋_GB2312" w:hAnsi="Times New Roman" w:eastAsia="仿宋_GB2312" w:cs="Times New Roman"/>
          <w:snapToGrid/>
          <w:sz w:val="28"/>
          <w:szCs w:val="28"/>
          <w:lang w:eastAsia="zh-CN"/>
        </w:rPr>
        <w:t>有效船舶证书：</w:t>
      </w:r>
      <w:r>
        <w:rPr>
          <w:rFonts w:eastAsia="仿宋_GB2312"/>
          <w:color w:val="000000" w:themeColor="text1"/>
          <w:sz w:val="28"/>
          <w:szCs w:val="28"/>
          <w14:textFill>
            <w14:solidFill>
              <w14:schemeClr w14:val="tx1"/>
            </w14:solidFill>
          </w14:textFill>
        </w:rPr>
        <w:t>渔业船舶登记证书、渔业船舶检验证书、捕捞许可证</w:t>
      </w:r>
      <w:r>
        <w:rPr>
          <w:rFonts w:hint="eastAsia" w:ascii="仿宋_GB2312" w:hAnsi="Times New Roman" w:eastAsia="仿宋_GB2312" w:cs="Times New Roman"/>
          <w:snapToGrid/>
          <w:sz w:val="28"/>
          <w:szCs w:val="28"/>
          <w:lang w:eastAsia="zh-CN"/>
        </w:rPr>
        <w:t>。</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（三）按规定配齐船员、职务船员，并持有相应有效的适任证书。</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（四）船舶处于适航状态，救生、消防、信号及通讯导航等事关安全的设施设备及防污染设备按规定配备齐全，且处于良好使用状态。</w:t>
      </w:r>
    </w:p>
    <w:p>
      <w:pPr>
        <w:widowControl w:val="0"/>
        <w:kinsoku/>
        <w:spacing w:line="360" w:lineRule="auto"/>
        <w:ind w:firstLine="562" w:firstLineChars="200"/>
        <w:outlineLvl w:val="1"/>
        <w:rPr>
          <w:rFonts w:ascii="黑体" w:hAnsi="黑体" w:eastAsia="仿宋_GB2312" w:cs="黑体"/>
          <w:sz w:val="28"/>
          <w:szCs w:val="28"/>
          <w:lang w:eastAsia="zh-CN"/>
        </w:rPr>
      </w:pPr>
      <w:r>
        <w:rPr>
          <w:rFonts w:eastAsia="仿宋_GB2312"/>
          <w:b/>
          <w:bCs/>
          <w:sz w:val="28"/>
          <w:szCs w:val="28"/>
        </w:rPr>
        <w:t>第九条</w:t>
      </w:r>
      <w:r>
        <w:rPr>
          <w:rFonts w:hint="eastAsia" w:ascii="仿宋_GB2312" w:hAnsi="仿宋_GB2312" w:eastAsia="仿宋_GB2312" w:cs="仿宋_GB2312"/>
          <w:sz w:val="28"/>
          <w:szCs w:val="28"/>
          <w:lang w:eastAsia="zh-CN"/>
        </w:rPr>
        <w:t xml:space="preserve">  渔业船舶进出港报告</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本渔港实行渔业船舶进出港报告制。凡进出渔港的渔业船舶事前按规定主动通过进出港报告系统报告抵离港时间。船长为船舶进出渔港报告的第一责任人，并对信息的完整性和真实性负责。</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进港报告内容包括：</w:t>
      </w:r>
      <w:r>
        <w:rPr>
          <w:rFonts w:hint="eastAsia" w:ascii="仿宋_GB2312" w:eastAsia="仿宋_GB2312" w:cs="Times New Roman"/>
          <w:snapToGrid/>
          <w:sz w:val="28"/>
          <w:szCs w:val="28"/>
          <w:lang w:val="en-US" w:eastAsia="zh-CN"/>
        </w:rPr>
        <w:t>船名号</w:t>
      </w:r>
      <w:r>
        <w:rPr>
          <w:rFonts w:hint="eastAsia" w:ascii="仿宋_GB2312" w:hAnsi="Times New Roman" w:eastAsia="仿宋_GB2312" w:cs="Times New Roman"/>
          <w:snapToGrid/>
          <w:sz w:val="28"/>
          <w:szCs w:val="28"/>
          <w:lang w:eastAsia="zh-CN"/>
        </w:rPr>
        <w:t>、拟进港时间、船舶配员情况等。</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出港报告内容包括：拟出港时间，船舶配员情况等。</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因天气或应急等特殊原因不能按规定程序报告的，本省渔船进入本渔港应在进港后48小时内补办报告手续，渔船离开本渔港应在出港后24小时内补办报告手续，外省籍渔业船舶参照执行。</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船舶提交进出港报告后，未收到反馈信息的，应主动联系驻港监督管理机构处理。</w:t>
      </w:r>
    </w:p>
    <w:p>
      <w:pPr>
        <w:widowControl w:val="0"/>
        <w:kinsoku/>
        <w:spacing w:line="360" w:lineRule="auto"/>
        <w:ind w:firstLine="562" w:firstLineChars="200"/>
        <w:outlineLvl w:val="1"/>
        <w:rPr>
          <w:rFonts w:hint="default" w:eastAsia="宋体"/>
          <w:b/>
          <w:bCs/>
          <w:sz w:val="28"/>
          <w:szCs w:val="28"/>
          <w:lang w:val="en-US" w:eastAsia="zh-CN"/>
        </w:rPr>
      </w:pPr>
      <w:r>
        <w:rPr>
          <w:rFonts w:eastAsia="仿宋_GB2312"/>
          <w:b/>
          <w:bCs/>
          <w:color w:val="000000" w:themeColor="text1"/>
          <w:sz w:val="28"/>
          <w:szCs w:val="28"/>
          <w14:textFill>
            <w14:solidFill>
              <w14:schemeClr w14:val="tx1"/>
            </w14:solidFill>
          </w14:textFill>
        </w:rPr>
        <w:t>第十条</w:t>
      </w:r>
      <w:r>
        <w:rPr>
          <w:rFonts w:hint="eastAsia" w:ascii="仿宋_GB2312" w:hAnsi="仿宋_GB2312" w:eastAsia="仿宋_GB2312" w:cs="仿宋_GB2312"/>
          <w:spacing w:val="4"/>
          <w:sz w:val="28"/>
          <w:szCs w:val="28"/>
          <w:lang w:eastAsia="zh-CN"/>
        </w:rPr>
        <w:t xml:space="preserve">  渔业船舶进出港</w:t>
      </w:r>
      <w:r>
        <w:rPr>
          <w:rFonts w:hint="eastAsia" w:ascii="仿宋_GB2312" w:hAnsi="仿宋_GB2312" w:eastAsia="仿宋_GB2312" w:cs="仿宋_GB2312"/>
          <w:spacing w:val="4"/>
          <w:sz w:val="28"/>
          <w:szCs w:val="28"/>
          <w:lang w:val="en-US" w:eastAsia="zh-CN"/>
        </w:rPr>
        <w:t>要求</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（一）船舶进出港时，必须加强瞭望，靠右侧慢速航行，循序渐进。在港内要超越前船时，必须鸣放超越声号，经前船同意后再行超越。</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（二）各类船只在横越航道时，必须主动避让来往船只，严禁抢越他船船首。</w:t>
      </w:r>
    </w:p>
    <w:p>
      <w:pPr>
        <w:widowControl w:val="0"/>
        <w:kinsoku/>
        <w:spacing w:line="360" w:lineRule="auto"/>
        <w:ind w:firstLine="562" w:firstLineChars="200"/>
        <w:outlineLvl w:val="1"/>
        <w:rPr>
          <w:color w:val="000000" w:themeColor="text1"/>
          <w:sz w:val="28"/>
          <w:szCs w:val="28"/>
          <w:lang w:eastAsia="zh-CN"/>
          <w14:textFill>
            <w14:solidFill>
              <w14:schemeClr w14:val="tx1"/>
            </w14:solidFill>
          </w14:textFill>
        </w:rPr>
      </w:pPr>
      <w:r>
        <w:rPr>
          <w:rFonts w:eastAsia="仿宋_GB2312"/>
          <w:b/>
          <w:bCs/>
          <w:color w:val="000000" w:themeColor="text1"/>
          <w:sz w:val="28"/>
          <w:szCs w:val="28"/>
          <w14:textFill>
            <w14:solidFill>
              <w14:schemeClr w14:val="tx1"/>
            </w14:solidFill>
          </w14:textFill>
        </w:rPr>
        <w:t>第十一条</w:t>
      </w:r>
      <w:r>
        <w:rPr>
          <w:rFonts w:hint="eastAsia" w:ascii="仿宋_GB2312" w:hAnsi="仿宋_GB2312" w:eastAsia="仿宋_GB2312" w:cs="仿宋_GB2312"/>
          <w:spacing w:val="4"/>
          <w:sz w:val="28"/>
          <w:szCs w:val="28"/>
          <w:lang w:eastAsia="zh-CN"/>
        </w:rPr>
        <w:t xml:space="preserve">  </w:t>
      </w:r>
      <w:r>
        <w:rPr>
          <w:rFonts w:hint="eastAsia" w:ascii="仿宋_GB2312" w:hAnsi="Times New Roman" w:eastAsia="仿宋_GB2312" w:cs="Times New Roman"/>
          <w:snapToGrid/>
          <w:sz w:val="28"/>
          <w:szCs w:val="28"/>
          <w:lang w:eastAsia="zh-CN"/>
        </w:rPr>
        <w:t>船舶在港内靠离码头（或船只）抛起锚及移锚时，要密切注意周围情况，谨慎操纵驾驶，首、尾应派人瞭望，并按章鸣号，显示号灯号型，表明船舶动态。</w:t>
      </w:r>
    </w:p>
    <w:p>
      <w:pPr>
        <w:kinsoku/>
        <w:autoSpaceDE/>
        <w:autoSpaceDN/>
        <w:adjustRightInd/>
        <w:snapToGrid/>
        <w:spacing w:line="360" w:lineRule="auto"/>
        <w:ind w:firstLine="562"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eastAsia="仿宋_GB2312"/>
          <w:b/>
          <w:bCs/>
          <w:sz w:val="28"/>
          <w:szCs w:val="28"/>
        </w:rPr>
        <w:t xml:space="preserve">第十二条  </w:t>
      </w:r>
      <w:r>
        <w:rPr>
          <w:rFonts w:hint="eastAsia" w:ascii="仿宋_GB2312" w:hAnsi="Times New Roman" w:eastAsia="仿宋_GB2312" w:cs="Times New Roman"/>
          <w:snapToGrid/>
          <w:sz w:val="28"/>
          <w:szCs w:val="28"/>
          <w:lang w:eastAsia="zh-CN"/>
        </w:rPr>
        <w:t>进出本渔港的渔业船舶，驻港监督管理机构须对其渔业船员的持证情况、任职资格和资历、履职情况、安全记录等进行监督检查，必要时需对船员等进行现场核验。</w:t>
      </w:r>
    </w:p>
    <w:p>
      <w:pPr>
        <w:kinsoku/>
        <w:autoSpaceDE/>
        <w:autoSpaceDN/>
        <w:adjustRightInd/>
        <w:snapToGrid/>
        <w:spacing w:line="360" w:lineRule="auto"/>
        <w:ind w:firstLine="562"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eastAsia="仿宋_GB2312"/>
          <w:b/>
          <w:bCs/>
          <w:color w:val="000000" w:themeColor="text1"/>
          <w:sz w:val="28"/>
          <w:szCs w:val="28"/>
          <w:lang w:eastAsia="zh-CN"/>
          <w14:textFill>
            <w14:solidFill>
              <w14:schemeClr w14:val="tx1"/>
            </w14:solidFill>
          </w14:textFill>
        </w:rPr>
        <w:t xml:space="preserve">第十三条 </w:t>
      </w:r>
      <w:r>
        <w:rPr>
          <w:rFonts w:hint="eastAsia" w:ascii="仿宋_GB2312" w:hAnsi="Times New Roman" w:eastAsia="仿宋_GB2312" w:cs="Times New Roman"/>
          <w:snapToGrid/>
          <w:sz w:val="28"/>
          <w:szCs w:val="28"/>
          <w:lang w:eastAsia="zh-CN"/>
        </w:rPr>
        <w:t xml:space="preserve"> 港澳台渔船进出本渔港，除按规定接受联检以外，应遵守本港章的管理规定，并服从驻港监督管理机构的管理。</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外国籍船舶及非渔业船舶进出本渔港的按照国家有关规定执行。</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获准来港的外国籍渔船和港、澳、台地区渔船必须在港内指定的地区停泊。在港其他船和人员，未经批准，不得傍靠和登船。</w:t>
      </w:r>
    </w:p>
    <w:p>
      <w:pPr>
        <w:keepNext w:val="0"/>
        <w:keepLines w:val="0"/>
        <w:pageBreakBefore w:val="0"/>
        <w:widowControl w:val="0"/>
        <w:kinsoku/>
        <w:wordWrap/>
        <w:overflowPunct/>
        <w:topLinePunct w:val="0"/>
        <w:autoSpaceDE w:val="0"/>
        <w:autoSpaceDN w:val="0"/>
        <w:bidi w:val="0"/>
        <w:adjustRightInd w:val="0"/>
        <w:snapToGrid w:val="0"/>
        <w:spacing w:before="312" w:beforeLines="100" w:after="312" w:afterLines="100"/>
        <w:ind w:firstLine="0" w:firstLineChars="0"/>
        <w:jc w:val="center"/>
        <w:textAlignment w:val="baseline"/>
        <w:outlineLvl w:val="0"/>
        <w:rPr>
          <w:rFonts w:hint="eastAsia" w:ascii="黑体" w:hAnsi="黑体" w:eastAsia="黑体" w:cs="Arial"/>
          <w:b/>
          <w:bCs/>
          <w:sz w:val="28"/>
          <w:szCs w:val="28"/>
          <w:lang w:eastAsia="zh-CN"/>
        </w:rPr>
      </w:pPr>
      <w:r>
        <w:rPr>
          <w:rFonts w:hint="eastAsia" w:ascii="黑体" w:hAnsi="黑体" w:eastAsia="黑体" w:cs="Arial"/>
          <w:b/>
          <w:bCs/>
          <w:sz w:val="28"/>
          <w:szCs w:val="28"/>
          <w:lang w:eastAsia="zh-CN"/>
        </w:rPr>
        <w:t>第</w:t>
      </w:r>
      <w:r>
        <w:rPr>
          <w:rFonts w:hint="eastAsia" w:ascii="黑体" w:hAnsi="黑体" w:eastAsia="黑体" w:cs="Arial"/>
          <w:b/>
          <w:bCs/>
          <w:sz w:val="28"/>
          <w:szCs w:val="28"/>
          <w:lang w:val="en-US" w:eastAsia="zh-CN"/>
        </w:rPr>
        <w:t>四</w:t>
      </w:r>
      <w:r>
        <w:rPr>
          <w:rFonts w:hint="eastAsia" w:ascii="黑体" w:hAnsi="黑体" w:eastAsia="黑体" w:cs="Arial"/>
          <w:b/>
          <w:bCs/>
          <w:sz w:val="28"/>
          <w:szCs w:val="28"/>
          <w:lang w:eastAsia="zh-CN"/>
        </w:rPr>
        <w:t>章  渔港港区管理</w:t>
      </w:r>
    </w:p>
    <w:p>
      <w:pPr>
        <w:widowControl w:val="0"/>
        <w:kinsoku/>
        <w:spacing w:line="360" w:lineRule="auto"/>
        <w:ind w:firstLine="562" w:firstLineChars="200"/>
        <w:outlineLvl w:val="1"/>
        <w:rPr>
          <w:rFonts w:ascii="仿宋_GB2312" w:hAnsi="仿宋_GB2312" w:eastAsia="仿宋_GB2312" w:cs="仿宋_GB2312"/>
          <w:spacing w:val="4"/>
          <w:sz w:val="28"/>
          <w:szCs w:val="28"/>
          <w:lang w:eastAsia="zh-CN"/>
        </w:rPr>
      </w:pPr>
      <w:r>
        <w:rPr>
          <w:rFonts w:hint="eastAsia" w:ascii="仿宋_GB2312" w:eastAsia="仿宋_GB2312"/>
          <w:b/>
          <w:bCs/>
          <w:color w:val="000000" w:themeColor="text1"/>
          <w:sz w:val="28"/>
          <w:szCs w:val="28"/>
          <w14:textFill>
            <w14:solidFill>
              <w14:schemeClr w14:val="tx1"/>
            </w14:solidFill>
          </w14:textFill>
        </w:rPr>
        <w:t>第十四条</w:t>
      </w:r>
      <w:r>
        <w:rPr>
          <w:rFonts w:hint="eastAsia" w:ascii="仿宋_GB2312" w:eastAsia="仿宋_GB2312"/>
          <w:sz w:val="28"/>
          <w:szCs w:val="28"/>
        </w:rPr>
        <w:t xml:space="preserve">  </w:t>
      </w:r>
      <w:r>
        <w:rPr>
          <w:rFonts w:hint="eastAsia" w:ascii="仿宋_GB2312" w:hAnsi="仿宋_GB2312" w:eastAsia="仿宋_GB2312" w:cs="仿宋_GB2312"/>
          <w:spacing w:val="4"/>
          <w:sz w:val="28"/>
          <w:szCs w:val="28"/>
          <w:lang w:eastAsia="zh-CN"/>
        </w:rPr>
        <w:t>渔港港区设置管理</w:t>
      </w:r>
    </w:p>
    <w:p>
      <w:pPr>
        <w:kinsoku/>
        <w:autoSpaceDE/>
        <w:autoSpaceDN/>
        <w:adjustRightInd/>
        <w:snapToGrid/>
        <w:spacing w:line="360" w:lineRule="auto"/>
        <w:ind w:firstLine="560" w:firstLineChars="200"/>
        <w:jc w:val="left"/>
        <w:textAlignment w:val="auto"/>
        <w:rPr>
          <w:rFonts w:hint="eastAsia" w:ascii="仿宋_GB2312" w:hAnsi="Times New Roman" w:eastAsia="仿宋_GB2312" w:cs="Times New Roman"/>
          <w:snapToGrid/>
          <w:sz w:val="28"/>
          <w:szCs w:val="28"/>
          <w:lang w:eastAsia="zh-CN"/>
        </w:rPr>
      </w:pPr>
      <w:r>
        <w:rPr>
          <w:rFonts w:hint="eastAsia" w:ascii="仿宋_GB2312" w:hAnsi="Times New Roman" w:eastAsia="仿宋_GB2312" w:cs="Times New Roman"/>
          <w:snapToGrid/>
          <w:sz w:val="28"/>
          <w:szCs w:val="28"/>
          <w:lang w:eastAsia="zh-CN"/>
        </w:rPr>
        <w:t>本渔港港区及锚地的设置、划分和调整，由岱山县渔业行政主管部门</w:t>
      </w:r>
      <w:r>
        <w:rPr>
          <w:rFonts w:hint="eastAsia" w:ascii="仿宋_GB2312" w:eastAsia="仿宋_GB2312" w:cs="Times New Roman"/>
          <w:snapToGrid/>
          <w:sz w:val="28"/>
          <w:szCs w:val="28"/>
          <w:lang w:val="en-US" w:eastAsia="zh-CN"/>
        </w:rPr>
        <w:t>提出，上报岱山县人民政府，由岱山县人民政府</w:t>
      </w:r>
      <w:r>
        <w:rPr>
          <w:rFonts w:hint="eastAsia" w:ascii="仿宋_GB2312" w:hAnsi="Times New Roman" w:eastAsia="仿宋_GB2312" w:cs="Times New Roman"/>
          <w:snapToGrid/>
          <w:sz w:val="28"/>
          <w:szCs w:val="28"/>
          <w:lang w:eastAsia="zh-CN"/>
        </w:rPr>
        <w:t>确定。</w:t>
      </w:r>
    </w:p>
    <w:p>
      <w:pPr>
        <w:widowControl w:val="0"/>
        <w:kinsoku/>
        <w:spacing w:line="360" w:lineRule="auto"/>
        <w:ind w:firstLine="480"/>
        <w:outlineLvl w:val="1"/>
        <w:rPr>
          <w:sz w:val="28"/>
          <w:szCs w:val="28"/>
          <w:lang w:eastAsia="zh-CN"/>
        </w:rPr>
      </w:pPr>
      <w:r>
        <w:rPr>
          <w:rFonts w:hint="eastAsia" w:ascii="仿宋_GB2312" w:eastAsia="仿宋_GB2312"/>
          <w:b/>
          <w:bCs/>
          <w:color w:val="000000" w:themeColor="text1"/>
          <w:sz w:val="28"/>
          <w:szCs w:val="28"/>
          <w14:textFill>
            <w14:solidFill>
              <w14:schemeClr w14:val="tx1"/>
            </w14:solidFill>
          </w14:textFill>
        </w:rPr>
        <w:t xml:space="preserve">第十五条 </w:t>
      </w:r>
      <w:r>
        <w:rPr>
          <w:rFonts w:hint="eastAsia" w:ascii="仿宋_GB2312" w:eastAsia="仿宋_GB2312"/>
          <w:sz w:val="28"/>
          <w:szCs w:val="28"/>
        </w:rPr>
        <w:t xml:space="preserve"> </w:t>
      </w:r>
      <w:r>
        <w:rPr>
          <w:rFonts w:hint="eastAsia" w:ascii="仿宋_GB2312" w:hAnsi="仿宋_GB2312" w:eastAsia="仿宋_GB2312" w:cs="仿宋_GB2312"/>
          <w:spacing w:val="4"/>
          <w:sz w:val="28"/>
          <w:szCs w:val="28"/>
          <w:lang w:eastAsia="zh-CN"/>
        </w:rPr>
        <w:t>渔港公用设施管理</w:t>
      </w:r>
    </w:p>
    <w:p>
      <w:pPr>
        <w:widowControl w:val="0"/>
        <w:kinsoku/>
        <w:spacing w:line="360" w:lineRule="auto"/>
        <w:ind w:firstLine="560" w:firstLineChars="200"/>
        <w:jc w:val="both"/>
        <w:rPr>
          <w:rFonts w:hint="eastAsia" w:ascii="仿宋_GB2312" w:eastAsia="仿宋_GB2312"/>
          <w:sz w:val="28"/>
          <w:szCs w:val="28"/>
        </w:rPr>
      </w:pPr>
      <w:r>
        <w:rPr>
          <w:rFonts w:hint="eastAsia" w:ascii="仿宋_GB2312" w:eastAsia="仿宋_GB2312"/>
          <w:sz w:val="28"/>
          <w:szCs w:val="28"/>
        </w:rPr>
        <w:t>在本渔港内新建、改建、扩建各种设施，或者进行其他水上、水下施工作业，除依照国家规定履行审批手续外，应当报请渔港监督管理机构备案并事先发布航行通告。</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lang w:eastAsia="zh-CN"/>
        </w:rPr>
        <w:t>擅自设置、侵占、损坏并影响渔港安全设施的，由渔港监督管理机构会商各职能部门，依法责令限期内拆除或清理并承担赔偿责任。</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84" w:firstLineChars="200"/>
        <w:textAlignment w:val="baseline"/>
        <w:outlineLvl w:val="1"/>
        <w:rPr>
          <w:rFonts w:hint="eastAsia"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val="en-US" w:eastAsia="zh-CN"/>
        </w:rPr>
        <w:t>不得</w:t>
      </w:r>
      <w:r>
        <w:rPr>
          <w:rFonts w:hint="eastAsia" w:ascii="Times New Roman" w:hAnsi="Times New Roman" w:eastAsia="仿宋_GB2312" w:cs="Times New Roman"/>
          <w:spacing w:val="6"/>
          <w:sz w:val="28"/>
          <w:szCs w:val="28"/>
          <w:lang w:eastAsia="zh-CN"/>
        </w:rPr>
        <w:t>在本渔港内进行可能危及渔港安全的采掘、爆破等活动，因工程建设等确需进行的，必须进行相应的安全评估，采取必要的安全防护措施，并报</w:t>
      </w:r>
      <w:r>
        <w:rPr>
          <w:rFonts w:hint="eastAsia" w:ascii="仿宋_GB2312" w:eastAsia="仿宋_GB2312"/>
          <w:sz w:val="28"/>
          <w:szCs w:val="28"/>
        </w:rPr>
        <w:t>渔港监督管理机构</w:t>
      </w:r>
      <w:r>
        <w:rPr>
          <w:rFonts w:hint="eastAsia" w:ascii="Times New Roman" w:hAnsi="Times New Roman" w:eastAsia="仿宋_GB2312" w:cs="Times New Roman"/>
          <w:spacing w:val="6"/>
          <w:sz w:val="28"/>
          <w:szCs w:val="28"/>
          <w:lang w:eastAsia="zh-CN"/>
        </w:rPr>
        <w:t>批准。</w:t>
      </w:r>
    </w:p>
    <w:p>
      <w:pPr>
        <w:widowControl w:val="0"/>
        <w:kinsoku/>
        <w:spacing w:line="360" w:lineRule="auto"/>
        <w:ind w:firstLine="562" w:firstLineChars="200"/>
        <w:outlineLvl w:val="1"/>
        <w:rPr>
          <w:sz w:val="28"/>
          <w:szCs w:val="28"/>
          <w:lang w:eastAsia="zh-CN"/>
        </w:rPr>
      </w:pPr>
      <w:r>
        <w:rPr>
          <w:rFonts w:hint="eastAsia" w:ascii="仿宋_GB2312" w:eastAsia="仿宋_GB2312"/>
          <w:b/>
          <w:bCs/>
          <w:color w:val="000000" w:themeColor="text1"/>
          <w:sz w:val="28"/>
          <w:szCs w:val="28"/>
          <w14:textFill>
            <w14:solidFill>
              <w14:schemeClr w14:val="tx1"/>
            </w14:solidFill>
          </w14:textFill>
        </w:rPr>
        <w:t>第十六条</w:t>
      </w:r>
      <w:r>
        <w:rPr>
          <w:rFonts w:hint="eastAsia" w:ascii="仿宋_GB2312" w:eastAsia="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spacing w:val="4"/>
          <w:sz w:val="28"/>
          <w:szCs w:val="28"/>
          <w:lang w:eastAsia="zh-CN"/>
        </w:rPr>
        <w:t>捕捞渔获物上岸管理</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lang w:eastAsia="zh-CN"/>
        </w:rPr>
        <w:t>本渔港实施捕捞渔获物定点上岸管理制度。定点上岸码头的设置、划分和调整，由岱山县渔业行政主管部门根据港区码头分布、渔民交易习惯情况而确定。</w:t>
      </w:r>
    </w:p>
    <w:p>
      <w:pPr>
        <w:widowControl w:val="0"/>
        <w:kinsoku/>
        <w:spacing w:line="360" w:lineRule="auto"/>
        <w:ind w:firstLine="562" w:firstLineChars="200"/>
        <w:outlineLvl w:val="1"/>
        <w:rPr>
          <w:sz w:val="28"/>
          <w:szCs w:val="28"/>
          <w:lang w:eastAsia="zh-CN"/>
        </w:rPr>
      </w:pPr>
      <w:r>
        <w:rPr>
          <w:rFonts w:hint="eastAsia" w:ascii="仿宋_GB2312" w:eastAsia="仿宋_GB2312"/>
          <w:b/>
          <w:bCs/>
          <w:color w:val="000000" w:themeColor="text1"/>
          <w:sz w:val="28"/>
          <w:szCs w:val="28"/>
          <w14:textFill>
            <w14:solidFill>
              <w14:schemeClr w14:val="tx1"/>
            </w14:solidFill>
          </w14:textFill>
        </w:rPr>
        <w:t xml:space="preserve">第十七条 </w:t>
      </w:r>
      <w:r>
        <w:rPr>
          <w:rFonts w:hint="eastAsia" w:ascii="仿宋_GB2312" w:eastAsia="仿宋_GB2312"/>
          <w:sz w:val="28"/>
          <w:szCs w:val="28"/>
        </w:rPr>
        <w:t xml:space="preserve"> </w:t>
      </w:r>
      <w:r>
        <w:rPr>
          <w:rFonts w:hint="eastAsia" w:ascii="仿宋_GB2312" w:hAnsi="仿宋_GB2312" w:eastAsia="仿宋_GB2312" w:cs="仿宋_GB2312"/>
          <w:spacing w:val="4"/>
          <w:sz w:val="28"/>
          <w:szCs w:val="28"/>
          <w:lang w:eastAsia="zh-CN"/>
        </w:rPr>
        <w:t>港区装卸作业管理</w:t>
      </w:r>
    </w:p>
    <w:p>
      <w:pPr>
        <w:widowControl w:val="0"/>
        <w:kinsoku/>
        <w:spacing w:line="360" w:lineRule="auto"/>
        <w:ind w:firstLine="576" w:firstLineChars="200"/>
        <w:jc w:val="both"/>
        <w:rPr>
          <w:rFonts w:ascii="仿宋_GB2312" w:hAnsi="仿宋_GB2312" w:eastAsia="仿宋_GB2312" w:cs="仿宋_GB2312"/>
          <w:spacing w:val="4"/>
          <w:sz w:val="28"/>
          <w:szCs w:val="28"/>
          <w:lang w:eastAsia="zh-CN"/>
        </w:rPr>
      </w:pPr>
      <w:r>
        <w:rPr>
          <w:rFonts w:hint="eastAsia" w:ascii="仿宋_GB2312" w:hAnsi="仿宋_GB2312" w:eastAsia="仿宋_GB2312" w:cs="仿宋_GB2312"/>
          <w:spacing w:val="4"/>
          <w:sz w:val="28"/>
          <w:szCs w:val="28"/>
          <w:lang w:eastAsia="zh-CN"/>
        </w:rPr>
        <w:t>在本渔港进行装卸作业的渔业船舶，应在规定的区域和码头进行有序装卸和运输。其他进入渔港码头和渔港设施的车辆或人员，应当服从</w:t>
      </w:r>
      <w:r>
        <w:rPr>
          <w:rFonts w:hint="eastAsia" w:ascii="仿宋_GB2312" w:eastAsia="仿宋_GB2312"/>
          <w:color w:val="000000" w:themeColor="text1"/>
          <w:sz w:val="28"/>
          <w:szCs w:val="28"/>
          <w14:textFill>
            <w14:solidFill>
              <w14:schemeClr w14:val="tx1"/>
            </w14:solidFill>
          </w14:textFill>
        </w:rPr>
        <w:t>驻港监督管理机构</w:t>
      </w:r>
      <w:r>
        <w:rPr>
          <w:rFonts w:hint="eastAsia" w:ascii="仿宋_GB2312" w:hAnsi="仿宋_GB2312" w:eastAsia="仿宋_GB2312" w:cs="仿宋_GB2312"/>
          <w:spacing w:val="4"/>
          <w:sz w:val="28"/>
          <w:szCs w:val="28"/>
          <w:lang w:eastAsia="zh-CN"/>
        </w:rPr>
        <w:t>的指挥调度。</w:t>
      </w:r>
    </w:p>
    <w:p>
      <w:pPr>
        <w:widowControl w:val="0"/>
        <w:kinsoku/>
        <w:spacing w:line="360" w:lineRule="auto"/>
        <w:ind w:firstLine="562" w:firstLineChars="200"/>
        <w:outlineLvl w:val="1"/>
        <w:rPr>
          <w:b/>
          <w:bCs/>
          <w:color w:val="000000" w:themeColor="text1"/>
          <w:sz w:val="28"/>
          <w:szCs w:val="28"/>
          <w:lang w:eastAsia="zh-CN"/>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第十八条</w:t>
      </w:r>
      <w:r>
        <w:rPr>
          <w:rFonts w:hint="eastAsia" w:ascii="仿宋_GB2312" w:eastAsia="仿宋_GB2312"/>
          <w:sz w:val="28"/>
          <w:szCs w:val="28"/>
        </w:rPr>
        <w:t xml:space="preserve">  </w:t>
      </w:r>
      <w:r>
        <w:rPr>
          <w:rFonts w:hint="eastAsia" w:ascii="仿宋_GB2312" w:hAnsi="仿宋_GB2312" w:eastAsia="仿宋_GB2312" w:cs="仿宋_GB2312"/>
          <w:spacing w:val="4"/>
          <w:sz w:val="28"/>
          <w:szCs w:val="28"/>
          <w:lang w:eastAsia="zh-CN"/>
        </w:rPr>
        <w:t>渔业船舶靠泊管理</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大型渔业船舶（船长24米及以上）在码头并泊，</w:t>
      </w:r>
      <w:r>
        <w:rPr>
          <w:rFonts w:hint="eastAsia" w:eastAsia="仿宋_GB2312" w:cs="Times New Roman"/>
          <w:spacing w:val="6"/>
          <w:sz w:val="28"/>
          <w:szCs w:val="28"/>
          <w:lang w:val="en-US" w:eastAsia="zh-CN"/>
        </w:rPr>
        <w:t>需有序靠泊，确保安全</w:t>
      </w:r>
      <w:r>
        <w:rPr>
          <w:rFonts w:hint="eastAsia" w:ascii="Times New Roman" w:hAnsi="Times New Roman" w:eastAsia="仿宋_GB2312" w:cs="Times New Roman"/>
          <w:spacing w:val="6"/>
          <w:sz w:val="28"/>
          <w:szCs w:val="28"/>
          <w:lang w:eastAsia="zh-CN"/>
        </w:rPr>
        <w:t>；如有特殊情况，由</w:t>
      </w:r>
      <w:r>
        <w:rPr>
          <w:rFonts w:hint="eastAsia" w:ascii="仿宋_GB2312" w:eastAsia="仿宋_GB2312"/>
          <w:sz w:val="28"/>
          <w:szCs w:val="28"/>
        </w:rPr>
        <w:t>驻港监督管理机构</w:t>
      </w:r>
      <w:r>
        <w:rPr>
          <w:rFonts w:hint="eastAsia" w:ascii="Times New Roman" w:hAnsi="Times New Roman" w:eastAsia="仿宋_GB2312" w:cs="Times New Roman"/>
          <w:spacing w:val="6"/>
          <w:sz w:val="28"/>
          <w:szCs w:val="28"/>
          <w:lang w:eastAsia="zh-CN"/>
        </w:rPr>
        <w:t>统一安排靠泊。装卸或补给完毕后，渔业船舶应及时离开码头；遇有特殊原因，需经</w:t>
      </w:r>
      <w:r>
        <w:rPr>
          <w:rFonts w:hint="eastAsia" w:eastAsia="仿宋_GB2312" w:cs="Times New Roman"/>
          <w:spacing w:val="6"/>
          <w:sz w:val="28"/>
          <w:szCs w:val="28"/>
          <w:lang w:val="en-US" w:eastAsia="zh-CN"/>
        </w:rPr>
        <w:t>驻港监督管理机构</w:t>
      </w:r>
      <w:r>
        <w:rPr>
          <w:rFonts w:hint="eastAsia" w:ascii="Times New Roman" w:hAnsi="Times New Roman" w:eastAsia="仿宋_GB2312" w:cs="Times New Roman"/>
          <w:spacing w:val="6"/>
          <w:sz w:val="28"/>
          <w:szCs w:val="28"/>
          <w:lang w:eastAsia="zh-CN"/>
        </w:rPr>
        <w:t>批准后方可延长靠泊时间。</w:t>
      </w:r>
    </w:p>
    <w:p>
      <w:pPr>
        <w:widowControl w:val="0"/>
        <w:kinsoku/>
        <w:spacing w:line="360" w:lineRule="auto"/>
        <w:ind w:firstLine="562" w:firstLineChars="200"/>
        <w:outlineLvl w:val="1"/>
        <w:rPr>
          <w:rFonts w:ascii="仿宋_GB2312" w:hAnsi="仿宋_GB2312" w:eastAsia="仿宋_GB2312" w:cs="仿宋_GB2312"/>
          <w:spacing w:val="4"/>
          <w:sz w:val="28"/>
          <w:szCs w:val="28"/>
          <w:lang w:eastAsia="zh-CN"/>
        </w:rPr>
      </w:pPr>
      <w:r>
        <w:rPr>
          <w:rFonts w:eastAsia="仿宋_GB2312"/>
          <w:b/>
          <w:bCs/>
          <w:color w:val="000000" w:themeColor="text1"/>
          <w:sz w:val="28"/>
          <w:szCs w:val="28"/>
          <w14:textFill>
            <w14:solidFill>
              <w14:schemeClr w14:val="tx1"/>
            </w14:solidFill>
          </w14:textFill>
        </w:rPr>
        <w:t>第十九条</w:t>
      </w:r>
      <w:r>
        <w:rPr>
          <w:rFonts w:hint="eastAsia" w:ascii="仿宋_GB2312" w:hAnsi="仿宋_GB2312" w:eastAsia="仿宋_GB2312" w:cs="仿宋_GB2312"/>
          <w:spacing w:val="4"/>
          <w:sz w:val="28"/>
          <w:szCs w:val="28"/>
          <w:lang w:eastAsia="zh-CN"/>
        </w:rPr>
        <w:t xml:space="preserve">  渔业船舶锚泊管理</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渔业船舶在本渔港港区或锚地停泊、锚泊的，应遵守驻港监督管理机构的有关要求，且应留有值守船员，确保在任何情况下可正常移泊、航行。紧急疏散时须服从驻港监督管理机构的现场调度和管理。</w:t>
      </w:r>
    </w:p>
    <w:p>
      <w:pPr>
        <w:widowControl w:val="0"/>
        <w:kinsoku/>
        <w:spacing w:line="360" w:lineRule="auto"/>
        <w:ind w:firstLine="562" w:firstLineChars="200"/>
        <w:outlineLvl w:val="1"/>
        <w:rPr>
          <w:sz w:val="28"/>
          <w:szCs w:val="28"/>
          <w:lang w:eastAsia="zh-CN"/>
        </w:rPr>
      </w:pPr>
      <w:r>
        <w:rPr>
          <w:rFonts w:eastAsia="仿宋_GB2312"/>
          <w:b/>
          <w:bCs/>
          <w:color w:val="000000" w:themeColor="text1"/>
          <w:sz w:val="28"/>
          <w:szCs w:val="28"/>
          <w14:textFill>
            <w14:solidFill>
              <w14:schemeClr w14:val="tx1"/>
            </w14:solidFill>
          </w14:textFill>
        </w:rPr>
        <w:t>第二十条</w:t>
      </w:r>
      <w:r>
        <w:rPr>
          <w:rFonts w:hint="eastAsia" w:ascii="仿宋_GB2312" w:hAnsi="仿宋_GB2312" w:eastAsia="仿宋_GB2312" w:cs="仿宋_GB2312"/>
          <w:spacing w:val="4"/>
          <w:sz w:val="28"/>
          <w:szCs w:val="28"/>
          <w:lang w:eastAsia="zh-CN"/>
        </w:rPr>
        <w:t xml:space="preserve">  危化物装卸作业</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在本渔港内装卸易燃、易爆、有毒等危害品的，必须遵守国家关于危化物管理的规定，并事先向</w:t>
      </w:r>
      <w:r>
        <w:rPr>
          <w:rFonts w:hint="eastAsia" w:eastAsia="仿宋_GB2312" w:cs="Times New Roman"/>
          <w:spacing w:val="6"/>
          <w:sz w:val="28"/>
          <w:szCs w:val="28"/>
          <w:lang w:val="en-US" w:eastAsia="zh-CN"/>
        </w:rPr>
        <w:t>应急管理部门</w:t>
      </w:r>
      <w:r>
        <w:rPr>
          <w:rFonts w:hint="eastAsia" w:ascii="Times New Roman" w:hAnsi="Times New Roman" w:eastAsia="仿宋_GB2312" w:cs="Times New Roman"/>
          <w:spacing w:val="6"/>
          <w:sz w:val="28"/>
          <w:szCs w:val="28"/>
          <w:lang w:eastAsia="zh-CN"/>
        </w:rPr>
        <w:t>提出申请，经批准后</w:t>
      </w:r>
      <w:r>
        <w:rPr>
          <w:rFonts w:hint="eastAsia" w:eastAsia="仿宋_GB2312" w:cs="Times New Roman"/>
          <w:spacing w:val="6"/>
          <w:sz w:val="28"/>
          <w:szCs w:val="28"/>
          <w:lang w:val="en-US" w:eastAsia="zh-CN"/>
        </w:rPr>
        <w:t>向渔港监督管理机构报备，并</w:t>
      </w:r>
      <w:r>
        <w:rPr>
          <w:rFonts w:hint="eastAsia" w:ascii="Times New Roman" w:hAnsi="Times New Roman" w:eastAsia="仿宋_GB2312" w:cs="Times New Roman"/>
          <w:spacing w:val="6"/>
          <w:sz w:val="28"/>
          <w:szCs w:val="28"/>
          <w:lang w:eastAsia="zh-CN"/>
        </w:rPr>
        <w:t>在指定的安全地点装卸。</w:t>
      </w:r>
    </w:p>
    <w:p>
      <w:pPr>
        <w:spacing w:line="360" w:lineRule="auto"/>
        <w:ind w:firstLine="560" w:firstLineChars="200"/>
        <w:rPr>
          <w:rFonts w:hint="eastAsia" w:ascii="仿宋_GB2312" w:eastAsia="仿宋_GB2312"/>
          <w:sz w:val="28"/>
          <w:szCs w:val="28"/>
        </w:rPr>
      </w:pPr>
      <w:r>
        <w:rPr>
          <w:rFonts w:hint="eastAsia" w:ascii="仿宋_GB2312" w:eastAsia="仿宋_GB2312"/>
          <w:sz w:val="28"/>
          <w:szCs w:val="28"/>
        </w:rPr>
        <w:t>本渔港陆域的供油设施，包括但不限于石油供应站、点等，应当具备相应资质，符合危化物安全管理要求，不得在渔港区域从事非法加油活动。</w:t>
      </w:r>
    </w:p>
    <w:p>
      <w:pPr>
        <w:spacing w:line="360" w:lineRule="auto"/>
        <w:ind w:firstLine="560" w:firstLineChars="200"/>
        <w:rPr>
          <w:rFonts w:hint="eastAsia" w:ascii="仿宋_GB2312" w:eastAsia="仿宋_GB2312"/>
          <w:sz w:val="28"/>
          <w:szCs w:val="28"/>
        </w:rPr>
      </w:pPr>
      <w:r>
        <w:rPr>
          <w:rFonts w:hint="eastAsia" w:ascii="仿宋_GB2312" w:eastAsia="仿宋_GB2312"/>
          <w:sz w:val="28"/>
          <w:szCs w:val="28"/>
        </w:rPr>
        <w:t>对在本渔港水域内从事加油作业船舶的安全监管，应参照国家交通、应急管理等有关部门有关港口危化物安全监督管理的要求，由驻港监督管理机构、国家交通、应急管理等相关部门根据各自职能负责。</w:t>
      </w:r>
    </w:p>
    <w:p>
      <w:pPr>
        <w:keepNext w:val="0"/>
        <w:keepLines w:val="0"/>
        <w:pageBreakBefore w:val="0"/>
        <w:widowControl w:val="0"/>
        <w:kinsoku/>
        <w:wordWrap/>
        <w:overflowPunct/>
        <w:topLinePunct w:val="0"/>
        <w:autoSpaceDE w:val="0"/>
        <w:autoSpaceDN w:val="0"/>
        <w:bidi w:val="0"/>
        <w:adjustRightInd w:val="0"/>
        <w:snapToGrid w:val="0"/>
        <w:spacing w:before="312" w:beforeLines="100" w:after="312" w:afterLines="100"/>
        <w:ind w:firstLine="0" w:firstLineChars="0"/>
        <w:jc w:val="center"/>
        <w:textAlignment w:val="baseline"/>
        <w:outlineLvl w:val="0"/>
        <w:rPr>
          <w:rFonts w:hint="eastAsia" w:ascii="黑体" w:hAnsi="黑体" w:eastAsia="黑体" w:cs="Arial"/>
          <w:b/>
          <w:bCs/>
          <w:sz w:val="28"/>
          <w:szCs w:val="28"/>
          <w:lang w:eastAsia="zh-CN"/>
        </w:rPr>
      </w:pPr>
      <w:r>
        <w:rPr>
          <w:rFonts w:hint="eastAsia" w:ascii="黑体" w:hAnsi="黑体" w:eastAsia="黑体" w:cs="Arial"/>
          <w:b/>
          <w:bCs/>
          <w:sz w:val="28"/>
          <w:szCs w:val="28"/>
          <w:lang w:eastAsia="zh-CN"/>
        </w:rPr>
        <w:t>第</w:t>
      </w:r>
      <w:r>
        <w:rPr>
          <w:rFonts w:hint="eastAsia" w:ascii="黑体" w:hAnsi="黑体" w:eastAsia="黑体" w:cs="Arial"/>
          <w:b/>
          <w:bCs/>
          <w:sz w:val="28"/>
          <w:szCs w:val="28"/>
          <w:lang w:val="en-US" w:eastAsia="zh-CN"/>
        </w:rPr>
        <w:t>五</w:t>
      </w:r>
      <w:r>
        <w:rPr>
          <w:rFonts w:hint="eastAsia" w:ascii="黑体" w:hAnsi="黑体" w:eastAsia="黑体" w:cs="Arial"/>
          <w:b/>
          <w:bCs/>
          <w:sz w:val="28"/>
          <w:szCs w:val="28"/>
          <w:lang w:eastAsia="zh-CN"/>
        </w:rPr>
        <w:t>章  渔港环境保护</w:t>
      </w:r>
    </w:p>
    <w:p>
      <w:pPr>
        <w:widowControl w:val="0"/>
        <w:kinsoku/>
        <w:spacing w:line="360" w:lineRule="auto"/>
        <w:ind w:firstLine="480"/>
        <w:outlineLvl w:val="1"/>
        <w:rPr>
          <w:sz w:val="28"/>
          <w:szCs w:val="28"/>
          <w:lang w:eastAsia="zh-CN"/>
        </w:rPr>
      </w:pPr>
      <w:r>
        <w:rPr>
          <w:rFonts w:eastAsia="仿宋_GB2312"/>
          <w:b/>
          <w:bCs/>
          <w:color w:val="000000" w:themeColor="text1"/>
          <w:sz w:val="28"/>
          <w:szCs w:val="28"/>
          <w14:textFill>
            <w14:solidFill>
              <w14:schemeClr w14:val="tx1"/>
            </w14:solidFill>
          </w14:textFill>
        </w:rPr>
        <w:t>第二十一条</w:t>
      </w:r>
      <w:r>
        <w:rPr>
          <w:rFonts w:hint="eastAsia" w:ascii="仿宋_GB2312" w:hAnsi="仿宋_GB2312" w:eastAsia="仿宋_GB2312" w:cs="仿宋_GB2312"/>
          <w:spacing w:val="4"/>
          <w:sz w:val="28"/>
          <w:szCs w:val="28"/>
          <w:lang w:eastAsia="zh-CN"/>
        </w:rPr>
        <w:t xml:space="preserve">  </w:t>
      </w:r>
      <w:r>
        <w:rPr>
          <w:rFonts w:hint="eastAsia" w:ascii="仿宋_GB2312" w:hAnsi="仿宋_GB2312" w:eastAsia="仿宋_GB2312" w:cs="仿宋_GB2312"/>
          <w:spacing w:val="4"/>
          <w:sz w:val="28"/>
          <w:szCs w:val="28"/>
          <w:lang w:val="en-US" w:eastAsia="zh-CN"/>
        </w:rPr>
        <w:t>渔</w:t>
      </w:r>
      <w:r>
        <w:rPr>
          <w:rFonts w:hint="eastAsia" w:ascii="仿宋_GB2312" w:hAnsi="仿宋_GB2312" w:eastAsia="仿宋_GB2312" w:cs="仿宋_GB2312"/>
          <w:spacing w:val="4"/>
          <w:sz w:val="28"/>
          <w:szCs w:val="28"/>
          <w:lang w:eastAsia="zh-CN"/>
        </w:rPr>
        <w:t>港环境管理</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驻港监督管理机构负责对本渔港港区环境进行监督管理，并调查处理渔业污染事件。</w:t>
      </w:r>
    </w:p>
    <w:p>
      <w:pPr>
        <w:spacing w:line="360" w:lineRule="auto"/>
        <w:ind w:firstLine="480"/>
        <w:rPr>
          <w:rFonts w:eastAsia="仿宋_GB2312"/>
          <w:sz w:val="28"/>
          <w:szCs w:val="28"/>
        </w:rPr>
      </w:pPr>
      <w:r>
        <w:rPr>
          <w:rFonts w:eastAsia="仿宋_GB2312"/>
          <w:sz w:val="28"/>
          <w:szCs w:val="28"/>
        </w:rPr>
        <w:t>在本渔港内进行生产作业、停泊、锚泊的船只和所有从事经营的单位和个人等，均应依据相关环境保护法律、行政法规</w:t>
      </w:r>
      <w:r>
        <w:rPr>
          <w:rFonts w:hint="eastAsia" w:eastAsia="仿宋_GB2312"/>
          <w:sz w:val="28"/>
          <w:szCs w:val="28"/>
          <w:lang w:val="en-US" w:eastAsia="zh-CN"/>
        </w:rPr>
        <w:t>和部门规章等</w:t>
      </w:r>
      <w:r>
        <w:rPr>
          <w:rFonts w:eastAsia="仿宋_GB2312"/>
          <w:sz w:val="28"/>
          <w:szCs w:val="28"/>
        </w:rPr>
        <w:t>要求，采取有效方法，防止对渔港环境产生污染和危害。任何单位和个人造成本渔港水域污染事故，应立即采取措施控制和消除污染，并尽快向渔港监督管理机构报告。</w:t>
      </w:r>
    </w:p>
    <w:p>
      <w:pPr>
        <w:spacing w:line="360" w:lineRule="auto"/>
        <w:ind w:firstLine="480"/>
        <w:rPr>
          <w:rFonts w:eastAsia="仿宋_GB2312"/>
          <w:sz w:val="28"/>
          <w:szCs w:val="28"/>
        </w:rPr>
      </w:pPr>
      <w:r>
        <w:rPr>
          <w:rFonts w:eastAsia="仿宋_GB2312"/>
          <w:sz w:val="28"/>
          <w:szCs w:val="28"/>
        </w:rPr>
        <w:t>经有关机构批准，在本渔港开展工程项目建设的，必须依法进行环境影响评价</w:t>
      </w:r>
      <w:r>
        <w:rPr>
          <w:rFonts w:hint="eastAsia" w:eastAsia="仿宋_GB2312"/>
          <w:sz w:val="28"/>
          <w:szCs w:val="28"/>
          <w:lang w:eastAsia="zh-CN"/>
        </w:rPr>
        <w:t>；在</w:t>
      </w:r>
      <w:r>
        <w:rPr>
          <w:rFonts w:eastAsia="仿宋_GB2312"/>
          <w:sz w:val="28"/>
          <w:szCs w:val="28"/>
        </w:rPr>
        <w:t>渔港</w:t>
      </w:r>
      <w:r>
        <w:rPr>
          <w:rFonts w:hint="eastAsia" w:eastAsia="仿宋_GB2312"/>
          <w:sz w:val="28"/>
          <w:szCs w:val="28"/>
          <w:lang w:val="en-US" w:eastAsia="zh-CN"/>
        </w:rPr>
        <w:t>内</w:t>
      </w:r>
      <w:r>
        <w:rPr>
          <w:rFonts w:eastAsia="仿宋_GB2312"/>
          <w:sz w:val="28"/>
          <w:szCs w:val="28"/>
        </w:rPr>
        <w:t>建设</w:t>
      </w:r>
      <w:r>
        <w:rPr>
          <w:rFonts w:hint="eastAsia" w:eastAsia="仿宋_GB2312"/>
          <w:sz w:val="28"/>
          <w:szCs w:val="28"/>
          <w:lang w:eastAsia="zh-CN"/>
        </w:rPr>
        <w:t>的</w:t>
      </w:r>
      <w:r>
        <w:rPr>
          <w:rFonts w:eastAsia="仿宋_GB2312"/>
          <w:sz w:val="28"/>
          <w:szCs w:val="28"/>
        </w:rPr>
        <w:t>项目的安全设施和环境保护设施，必须和主体工程同时设计、同时施工、同时投入使用。</w:t>
      </w:r>
    </w:p>
    <w:p>
      <w:pPr>
        <w:widowControl w:val="0"/>
        <w:kinsoku/>
        <w:spacing w:line="360" w:lineRule="auto"/>
        <w:ind w:firstLine="480"/>
        <w:outlineLvl w:val="1"/>
        <w:rPr>
          <w:rFonts w:eastAsia="仿宋_GB2312"/>
          <w:sz w:val="28"/>
          <w:szCs w:val="28"/>
        </w:rPr>
      </w:pPr>
      <w:r>
        <w:rPr>
          <w:rFonts w:eastAsia="仿宋_GB2312"/>
          <w:sz w:val="28"/>
          <w:szCs w:val="28"/>
        </w:rPr>
        <w:t>依照国家规定履行审批手续，在本渔港建设危化物作业场所、实施卫生除害处理专用场所的，应事先取得渔港监督管理机构同意，方可建设。</w:t>
      </w:r>
    </w:p>
    <w:p>
      <w:pPr>
        <w:widowControl w:val="0"/>
        <w:kinsoku/>
        <w:spacing w:line="360" w:lineRule="auto"/>
        <w:ind w:firstLine="480"/>
        <w:outlineLvl w:val="1"/>
        <w:rPr>
          <w:sz w:val="28"/>
          <w:szCs w:val="28"/>
          <w:lang w:eastAsia="zh-CN"/>
        </w:rPr>
      </w:pPr>
      <w:r>
        <w:rPr>
          <w:rFonts w:eastAsia="仿宋_GB2312"/>
          <w:b/>
          <w:bCs/>
          <w:color w:val="000000" w:themeColor="text1"/>
          <w:sz w:val="28"/>
          <w:szCs w:val="28"/>
          <w14:textFill>
            <w14:solidFill>
              <w14:schemeClr w14:val="tx1"/>
            </w14:solidFill>
          </w14:textFill>
        </w:rPr>
        <w:t>第二十二条</w:t>
      </w:r>
      <w:r>
        <w:rPr>
          <w:rFonts w:hint="eastAsia" w:ascii="仿宋_GB2312" w:hAnsi="仿宋_GB2312" w:eastAsia="仿宋_GB2312" w:cs="仿宋_GB2312"/>
          <w:spacing w:val="4"/>
          <w:sz w:val="28"/>
          <w:szCs w:val="28"/>
          <w:lang w:eastAsia="zh-CN"/>
        </w:rPr>
        <w:t xml:space="preserve">  船舶污染物排放控制</w:t>
      </w:r>
    </w:p>
    <w:p>
      <w:pPr>
        <w:spacing w:line="360" w:lineRule="auto"/>
        <w:ind w:firstLine="480"/>
        <w:rPr>
          <w:rFonts w:eastAsia="仿宋_GB2312"/>
          <w:sz w:val="28"/>
          <w:szCs w:val="28"/>
        </w:rPr>
      </w:pPr>
      <w:r>
        <w:rPr>
          <w:rFonts w:eastAsia="仿宋_GB2312"/>
          <w:sz w:val="28"/>
          <w:szCs w:val="28"/>
        </w:rPr>
        <w:t>需在本渔港处置渔业垃圾、生活污水、含油污水、含有毒有害物质、固体废弃物等船舶垃圾，应当在船舶靠岸后定点集中存放，交由</w:t>
      </w:r>
      <w:r>
        <w:rPr>
          <w:rFonts w:hint="eastAsia" w:eastAsia="仿宋_GB2312"/>
          <w:sz w:val="28"/>
          <w:szCs w:val="28"/>
          <w:lang w:val="en-US" w:eastAsia="zh-CN"/>
        </w:rPr>
        <w:t>岱山县</w:t>
      </w:r>
      <w:r>
        <w:rPr>
          <w:rFonts w:eastAsia="仿宋_GB2312"/>
          <w:sz w:val="28"/>
          <w:szCs w:val="28"/>
        </w:rPr>
        <w:t>渔业行政主管部门委托</w:t>
      </w:r>
      <w:r>
        <w:rPr>
          <w:rFonts w:hint="eastAsia" w:eastAsia="仿宋_GB2312"/>
          <w:sz w:val="28"/>
          <w:szCs w:val="28"/>
          <w:lang w:eastAsia="zh-CN"/>
        </w:rPr>
        <w:t>的</w:t>
      </w:r>
      <w:r>
        <w:rPr>
          <w:rFonts w:eastAsia="仿宋_GB2312"/>
          <w:sz w:val="28"/>
          <w:szCs w:val="28"/>
        </w:rPr>
        <w:t>第三方集中处置，不得随意排入本港水域。</w:t>
      </w:r>
    </w:p>
    <w:p>
      <w:pPr>
        <w:spacing w:line="360" w:lineRule="auto"/>
        <w:ind w:firstLine="480"/>
        <w:rPr>
          <w:sz w:val="28"/>
          <w:szCs w:val="28"/>
          <w:lang w:eastAsia="zh-CN"/>
        </w:rPr>
      </w:pPr>
      <w:r>
        <w:rPr>
          <w:rFonts w:eastAsia="仿宋_GB2312"/>
          <w:sz w:val="28"/>
          <w:szCs w:val="28"/>
        </w:rPr>
        <w:t>在本渔港陆域内的涉港企业产生的废弃物、污染物，依照</w:t>
      </w:r>
      <w:r>
        <w:rPr>
          <w:rFonts w:hint="eastAsia" w:eastAsia="仿宋_GB2312"/>
          <w:sz w:val="28"/>
          <w:szCs w:val="28"/>
          <w:lang w:eastAsia="zh-CN"/>
        </w:rPr>
        <w:t>“</w:t>
      </w:r>
      <w:r>
        <w:rPr>
          <w:rFonts w:eastAsia="仿宋_GB2312"/>
          <w:sz w:val="28"/>
          <w:szCs w:val="28"/>
        </w:rPr>
        <w:t>谁产生、谁负责</w:t>
      </w:r>
      <w:r>
        <w:rPr>
          <w:rFonts w:hint="eastAsia" w:eastAsia="仿宋_GB2312"/>
          <w:sz w:val="28"/>
          <w:szCs w:val="28"/>
          <w:lang w:eastAsia="zh-CN"/>
        </w:rPr>
        <w:t>”</w:t>
      </w:r>
      <w:r>
        <w:rPr>
          <w:rFonts w:eastAsia="仿宋_GB2312"/>
          <w:sz w:val="28"/>
          <w:szCs w:val="28"/>
        </w:rPr>
        <w:t>的原则进行处置。</w:t>
      </w:r>
    </w:p>
    <w:p>
      <w:pPr>
        <w:widowControl w:val="0"/>
        <w:kinsoku/>
        <w:spacing w:line="360" w:lineRule="auto"/>
        <w:ind w:firstLine="562" w:firstLineChars="200"/>
        <w:outlineLvl w:val="1"/>
        <w:rPr>
          <w:sz w:val="28"/>
          <w:szCs w:val="28"/>
          <w:lang w:eastAsia="zh-CN"/>
        </w:rPr>
      </w:pPr>
      <w:r>
        <w:rPr>
          <w:rFonts w:hint="eastAsia" w:ascii="仿宋_GB2312" w:eastAsia="仿宋_GB2312"/>
          <w:b/>
          <w:bCs/>
          <w:color w:val="000000" w:themeColor="text1"/>
          <w:sz w:val="28"/>
          <w:szCs w:val="28"/>
          <w14:textFill>
            <w14:solidFill>
              <w14:schemeClr w14:val="tx1"/>
            </w14:solidFill>
          </w14:textFill>
        </w:rPr>
        <w:t>第二十三条</w:t>
      </w:r>
      <w:r>
        <w:rPr>
          <w:rFonts w:hint="eastAsia" w:ascii="仿宋_GB2312" w:eastAsia="仿宋_GB2312"/>
          <w:sz w:val="28"/>
          <w:szCs w:val="28"/>
        </w:rPr>
        <w:t xml:space="preserve">  </w:t>
      </w:r>
      <w:r>
        <w:rPr>
          <w:rFonts w:hint="eastAsia" w:ascii="仿宋_GB2312" w:hAnsi="仿宋_GB2312" w:eastAsia="仿宋_GB2312" w:cs="仿宋_GB2312"/>
          <w:spacing w:val="4"/>
          <w:sz w:val="28"/>
          <w:szCs w:val="28"/>
          <w:lang w:eastAsia="zh-CN"/>
        </w:rPr>
        <w:t>相关作业防污染控制</w:t>
      </w:r>
    </w:p>
    <w:p>
      <w:pPr>
        <w:spacing w:line="360" w:lineRule="auto"/>
        <w:ind w:firstLine="480"/>
        <w:rPr>
          <w:rFonts w:eastAsia="仿宋_GB2312"/>
          <w:sz w:val="28"/>
          <w:szCs w:val="28"/>
        </w:rPr>
      </w:pPr>
      <w:r>
        <w:rPr>
          <w:rFonts w:eastAsia="仿宋_GB2312"/>
          <w:sz w:val="28"/>
          <w:szCs w:val="28"/>
        </w:rPr>
        <w:t>在本渔港水域内进行船舶洗舱、清舱、供油等作业的，须向驻港监督管理机构报备。作业时应按照国家规定配备防污染设备和器材，并落实有效的安全和防污染措施，并加强看守，防止出现跑、冒、滴、漏等可能污染环境情况。如发生相关情况，当事人应当及时采取措施予以清除。</w:t>
      </w:r>
    </w:p>
    <w:p>
      <w:pPr>
        <w:widowControl w:val="0"/>
        <w:kinsoku/>
        <w:spacing w:line="360" w:lineRule="auto"/>
        <w:ind w:firstLine="560" w:firstLineChars="200"/>
        <w:outlineLvl w:val="1"/>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在本渔港开展船舶打捞、拆解和其他水上水下施工作业的，应装备防污染器材，具备船舶垃圾接收、清运、消纳能力及设备。</w:t>
      </w:r>
    </w:p>
    <w:p>
      <w:pPr>
        <w:widowControl w:val="0"/>
        <w:kinsoku/>
        <w:spacing w:line="360" w:lineRule="auto"/>
        <w:ind w:firstLine="562" w:firstLineChars="200"/>
        <w:outlineLvl w:val="1"/>
        <w:rPr>
          <w:sz w:val="28"/>
          <w:szCs w:val="28"/>
          <w:lang w:eastAsia="zh-CN"/>
        </w:rPr>
      </w:pPr>
      <w:r>
        <w:rPr>
          <w:rFonts w:hint="eastAsia" w:ascii="仿宋_GB2312" w:eastAsia="仿宋_GB2312"/>
          <w:b/>
          <w:bCs/>
          <w:color w:val="000000" w:themeColor="text1"/>
          <w:sz w:val="28"/>
          <w:szCs w:val="28"/>
          <w14:textFill>
            <w14:solidFill>
              <w14:schemeClr w14:val="tx1"/>
            </w14:solidFill>
          </w14:textFill>
        </w:rPr>
        <w:t>第二十四条</w:t>
      </w:r>
      <w:r>
        <w:rPr>
          <w:rFonts w:hint="eastAsia" w:ascii="仿宋_GB2312" w:eastAsia="仿宋_GB2312"/>
          <w:sz w:val="28"/>
          <w:szCs w:val="28"/>
        </w:rPr>
        <w:t xml:space="preserve">  </w:t>
      </w:r>
      <w:r>
        <w:rPr>
          <w:rFonts w:hint="eastAsia" w:ascii="仿宋_GB2312" w:hAnsi="仿宋_GB2312" w:eastAsia="仿宋_GB2312" w:cs="仿宋_GB2312"/>
          <w:spacing w:val="4"/>
          <w:sz w:val="28"/>
          <w:szCs w:val="28"/>
          <w:lang w:eastAsia="zh-CN"/>
        </w:rPr>
        <w:t>船舶有害垃圾的接收处理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baseline"/>
        <w:rPr>
          <w:rFonts w:eastAsia="仿宋_GB2312"/>
          <w:sz w:val="28"/>
          <w:szCs w:val="28"/>
        </w:rPr>
      </w:pPr>
      <w:r>
        <w:rPr>
          <w:rFonts w:eastAsia="仿宋_GB2312"/>
          <w:sz w:val="28"/>
          <w:szCs w:val="28"/>
        </w:rPr>
        <w:t>当需要处理的船舶垃圾中含有毒有害或者其他危险成分时，船长应</w:t>
      </w:r>
      <w:r>
        <w:rPr>
          <w:rFonts w:hint="eastAsia" w:eastAsia="仿宋_GB2312"/>
          <w:sz w:val="28"/>
          <w:szCs w:val="28"/>
          <w:lang w:val="en-US" w:eastAsia="zh-CN"/>
        </w:rPr>
        <w:t>向相关部门报备，按要求进行处理</w:t>
      </w:r>
      <w:r>
        <w:rPr>
          <w:rFonts w:eastAsia="仿宋_GB2312"/>
          <w:sz w:val="28"/>
          <w:szCs w:val="28"/>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baseline"/>
        <w:rPr>
          <w:rFonts w:eastAsia="仿宋_GB2312"/>
          <w:sz w:val="28"/>
          <w:szCs w:val="28"/>
        </w:rPr>
      </w:pPr>
      <w:r>
        <w:rPr>
          <w:rFonts w:eastAsia="仿宋_GB2312"/>
          <w:sz w:val="28"/>
          <w:szCs w:val="28"/>
        </w:rPr>
        <w:t>来经疫区渔港的船舶垃圾在提交接收处理前，船长应向渔港监督管理机构报备，并向卫生防疫、检验检疫等部门提出申请，不得擅自处理。</w:t>
      </w:r>
    </w:p>
    <w:p>
      <w:pPr>
        <w:keepNext w:val="0"/>
        <w:keepLines w:val="0"/>
        <w:pageBreakBefore w:val="0"/>
        <w:widowControl w:val="0"/>
        <w:kinsoku/>
        <w:wordWrap/>
        <w:overflowPunct/>
        <w:topLinePunct w:val="0"/>
        <w:autoSpaceDE w:val="0"/>
        <w:autoSpaceDN w:val="0"/>
        <w:bidi w:val="0"/>
        <w:adjustRightInd w:val="0"/>
        <w:snapToGrid w:val="0"/>
        <w:spacing w:before="312" w:beforeLines="100" w:after="312" w:afterLines="100"/>
        <w:ind w:firstLine="0" w:firstLineChars="0"/>
        <w:jc w:val="center"/>
        <w:textAlignment w:val="baseline"/>
        <w:outlineLvl w:val="0"/>
        <w:rPr>
          <w:rFonts w:hint="eastAsia" w:ascii="黑体" w:hAnsi="黑体" w:eastAsia="黑体" w:cs="Arial"/>
          <w:b/>
          <w:bCs/>
          <w:sz w:val="28"/>
          <w:szCs w:val="28"/>
          <w:lang w:eastAsia="zh-CN"/>
        </w:rPr>
      </w:pPr>
      <w:r>
        <w:rPr>
          <w:rFonts w:hint="eastAsia" w:ascii="黑体" w:hAnsi="黑体" w:eastAsia="黑体" w:cs="Arial"/>
          <w:b/>
          <w:bCs/>
          <w:sz w:val="28"/>
          <w:szCs w:val="28"/>
          <w:lang w:eastAsia="zh-CN"/>
        </w:rPr>
        <w:t>第</w:t>
      </w:r>
      <w:r>
        <w:rPr>
          <w:rFonts w:hint="eastAsia" w:ascii="黑体" w:hAnsi="黑体" w:eastAsia="黑体" w:cs="Arial"/>
          <w:b/>
          <w:bCs/>
          <w:sz w:val="28"/>
          <w:szCs w:val="28"/>
          <w:lang w:val="en-US" w:eastAsia="zh-CN"/>
        </w:rPr>
        <w:t>六</w:t>
      </w:r>
      <w:r>
        <w:rPr>
          <w:rFonts w:hint="eastAsia" w:ascii="黑体" w:hAnsi="黑体" w:eastAsia="黑体" w:cs="Arial"/>
          <w:b/>
          <w:bCs/>
          <w:sz w:val="28"/>
          <w:szCs w:val="28"/>
          <w:lang w:eastAsia="zh-CN"/>
        </w:rPr>
        <w:t>章  渔港应急事件处理</w:t>
      </w:r>
    </w:p>
    <w:p>
      <w:pPr>
        <w:widowControl w:val="0"/>
        <w:kinsoku/>
        <w:spacing w:line="360" w:lineRule="auto"/>
        <w:ind w:firstLine="562" w:firstLineChars="200"/>
        <w:outlineLvl w:val="1"/>
        <w:rPr>
          <w:sz w:val="28"/>
          <w:szCs w:val="28"/>
          <w:lang w:eastAsia="zh-CN"/>
        </w:rPr>
      </w:pPr>
      <w:r>
        <w:rPr>
          <w:rFonts w:eastAsia="仿宋_GB2312"/>
          <w:b/>
          <w:bCs/>
          <w:color w:val="000000" w:themeColor="text1"/>
          <w:sz w:val="28"/>
          <w:szCs w:val="28"/>
          <w14:textFill>
            <w14:solidFill>
              <w14:schemeClr w14:val="tx1"/>
            </w14:solidFill>
          </w14:textFill>
        </w:rPr>
        <w:t>第二十</w:t>
      </w:r>
      <w:r>
        <w:rPr>
          <w:rFonts w:hint="eastAsia" w:eastAsia="仿宋_GB2312"/>
          <w:b/>
          <w:bCs/>
          <w:color w:val="000000" w:themeColor="text1"/>
          <w:sz w:val="28"/>
          <w:szCs w:val="28"/>
          <w:lang w:val="en-US" w:eastAsia="zh-CN"/>
          <w14:textFill>
            <w14:solidFill>
              <w14:schemeClr w14:val="tx1"/>
            </w14:solidFill>
          </w14:textFill>
        </w:rPr>
        <w:t>五</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应急处理</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渔业船舶、设施在本渔港水域内发生水上安全事故，</w:t>
      </w:r>
      <w:r>
        <w:rPr>
          <w:rFonts w:hint="eastAsia" w:eastAsia="仿宋_GB2312" w:cs="Times New Roman"/>
          <w:spacing w:val="6"/>
          <w:sz w:val="28"/>
          <w:szCs w:val="28"/>
          <w:lang w:val="en-US" w:eastAsia="zh-CN"/>
        </w:rPr>
        <w:t>当事人</w:t>
      </w:r>
      <w:r>
        <w:rPr>
          <w:rFonts w:hint="eastAsia" w:ascii="Times New Roman" w:hAnsi="Times New Roman" w:eastAsia="仿宋_GB2312" w:cs="Times New Roman"/>
          <w:spacing w:val="6"/>
          <w:sz w:val="28"/>
          <w:szCs w:val="28"/>
          <w:lang w:eastAsia="zh-CN"/>
        </w:rPr>
        <w:t>应当第一时间向驻港监督管理机构报告并提交有关船舶技术证书、证件等必要的文书资料，并接受调查处理。</w:t>
      </w:r>
    </w:p>
    <w:p>
      <w:pPr>
        <w:widowControl w:val="0"/>
        <w:kinsoku/>
        <w:spacing w:line="360" w:lineRule="auto"/>
        <w:ind w:firstLine="562" w:firstLineChars="200"/>
        <w:jc w:val="both"/>
        <w:rPr>
          <w:rFonts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第二十</w:t>
      </w:r>
      <w:r>
        <w:rPr>
          <w:rFonts w:hint="eastAsia" w:eastAsia="仿宋_GB2312"/>
          <w:b/>
          <w:bCs/>
          <w:color w:val="000000" w:themeColor="text1"/>
          <w:sz w:val="28"/>
          <w:szCs w:val="28"/>
          <w:lang w:val="en-US" w:eastAsia="zh-CN"/>
          <w14:textFill>
            <w14:solidFill>
              <w14:schemeClr w14:val="tx1"/>
            </w14:solidFill>
          </w14:textFill>
        </w:rPr>
        <w:t>六</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事故的当事人和有关人员，在接受驻港监督管理机构调查时，必须如实提供现场情况和与事故有关的情节。</w:t>
      </w:r>
    </w:p>
    <w:p>
      <w:pPr>
        <w:widowControl w:val="0"/>
        <w:kinsoku/>
        <w:spacing w:line="360" w:lineRule="auto"/>
        <w:ind w:firstLine="562" w:firstLineChars="200"/>
        <w:outlineLvl w:val="1"/>
        <w:rPr>
          <w:rFonts w:hint="eastAsia" w:ascii="黑体" w:hAnsi="黑体" w:eastAsia="黑体" w:cs="黑体"/>
          <w:sz w:val="28"/>
          <w:szCs w:val="28"/>
          <w:lang w:eastAsia="zh-CN"/>
        </w:rPr>
      </w:pPr>
      <w:r>
        <w:rPr>
          <w:rFonts w:eastAsia="仿宋_GB2312"/>
          <w:b/>
          <w:bCs/>
          <w:color w:val="000000" w:themeColor="text1"/>
          <w:sz w:val="28"/>
          <w:szCs w:val="28"/>
          <w14:textFill>
            <w14:solidFill>
              <w14:schemeClr w14:val="tx1"/>
            </w14:solidFill>
          </w14:textFill>
        </w:rPr>
        <w:t>第二十</w:t>
      </w:r>
      <w:r>
        <w:rPr>
          <w:rFonts w:hint="eastAsia" w:eastAsia="仿宋_GB2312"/>
          <w:b/>
          <w:bCs/>
          <w:color w:val="000000" w:themeColor="text1"/>
          <w:sz w:val="28"/>
          <w:szCs w:val="28"/>
          <w:lang w:val="en-US" w:eastAsia="zh-CN"/>
          <w14:textFill>
            <w14:solidFill>
              <w14:schemeClr w14:val="tx1"/>
            </w14:solidFill>
          </w14:textFill>
        </w:rPr>
        <w:t>七</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驻港监督管理机构负责本渔港水域内</w:t>
      </w:r>
      <w:r>
        <w:rPr>
          <w:rFonts w:hint="eastAsia" w:eastAsia="仿宋_GB2312" w:cs="Times New Roman"/>
          <w:spacing w:val="6"/>
          <w:sz w:val="28"/>
          <w:szCs w:val="28"/>
          <w:lang w:val="en-US" w:eastAsia="zh-CN"/>
        </w:rPr>
        <w:t>涉渔</w:t>
      </w:r>
      <w:r>
        <w:rPr>
          <w:rFonts w:hint="eastAsia" w:ascii="Times New Roman" w:hAnsi="Times New Roman" w:eastAsia="仿宋_GB2312" w:cs="Times New Roman"/>
          <w:spacing w:val="6"/>
          <w:sz w:val="28"/>
          <w:szCs w:val="28"/>
          <w:lang w:eastAsia="zh-CN"/>
        </w:rPr>
        <w:t>水上交通事故的调查处理。船舶接受调查处理期间未经驻港监督管理机构的同意，不得擅自离港。</w:t>
      </w:r>
    </w:p>
    <w:p>
      <w:pPr>
        <w:widowControl w:val="0"/>
        <w:kinsoku/>
        <w:spacing w:line="360" w:lineRule="auto"/>
        <w:ind w:firstLine="562" w:firstLineChars="200"/>
        <w:outlineLvl w:val="1"/>
        <w:rPr>
          <w:rFonts w:eastAsia="宋体"/>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二十八</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应急事件救护</w:t>
      </w:r>
    </w:p>
    <w:p>
      <w:pPr>
        <w:widowControl w:val="0"/>
        <w:kinsoku/>
        <w:spacing w:line="360" w:lineRule="auto"/>
        <w:ind w:firstLine="584" w:firstLineChars="200"/>
        <w:outlineLvl w:val="1"/>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港内发生火警或船舶失事，首先应自行采取一切救护措施，并立即将情况、地点报告驻港监督管理机构和公安、消防等部门。在港一切船舶都应服从驻港监督管理机构和有关部门的指挥，并努力协助救护。</w:t>
      </w:r>
    </w:p>
    <w:p>
      <w:pPr>
        <w:widowControl w:val="0"/>
        <w:kinsoku/>
        <w:spacing w:line="360" w:lineRule="auto"/>
        <w:ind w:firstLine="562" w:firstLineChars="200"/>
        <w:outlineLvl w:val="1"/>
        <w:rPr>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二十九</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防台风应急处理</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岱山县渔业行政主管部门应制定渔业船舶的防台风预案，防台风期间，岱山县渔业行政主管部门及驻港监督管理机构协调各相关部门应按防台风预案履行职责。</w:t>
      </w:r>
    </w:p>
    <w:p>
      <w:pPr>
        <w:kinsoku/>
        <w:autoSpaceDE/>
        <w:autoSpaceDN/>
        <w:adjustRightInd/>
        <w:snapToGrid/>
        <w:spacing w:line="360" w:lineRule="auto"/>
        <w:ind w:firstLine="562" w:firstLineChars="200"/>
        <w:jc w:val="both"/>
        <w:textAlignment w:val="auto"/>
        <w:rPr>
          <w:rFonts w:ascii="Times New Roman" w:hAnsi="Times New Roman" w:eastAsia="仿宋_GB2312" w:cs="Times New Roman"/>
          <w:snapToGrid/>
          <w:color w:val="000000" w:themeColor="text1"/>
          <w:sz w:val="28"/>
          <w:szCs w:val="28"/>
          <w:lang w:eastAsia="zh-CN"/>
          <w14:textFill>
            <w14:solidFill>
              <w14:schemeClr w14:val="tx1"/>
            </w14:solidFill>
          </w14:textFill>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napToGrid/>
          <w:color w:val="000000" w:themeColor="text1"/>
          <w:sz w:val="28"/>
          <w:szCs w:val="28"/>
          <w:lang w:eastAsia="zh-CN"/>
          <w14:textFill>
            <w14:solidFill>
              <w14:schemeClr w14:val="tx1"/>
            </w14:solidFill>
          </w14:textFill>
        </w:rPr>
        <w:t>防台期间，渔业船舶船长、工程项目施工单位等应服从岱山县渔业行政主管部门的指挥调度。</w:t>
      </w:r>
    </w:p>
    <w:p>
      <w:pPr>
        <w:kinsoku/>
        <w:autoSpaceDE/>
        <w:autoSpaceDN/>
        <w:adjustRightInd/>
        <w:snapToGrid/>
        <w:spacing w:line="360" w:lineRule="auto"/>
        <w:ind w:firstLine="560" w:firstLineChars="200"/>
        <w:jc w:val="both"/>
        <w:textAlignment w:val="auto"/>
        <w:rPr>
          <w:rFonts w:ascii="Times New Roman" w:hAnsi="Times New Roman" w:eastAsia="仿宋_GB2312" w:cs="Times New Roman"/>
          <w:snapToGrid/>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snapToGrid/>
          <w:color w:val="000000" w:themeColor="text1"/>
          <w:sz w:val="28"/>
          <w:szCs w:val="28"/>
          <w:lang w:eastAsia="zh-CN"/>
          <w14:textFill>
            <w14:solidFill>
              <w14:schemeClr w14:val="tx1"/>
            </w14:solidFill>
          </w14:textFill>
        </w:rPr>
        <w:t>所有进港避风的船舶必须服从现场管理人员的指挥，并应在指定的锚地有序停泊或移泊。</w:t>
      </w:r>
    </w:p>
    <w:p>
      <w:pPr>
        <w:widowControl w:val="0"/>
        <w:kinsoku/>
        <w:spacing w:line="360" w:lineRule="auto"/>
        <w:ind w:firstLine="560"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napToGrid/>
          <w:color w:val="000000" w:themeColor="text1"/>
          <w:sz w:val="28"/>
          <w:szCs w:val="28"/>
          <w:lang w:eastAsia="zh-CN"/>
          <w14:textFill>
            <w14:solidFill>
              <w14:schemeClr w14:val="tx1"/>
            </w14:solidFill>
          </w14:textFill>
        </w:rPr>
        <w:t>根据省市防指或渔船应急处置指挥中心发布的防台警报等级，需要在本渔港港区内采取相应的应急响应措施，由岱山县渔业行政主管部门及驻港监督管理机构组织实施。</w:t>
      </w:r>
    </w:p>
    <w:p>
      <w:pPr>
        <w:kinsoku/>
        <w:autoSpaceDE/>
        <w:autoSpaceDN/>
        <w:adjustRightInd/>
        <w:snapToGrid/>
        <w:spacing w:line="360" w:lineRule="auto"/>
        <w:ind w:firstLine="562" w:firstLineChars="200"/>
        <w:jc w:val="both"/>
        <w:textAlignment w:val="auto"/>
        <w:rPr>
          <w:rFonts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三十一</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napToGrid/>
          <w:sz w:val="28"/>
          <w:szCs w:val="28"/>
          <w:lang w:eastAsia="zh-CN"/>
        </w:rPr>
        <w:t>台风影响期间，当发生突发事件时，事故现场及周边有关人员应当及时发出呼救信号，向驻港监督管理机构或</w:t>
      </w:r>
      <w:r>
        <w:rPr>
          <w:rFonts w:hint="eastAsia" w:eastAsia="仿宋_GB2312" w:cs="Times New Roman"/>
          <w:snapToGrid/>
          <w:sz w:val="28"/>
          <w:szCs w:val="28"/>
          <w:lang w:val="en-US" w:eastAsia="zh-CN"/>
        </w:rPr>
        <w:t>乡镇</w:t>
      </w:r>
      <w:r>
        <w:rPr>
          <w:rFonts w:hint="eastAsia" w:ascii="Times New Roman" w:hAnsi="Times New Roman" w:eastAsia="仿宋_GB2312" w:cs="Times New Roman"/>
          <w:snapToGrid/>
          <w:sz w:val="28"/>
          <w:szCs w:val="28"/>
          <w:lang w:eastAsia="zh-CN"/>
        </w:rPr>
        <w:t>报告，并采取积极有效的自救、互救措施。驻港监督管理机构应当及时组织、协调指挥救助行动；接到相关指令的部门、单位和船舶应当服从统一指挥，积极配合救助。</w:t>
      </w:r>
    </w:p>
    <w:p>
      <w:pPr>
        <w:widowControl w:val="0"/>
        <w:kinsoku/>
        <w:spacing w:line="360" w:lineRule="auto"/>
        <w:ind w:firstLine="562" w:firstLineChars="200"/>
        <w:outlineLvl w:val="1"/>
        <w:rPr>
          <w:rFonts w:hint="eastAsia" w:ascii="黑体" w:hAnsi="黑体" w:eastAsia="黑体" w:cs="黑体"/>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三十二</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渔业船舶、货物在港内或港口附近沉没或失落，应立即报告</w:t>
      </w:r>
      <w:r>
        <w:rPr>
          <w:rFonts w:hint="eastAsia" w:eastAsia="仿宋_GB2312" w:cs="Times New Roman"/>
          <w:spacing w:val="6"/>
          <w:sz w:val="28"/>
          <w:szCs w:val="28"/>
          <w:lang w:val="en-US" w:eastAsia="zh-CN"/>
        </w:rPr>
        <w:t>驻港监督管理机构</w:t>
      </w:r>
      <w:r>
        <w:rPr>
          <w:rFonts w:hint="eastAsia" w:ascii="Times New Roman" w:hAnsi="Times New Roman" w:eastAsia="仿宋_GB2312" w:cs="Times New Roman"/>
          <w:spacing w:val="6"/>
          <w:sz w:val="28"/>
          <w:szCs w:val="28"/>
          <w:lang w:eastAsia="zh-CN"/>
        </w:rPr>
        <w:t>，未经</w:t>
      </w:r>
      <w:r>
        <w:rPr>
          <w:rFonts w:hint="eastAsia" w:eastAsia="仿宋_GB2312" w:cs="Times New Roman"/>
          <w:spacing w:val="6"/>
          <w:sz w:val="28"/>
          <w:szCs w:val="28"/>
          <w:lang w:val="en-US" w:eastAsia="zh-CN"/>
        </w:rPr>
        <w:t>驻港监督管理机构</w:t>
      </w:r>
      <w:r>
        <w:rPr>
          <w:rFonts w:hint="eastAsia" w:ascii="Times New Roman" w:hAnsi="Times New Roman" w:eastAsia="仿宋_GB2312" w:cs="Times New Roman"/>
          <w:spacing w:val="6"/>
          <w:sz w:val="28"/>
          <w:szCs w:val="28"/>
          <w:lang w:eastAsia="zh-CN"/>
        </w:rPr>
        <w:t>批准，不得擅自打捞或拆除渔港内或港口附近的沉船沉物。对影响安全航行、航道整治以及有潜在爆炸危险的沉没物、漂浮物，其所有人、经营人应当在</w:t>
      </w:r>
      <w:r>
        <w:rPr>
          <w:rFonts w:hint="eastAsia" w:ascii="Times New Roman" w:hAnsi="Times New Roman" w:eastAsia="仿宋_GB2312" w:cs="Times New Roman"/>
          <w:snapToGrid/>
          <w:sz w:val="28"/>
          <w:szCs w:val="28"/>
          <w:lang w:val="en-US" w:eastAsia="zh-CN"/>
        </w:rPr>
        <w:t>渔港</w:t>
      </w:r>
      <w:r>
        <w:rPr>
          <w:rFonts w:hint="eastAsia" w:ascii="Times New Roman" w:hAnsi="Times New Roman" w:eastAsia="仿宋_GB2312" w:cs="Times New Roman"/>
          <w:snapToGrid/>
          <w:sz w:val="28"/>
          <w:szCs w:val="28"/>
          <w:lang w:eastAsia="zh-CN"/>
        </w:rPr>
        <w:t>监督管理机构</w:t>
      </w:r>
      <w:r>
        <w:rPr>
          <w:rFonts w:hint="eastAsia" w:ascii="Times New Roman" w:hAnsi="Times New Roman" w:eastAsia="仿宋_GB2312" w:cs="Times New Roman"/>
          <w:spacing w:val="6"/>
          <w:sz w:val="28"/>
          <w:szCs w:val="28"/>
          <w:lang w:eastAsia="zh-CN"/>
        </w:rPr>
        <w:t>限定的时间内打捞清除，否则，</w:t>
      </w:r>
      <w:r>
        <w:rPr>
          <w:rFonts w:hint="eastAsia" w:ascii="Times New Roman" w:hAnsi="Times New Roman" w:eastAsia="仿宋_GB2312" w:cs="Times New Roman"/>
          <w:snapToGrid/>
          <w:sz w:val="28"/>
          <w:szCs w:val="28"/>
          <w:lang w:val="en-US" w:eastAsia="zh-CN"/>
        </w:rPr>
        <w:t>渔港</w:t>
      </w:r>
      <w:r>
        <w:rPr>
          <w:rFonts w:hint="eastAsia" w:ascii="Times New Roman" w:hAnsi="Times New Roman" w:eastAsia="仿宋_GB2312" w:cs="Times New Roman"/>
          <w:snapToGrid/>
          <w:sz w:val="28"/>
          <w:szCs w:val="28"/>
          <w:lang w:eastAsia="zh-CN"/>
        </w:rPr>
        <w:t>监督管理机构</w:t>
      </w:r>
      <w:r>
        <w:rPr>
          <w:rFonts w:hint="eastAsia" w:ascii="Times New Roman" w:hAnsi="Times New Roman" w:eastAsia="仿宋_GB2312" w:cs="Times New Roman"/>
          <w:spacing w:val="6"/>
          <w:sz w:val="28"/>
          <w:szCs w:val="28"/>
          <w:lang w:eastAsia="zh-CN"/>
        </w:rPr>
        <w:t>有权采取措施强制打捞清除，其全部费用由沉没物、漂浮物的所有人、经营人承担。</w:t>
      </w:r>
    </w:p>
    <w:p>
      <w:pPr>
        <w:spacing w:line="360" w:lineRule="auto"/>
        <w:ind w:firstLine="562" w:firstLineChars="200"/>
        <w:outlineLvl w:val="1"/>
        <w:rPr>
          <w:rFonts w:eastAsia="仿宋_GB2312"/>
          <w:sz w:val="28"/>
          <w:szCs w:val="28"/>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三十三</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eastAsia="仿宋_GB2312"/>
          <w:sz w:val="28"/>
          <w:szCs w:val="28"/>
        </w:rPr>
        <w:t>公共卫生突发事件应急处理与传染病报告</w:t>
      </w:r>
    </w:p>
    <w:p>
      <w:pPr>
        <w:spacing w:line="360" w:lineRule="auto"/>
        <w:ind w:firstLine="560" w:firstLineChars="200"/>
        <w:rPr>
          <w:rFonts w:eastAsia="仿宋_GB2312"/>
          <w:sz w:val="28"/>
          <w:szCs w:val="28"/>
        </w:rPr>
      </w:pPr>
      <w:r>
        <w:rPr>
          <w:rFonts w:eastAsia="仿宋_GB2312"/>
          <w:sz w:val="28"/>
          <w:szCs w:val="28"/>
        </w:rPr>
        <w:t>本渔港内各相关单位、个人应配合卫生防疫、检验检疫等部门，做好渔港救灾防病、疫情防控和突发公共卫生事件处理等应急抢险救援工作。</w:t>
      </w:r>
    </w:p>
    <w:p>
      <w:pPr>
        <w:spacing w:line="360" w:lineRule="auto"/>
        <w:ind w:firstLine="560" w:firstLineChars="200"/>
        <w:rPr>
          <w:rFonts w:eastAsia="仿宋_GB2312"/>
          <w:sz w:val="28"/>
          <w:szCs w:val="28"/>
        </w:rPr>
      </w:pPr>
      <w:r>
        <w:rPr>
          <w:rFonts w:eastAsia="仿宋_GB2312"/>
          <w:sz w:val="28"/>
          <w:szCs w:val="28"/>
        </w:rPr>
        <w:t>发生公共卫生突发事件时，事发单位应</w:t>
      </w:r>
      <w:r>
        <w:rPr>
          <w:rFonts w:hint="eastAsia" w:eastAsia="仿宋_GB2312"/>
          <w:sz w:val="28"/>
          <w:szCs w:val="28"/>
          <w:lang w:val="en-US" w:eastAsia="zh-CN"/>
        </w:rPr>
        <w:t>第一时间</w:t>
      </w:r>
      <w:r>
        <w:rPr>
          <w:rFonts w:eastAsia="仿宋_GB2312"/>
          <w:sz w:val="28"/>
          <w:szCs w:val="28"/>
        </w:rPr>
        <w:t>报告卫生防疫、检验检疫等部门</w:t>
      </w:r>
      <w:r>
        <w:rPr>
          <w:rFonts w:hint="eastAsia" w:eastAsia="仿宋_GB2312"/>
          <w:sz w:val="28"/>
          <w:szCs w:val="28"/>
          <w:lang w:val="en-US" w:eastAsia="zh-CN"/>
        </w:rPr>
        <w:t>，并</w:t>
      </w:r>
      <w:r>
        <w:rPr>
          <w:rFonts w:eastAsia="仿宋_GB2312"/>
          <w:sz w:val="28"/>
          <w:szCs w:val="28"/>
        </w:rPr>
        <w:t>立即采取有效措施防止事件扩散。</w:t>
      </w:r>
    </w:p>
    <w:p>
      <w:pPr>
        <w:widowControl w:val="0"/>
        <w:kinsoku/>
        <w:spacing w:line="360" w:lineRule="auto"/>
        <w:ind w:firstLine="560" w:firstLineChars="200"/>
        <w:jc w:val="both"/>
        <w:rPr>
          <w:rFonts w:ascii="Times New Roman" w:hAnsi="Times New Roman" w:eastAsia="仿宋_GB2312" w:cs="Times New Roman"/>
          <w:spacing w:val="6"/>
          <w:sz w:val="28"/>
          <w:szCs w:val="28"/>
          <w:lang w:eastAsia="zh-CN"/>
        </w:rPr>
      </w:pPr>
      <w:r>
        <w:rPr>
          <w:rFonts w:eastAsia="仿宋_GB2312"/>
          <w:sz w:val="28"/>
          <w:szCs w:val="28"/>
        </w:rPr>
        <w:t>本渔港内各相关单位、个人发现传染病病人或者疑似传染病病人时，应当及时向附近的疾病预防控制机构或者医疗机构报告。</w:t>
      </w:r>
    </w:p>
    <w:p>
      <w:pPr>
        <w:widowControl w:val="0"/>
        <w:kinsoku/>
        <w:spacing w:line="360" w:lineRule="auto"/>
        <w:ind w:firstLine="562" w:firstLineChars="200"/>
        <w:outlineLvl w:val="1"/>
        <w:rPr>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三十四</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其他事件应急处理</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渔船发生偷窃，打、砸、抢等违法事件，均须及时向公安部门报告，并由公安机关依法调查处理。</w:t>
      </w:r>
    </w:p>
    <w:p>
      <w:pPr>
        <w:spacing w:before="312" w:beforeLines="100" w:after="312" w:afterLines="100"/>
        <w:jc w:val="center"/>
        <w:outlineLvl w:val="0"/>
        <w:rPr>
          <w:rFonts w:hint="eastAsia" w:ascii="黑体" w:hAnsi="黑体" w:eastAsia="黑体" w:cs="Arial"/>
          <w:b/>
          <w:bCs/>
          <w:sz w:val="28"/>
          <w:szCs w:val="28"/>
          <w:lang w:eastAsia="zh-CN"/>
        </w:rPr>
      </w:pPr>
      <w:r>
        <w:rPr>
          <w:rFonts w:hint="eastAsia" w:ascii="黑体" w:hAnsi="黑体" w:eastAsia="黑体" w:cs="Arial"/>
          <w:b/>
          <w:bCs/>
          <w:sz w:val="28"/>
          <w:szCs w:val="28"/>
          <w:lang w:eastAsia="zh-CN"/>
        </w:rPr>
        <w:t>第</w:t>
      </w:r>
      <w:r>
        <w:rPr>
          <w:rFonts w:hint="eastAsia" w:ascii="黑体" w:hAnsi="黑体" w:eastAsia="黑体" w:cs="Arial"/>
          <w:b/>
          <w:bCs/>
          <w:sz w:val="28"/>
          <w:szCs w:val="28"/>
          <w:lang w:val="en-US" w:eastAsia="zh-CN"/>
        </w:rPr>
        <w:t>七</w:t>
      </w:r>
      <w:r>
        <w:rPr>
          <w:rFonts w:hint="eastAsia" w:ascii="黑体" w:hAnsi="黑体" w:eastAsia="黑体" w:cs="Arial"/>
          <w:b/>
          <w:bCs/>
          <w:sz w:val="28"/>
          <w:szCs w:val="28"/>
          <w:lang w:eastAsia="zh-CN"/>
        </w:rPr>
        <w:t>章  禁止与限制</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2" w:firstLineChars="200"/>
        <w:textAlignment w:val="baseline"/>
        <w:outlineLvl w:val="1"/>
        <w:rPr>
          <w:rFonts w:hint="eastAsia"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三十五</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本渔港港界已经批准，渔港的港区、港界、陆域、水域、码头及其设施与功能受相关法律法规保护，禁止任何单位和个人擅自变更。如需变更的，按照相关规定执行。</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2" w:firstLineChars="200"/>
        <w:textAlignment w:val="baseline"/>
        <w:outlineLvl w:val="1"/>
        <w:rPr>
          <w:rFonts w:hint="eastAsia"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三十六</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因建设确需占用本渔港陆域、水域及渔港设施的，经岱山县渔业行政主管部门同意后，报相关部门审核</w:t>
      </w:r>
      <w:r>
        <w:rPr>
          <w:rFonts w:hint="eastAsia" w:eastAsia="仿宋_GB2312" w:cs="Times New Roman"/>
          <w:spacing w:val="6"/>
          <w:sz w:val="28"/>
          <w:szCs w:val="28"/>
          <w:lang w:val="en-US" w:eastAsia="zh-CN"/>
        </w:rPr>
        <w:t>批准</w:t>
      </w:r>
      <w:r>
        <w:rPr>
          <w:rFonts w:hint="eastAsia" w:ascii="Times New Roman" w:hAnsi="Times New Roman" w:eastAsia="仿宋_GB2312" w:cs="Times New Roman"/>
          <w:spacing w:val="6"/>
          <w:sz w:val="28"/>
          <w:szCs w:val="28"/>
          <w:lang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2" w:firstLineChars="200"/>
        <w:textAlignment w:val="baseline"/>
        <w:outlineLvl w:val="1"/>
        <w:rPr>
          <w:rFonts w:hint="eastAsia"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三十七</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港区管理禁止与限制</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84" w:firstLineChars="200"/>
        <w:textAlignment w:val="baseline"/>
        <w:outlineLvl w:val="1"/>
        <w:rPr>
          <w:rFonts w:hint="eastAsia" w:ascii="Times New Roman" w:hAnsi="Times New Roman" w:eastAsia="仿宋_GB2312" w:cs="Times New Roman"/>
          <w:spacing w:val="6"/>
          <w:sz w:val="28"/>
          <w:szCs w:val="28"/>
          <w:lang w:val="en-US" w:eastAsia="zh-CN"/>
        </w:rPr>
      </w:pPr>
      <w:r>
        <w:rPr>
          <w:rFonts w:hint="eastAsia" w:ascii="Times New Roman" w:hAnsi="Times New Roman" w:eastAsia="仿宋_GB2312" w:cs="Times New Roman"/>
          <w:spacing w:val="6"/>
          <w:sz w:val="28"/>
          <w:szCs w:val="28"/>
          <w:lang w:val="en-US" w:eastAsia="zh-CN"/>
        </w:rPr>
        <w:t>禁止任何船舶在主港区内试航；在码头试车，要有绝对安全可靠的措施；进出本港内试航的船舶，应悬挂试航旗，并加强瞭望。</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84" w:firstLineChars="200"/>
        <w:textAlignment w:val="baseline"/>
        <w:outlineLvl w:val="1"/>
        <w:rPr>
          <w:rFonts w:hint="eastAsia"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禁止在本渔港内码头、栈桥、路面随意堆放货物、器材和晾晒渔网鱼货等。</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84" w:firstLineChars="200"/>
        <w:textAlignment w:val="baseline"/>
        <w:outlineLvl w:val="1"/>
        <w:rPr>
          <w:rFonts w:hint="eastAsia"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禁止在港内</w:t>
      </w:r>
      <w:r>
        <w:rPr>
          <w:rFonts w:hint="eastAsia" w:eastAsia="仿宋_GB2312" w:cs="Times New Roman"/>
          <w:spacing w:val="6"/>
          <w:sz w:val="28"/>
          <w:szCs w:val="28"/>
          <w:lang w:val="en-US" w:eastAsia="zh-CN"/>
        </w:rPr>
        <w:t>电鱼、毒鱼、</w:t>
      </w:r>
      <w:r>
        <w:rPr>
          <w:rFonts w:hint="eastAsia" w:ascii="Times New Roman" w:hAnsi="Times New Roman" w:eastAsia="仿宋_GB2312" w:cs="Times New Roman"/>
          <w:spacing w:val="6"/>
          <w:sz w:val="28"/>
          <w:szCs w:val="28"/>
          <w:lang w:eastAsia="zh-CN"/>
        </w:rPr>
        <w:t>炸鱼</w:t>
      </w:r>
      <w:r>
        <w:rPr>
          <w:rFonts w:hint="eastAsia" w:eastAsia="仿宋_GB2312" w:cs="Times New Roman"/>
          <w:spacing w:val="6"/>
          <w:sz w:val="28"/>
          <w:szCs w:val="28"/>
          <w:lang w:val="en-US" w:eastAsia="zh-CN"/>
        </w:rPr>
        <w:t>等违规行为，禁止</w:t>
      </w:r>
      <w:r>
        <w:rPr>
          <w:rFonts w:hint="eastAsia" w:ascii="Times New Roman" w:hAnsi="Times New Roman" w:eastAsia="仿宋_GB2312" w:cs="Times New Roman"/>
          <w:spacing w:val="6"/>
          <w:sz w:val="28"/>
          <w:szCs w:val="28"/>
          <w:lang w:eastAsia="zh-CN"/>
        </w:rPr>
        <w:t>试放救生信号。</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84" w:firstLineChars="200"/>
        <w:textAlignment w:val="baseline"/>
        <w:outlineLvl w:val="1"/>
        <w:rPr>
          <w:rFonts w:hint="default" w:ascii="Times New Roman" w:hAnsi="Times New Roman" w:eastAsia="仿宋_GB2312" w:cs="Times New Roman"/>
          <w:spacing w:val="6"/>
          <w:sz w:val="28"/>
          <w:szCs w:val="28"/>
          <w:lang w:val="en-US" w:eastAsia="zh-CN"/>
        </w:rPr>
      </w:pPr>
      <w:r>
        <w:rPr>
          <w:rFonts w:hint="eastAsia" w:eastAsia="仿宋_GB2312" w:cs="Times New Roman"/>
          <w:spacing w:val="6"/>
          <w:sz w:val="28"/>
          <w:szCs w:val="28"/>
          <w:lang w:val="en-US" w:eastAsia="zh-CN"/>
        </w:rPr>
        <w:t>未经驻港监督管理机构允许，禁止在港区内明火作业和维修。</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2" w:firstLineChars="200"/>
        <w:textAlignment w:val="baseline"/>
        <w:outlineLvl w:val="1"/>
        <w:rPr>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三十八</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航道管理禁止与限制</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本渔港港区航道和锚泊区内，船速限制在5节以下。</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禁止在本渔港航道及其附近滩地、岸坡进行不利于航道维护或者有碍航行安全的堆填、挖掘、种植、构筑建筑物等活动。</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禁止在航道、港池、锚地和停泊区，从事有碍海上交通安全的捕捞、垂钓、养殖等生产活动。</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禁止船舶在水下电缆、管线、海底设施等规定范围内抛锚和停泊。</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禁止船舶在水上水下施工作业范围附近水域追越或者在单线航段会船、追越。</w:t>
      </w:r>
    </w:p>
    <w:p>
      <w:pPr>
        <w:widowControl w:val="0"/>
        <w:kinsoku/>
        <w:spacing w:line="360" w:lineRule="auto"/>
        <w:ind w:firstLine="562" w:firstLineChars="200"/>
        <w:outlineLvl w:val="1"/>
        <w:rPr>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三十九</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船舶进出港禁止与限制</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进入本渔港的船舶有下列情况之一者，在未经处理、纠正或者改善前，驻港监督管理机构有权禁止其离港，或令其停航、改航。</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（一）违反中华人民共和国有关法律、行政法规或规章；</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（二）船舶处于不适航或不适拖状态；</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（三）发生安全及</w:t>
      </w:r>
      <w:r>
        <w:rPr>
          <w:rFonts w:hint="eastAsia" w:eastAsia="仿宋_GB2312" w:cs="Times New Roman"/>
          <w:spacing w:val="6"/>
          <w:sz w:val="28"/>
          <w:szCs w:val="28"/>
          <w:lang w:val="en-US" w:eastAsia="zh-CN"/>
        </w:rPr>
        <w:t>水上</w:t>
      </w:r>
      <w:r>
        <w:rPr>
          <w:rFonts w:hint="eastAsia" w:ascii="Times New Roman" w:hAnsi="Times New Roman" w:eastAsia="仿宋_GB2312" w:cs="Times New Roman"/>
          <w:spacing w:val="6"/>
          <w:sz w:val="28"/>
          <w:szCs w:val="28"/>
          <w:lang w:eastAsia="zh-CN"/>
        </w:rPr>
        <w:t>交通事故，</w:t>
      </w:r>
      <w:r>
        <w:rPr>
          <w:rFonts w:hint="eastAsia" w:eastAsia="仿宋_GB2312" w:cs="Times New Roman"/>
          <w:spacing w:val="6"/>
          <w:sz w:val="28"/>
          <w:szCs w:val="28"/>
          <w:lang w:val="en-US" w:eastAsia="zh-CN"/>
        </w:rPr>
        <w:t>有关</w:t>
      </w:r>
      <w:r>
        <w:rPr>
          <w:rFonts w:hint="eastAsia" w:ascii="Times New Roman" w:hAnsi="Times New Roman" w:eastAsia="仿宋_GB2312" w:cs="Times New Roman"/>
          <w:spacing w:val="6"/>
          <w:sz w:val="28"/>
          <w:szCs w:val="28"/>
          <w:lang w:eastAsia="zh-CN"/>
        </w:rPr>
        <w:t>手续未清</w:t>
      </w:r>
      <w:r>
        <w:rPr>
          <w:rFonts w:hint="eastAsia" w:eastAsia="仿宋_GB2312" w:cs="Times New Roman"/>
          <w:spacing w:val="6"/>
          <w:sz w:val="28"/>
          <w:szCs w:val="28"/>
          <w:lang w:eastAsia="zh-CN"/>
        </w:rPr>
        <w:t>的</w:t>
      </w:r>
      <w:r>
        <w:rPr>
          <w:rFonts w:hint="eastAsia" w:ascii="Times New Roman" w:hAnsi="Times New Roman" w:eastAsia="仿宋_GB2312" w:cs="Times New Roman"/>
          <w:spacing w:val="6"/>
          <w:sz w:val="28"/>
          <w:szCs w:val="28"/>
          <w:lang w:eastAsia="zh-CN"/>
        </w:rPr>
        <w:t>；</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（四）船舶超载（包括超重、超高、超宽等违章装载）、违规生产（靠泊</w:t>
      </w:r>
      <w:r>
        <w:rPr>
          <w:rFonts w:hint="eastAsia" w:eastAsia="仿宋_GB2312" w:cs="Times New Roman"/>
          <w:spacing w:val="6"/>
          <w:sz w:val="28"/>
          <w:szCs w:val="28"/>
          <w:lang w:eastAsia="zh-CN"/>
        </w:rPr>
        <w:t>、</w:t>
      </w:r>
      <w:r>
        <w:rPr>
          <w:rFonts w:hint="eastAsia" w:eastAsia="仿宋_GB2312" w:cs="Times New Roman"/>
          <w:spacing w:val="6"/>
          <w:sz w:val="28"/>
          <w:szCs w:val="28"/>
          <w:lang w:val="en-US" w:eastAsia="zh-CN"/>
        </w:rPr>
        <w:t>锚泊</w:t>
      </w:r>
      <w:r>
        <w:rPr>
          <w:rFonts w:hint="eastAsia" w:ascii="Times New Roman" w:hAnsi="Times New Roman" w:eastAsia="仿宋_GB2312" w:cs="Times New Roman"/>
          <w:spacing w:val="6"/>
          <w:sz w:val="28"/>
          <w:szCs w:val="28"/>
          <w:lang w:eastAsia="zh-CN"/>
        </w:rPr>
        <w:t>）或违章搭客；</w:t>
      </w:r>
    </w:p>
    <w:p>
      <w:pPr>
        <w:widowControl w:val="0"/>
        <w:kinsoku/>
        <w:spacing w:line="360" w:lineRule="auto"/>
        <w:ind w:firstLine="584" w:firstLineChars="200"/>
        <w:jc w:val="both"/>
        <w:rPr>
          <w:rFonts w:hint="eastAsia"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（五）</w:t>
      </w:r>
      <w:r>
        <w:rPr>
          <w:rFonts w:hint="eastAsia" w:eastAsia="仿宋_GB2312" w:cs="Times New Roman"/>
          <w:spacing w:val="6"/>
          <w:sz w:val="28"/>
          <w:szCs w:val="28"/>
          <w:lang w:val="en-US" w:eastAsia="zh-CN"/>
        </w:rPr>
        <w:t>为满足渔业船舶职务船员最低配备标准或无船员证书</w:t>
      </w:r>
      <w:r>
        <w:rPr>
          <w:rFonts w:hint="eastAsia" w:ascii="Times New Roman" w:hAnsi="Times New Roman" w:eastAsia="仿宋_GB2312" w:cs="Times New Roman"/>
          <w:spacing w:val="6"/>
          <w:sz w:val="28"/>
          <w:szCs w:val="28"/>
          <w:lang w:eastAsia="zh-CN"/>
        </w:rPr>
        <w:t>；</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（六）未标明船名、船号及未配救生、消防等重要安全设备；</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（七）遇有恶劣天气，影响航行安全；</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（八）未向驻港监督管理机构或有关部门交付应承担的费用，也未提供适当的担保；</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（九）驻港监督管理机构认为有其他妨害或者可能妨害海上交通安全的情况；</w:t>
      </w:r>
    </w:p>
    <w:p>
      <w:pPr>
        <w:widowControl w:val="0"/>
        <w:kinsoku/>
        <w:spacing w:line="360" w:lineRule="auto"/>
        <w:ind w:firstLine="584" w:firstLineChars="200"/>
        <w:jc w:val="both"/>
        <w:rPr>
          <w:rFonts w:hint="default" w:ascii="Times New Roman" w:hAnsi="Times New Roman" w:eastAsia="仿宋_GB2312" w:cs="Times New Roman"/>
          <w:spacing w:val="6"/>
          <w:sz w:val="28"/>
          <w:szCs w:val="28"/>
          <w:lang w:val="en-US" w:eastAsia="zh-CN"/>
        </w:rPr>
      </w:pPr>
      <w:r>
        <w:rPr>
          <w:rFonts w:hint="eastAsia" w:ascii="Times New Roman" w:hAnsi="Times New Roman" w:eastAsia="仿宋_GB2312" w:cs="Times New Roman"/>
          <w:spacing w:val="6"/>
          <w:sz w:val="28"/>
          <w:szCs w:val="28"/>
          <w:lang w:eastAsia="zh-CN"/>
        </w:rPr>
        <w:t>（十）</w:t>
      </w:r>
      <w:r>
        <w:rPr>
          <w:rFonts w:hint="eastAsia" w:eastAsia="仿宋_GB2312" w:cs="Times New Roman"/>
          <w:spacing w:val="6"/>
          <w:sz w:val="28"/>
          <w:szCs w:val="28"/>
          <w:lang w:val="en-US" w:eastAsia="zh-CN"/>
        </w:rPr>
        <w:t>本渔港内的渔业岸线、码头、锚地，禁止除渔船外的船舶靠泊、锚泊；</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（十</w:t>
      </w:r>
      <w:r>
        <w:rPr>
          <w:rFonts w:hint="eastAsia" w:eastAsia="仿宋_GB2312" w:cs="Times New Roman"/>
          <w:spacing w:val="6"/>
          <w:sz w:val="28"/>
          <w:szCs w:val="28"/>
          <w:lang w:val="en-US" w:eastAsia="zh-CN"/>
        </w:rPr>
        <w:t>一</w:t>
      </w:r>
      <w:r>
        <w:rPr>
          <w:rFonts w:hint="eastAsia" w:ascii="Times New Roman" w:hAnsi="Times New Roman" w:eastAsia="仿宋_GB2312" w:cs="Times New Roman"/>
          <w:spacing w:val="6"/>
          <w:sz w:val="28"/>
          <w:szCs w:val="28"/>
          <w:lang w:eastAsia="zh-CN"/>
        </w:rPr>
        <w:t>）其他需要禁止航行的有关情况。</w:t>
      </w:r>
    </w:p>
    <w:p>
      <w:pPr>
        <w:widowControl w:val="0"/>
        <w:kinsoku/>
        <w:spacing w:line="360" w:lineRule="auto"/>
        <w:ind w:firstLine="562" w:firstLineChars="200"/>
        <w:outlineLvl w:val="1"/>
        <w:rPr>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四十</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危化物作业禁止与限制</w:t>
      </w:r>
    </w:p>
    <w:p>
      <w:pPr>
        <w:widowControl w:val="0"/>
        <w:kinsoku/>
        <w:spacing w:line="360" w:lineRule="auto"/>
        <w:ind w:firstLine="584" w:firstLineChars="200"/>
        <w:rPr>
          <w:rFonts w:hint="eastAsia"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禁止在本渔港码头装卸、储存国家禁止通过水路运输的危化物。</w:t>
      </w:r>
    </w:p>
    <w:p>
      <w:pPr>
        <w:widowControl w:val="0"/>
        <w:kinsoku/>
        <w:spacing w:line="360" w:lineRule="auto"/>
        <w:ind w:firstLine="562" w:firstLineChars="200"/>
        <w:outlineLvl w:val="1"/>
        <w:rPr>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四十一</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环境保护禁止与限制</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禁止任何船舶或</w:t>
      </w:r>
      <w:r>
        <w:rPr>
          <w:rFonts w:hint="eastAsia" w:eastAsia="仿宋_GB2312" w:cs="Times New Roman"/>
          <w:spacing w:val="6"/>
          <w:sz w:val="28"/>
          <w:szCs w:val="28"/>
          <w:lang w:val="en-US" w:eastAsia="zh-CN"/>
        </w:rPr>
        <w:t>个人</w:t>
      </w:r>
      <w:r>
        <w:rPr>
          <w:rFonts w:hint="eastAsia" w:ascii="Times New Roman" w:hAnsi="Times New Roman" w:eastAsia="仿宋_GB2312" w:cs="Times New Roman"/>
          <w:spacing w:val="6"/>
          <w:sz w:val="28"/>
          <w:szCs w:val="28"/>
          <w:lang w:eastAsia="zh-CN"/>
        </w:rPr>
        <w:t>向本渔港水域排放残油、废油、油性混合物、废酸、废碱、货物残渣、船舶垃圾、建筑泥浆和其他超标有毒、有害物质。</w:t>
      </w:r>
    </w:p>
    <w:p>
      <w:pPr>
        <w:widowControl w:val="0"/>
        <w:kinsoku/>
        <w:spacing w:line="360" w:lineRule="auto"/>
        <w:ind w:firstLine="584" w:firstLineChars="200"/>
        <w:jc w:val="both"/>
        <w:rPr>
          <w:rFonts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t>对港区水域造成污染、损害渔业资源、阻滞水流等责任者，要赔偿经济损失，承担清除费用。构成犯罪的，应依法追究其刑事责任。</w:t>
      </w:r>
    </w:p>
    <w:p>
      <w:pPr>
        <w:spacing w:before="312" w:beforeLines="100" w:after="312" w:afterLines="100"/>
        <w:jc w:val="center"/>
        <w:outlineLvl w:val="0"/>
        <w:rPr>
          <w:rFonts w:hint="eastAsia" w:ascii="黑体" w:hAnsi="黑体" w:eastAsia="黑体" w:cs="Arial"/>
          <w:b/>
          <w:bCs/>
          <w:sz w:val="28"/>
          <w:szCs w:val="28"/>
          <w:lang w:eastAsia="zh-CN"/>
        </w:rPr>
      </w:pPr>
      <w:r>
        <w:rPr>
          <w:rFonts w:hint="eastAsia" w:ascii="黑体" w:hAnsi="黑体" w:eastAsia="黑体" w:cs="Arial"/>
          <w:b/>
          <w:bCs/>
          <w:sz w:val="28"/>
          <w:szCs w:val="28"/>
          <w:lang w:eastAsia="zh-CN"/>
        </w:rPr>
        <w:t>第</w:t>
      </w:r>
      <w:r>
        <w:rPr>
          <w:rFonts w:hint="eastAsia" w:ascii="黑体" w:hAnsi="黑体" w:eastAsia="黑体" w:cs="Arial"/>
          <w:b/>
          <w:bCs/>
          <w:sz w:val="28"/>
          <w:szCs w:val="28"/>
          <w:lang w:val="en-US" w:eastAsia="zh-CN"/>
        </w:rPr>
        <w:t>八</w:t>
      </w:r>
      <w:r>
        <w:rPr>
          <w:rFonts w:hint="eastAsia" w:ascii="黑体" w:hAnsi="黑体" w:eastAsia="黑体" w:cs="Arial"/>
          <w:b/>
          <w:bCs/>
          <w:sz w:val="28"/>
          <w:szCs w:val="28"/>
          <w:lang w:eastAsia="zh-CN"/>
        </w:rPr>
        <w:t>章  附则</w:t>
      </w:r>
    </w:p>
    <w:p>
      <w:pPr>
        <w:widowControl w:val="0"/>
        <w:kinsoku/>
        <w:spacing w:line="360" w:lineRule="auto"/>
        <w:ind w:firstLine="562" w:firstLineChars="200"/>
        <w:outlineLvl w:val="1"/>
        <w:rPr>
          <w:rFonts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四十二</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本渔港港章未作规定的事项，按国家和省市有关法律、行政法规、部门规章或规范性文件执行。</w:t>
      </w:r>
    </w:p>
    <w:p>
      <w:pPr>
        <w:widowControl w:val="0"/>
        <w:kinsoku/>
        <w:spacing w:line="360" w:lineRule="auto"/>
        <w:ind w:firstLine="562" w:firstLineChars="200"/>
        <w:outlineLvl w:val="1"/>
        <w:rPr>
          <w:rFonts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四十三</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在港船舶、设施和人员以及船舶、设施的所有人、经营人，不遵守本港章规定的任一条款，根据相应法律、法规及规章处罚。</w:t>
      </w:r>
    </w:p>
    <w:p>
      <w:pPr>
        <w:widowControl w:val="0"/>
        <w:kinsoku/>
        <w:spacing w:line="360" w:lineRule="auto"/>
        <w:ind w:firstLine="562" w:firstLineChars="200"/>
        <w:outlineLvl w:val="1"/>
        <w:rPr>
          <w:rFonts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四十四</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本渔港港章由岱山县</w:t>
      </w:r>
      <w:r>
        <w:rPr>
          <w:rFonts w:hint="eastAsia" w:ascii="仿宋_GB2312" w:hAnsi="仿宋_GB2312" w:eastAsia="仿宋_GB2312" w:cs="仿宋_GB2312"/>
          <w:spacing w:val="4"/>
          <w:sz w:val="28"/>
          <w:szCs w:val="28"/>
          <w:highlight w:val="none"/>
          <w:lang w:eastAsia="zh-CN"/>
        </w:rPr>
        <w:t>海洋经济发展局</w:t>
      </w:r>
      <w:r>
        <w:rPr>
          <w:rFonts w:hint="eastAsia" w:ascii="Times New Roman" w:hAnsi="Times New Roman" w:eastAsia="仿宋_GB2312" w:cs="Times New Roman"/>
          <w:spacing w:val="6"/>
          <w:sz w:val="28"/>
          <w:szCs w:val="28"/>
          <w:lang w:eastAsia="zh-CN"/>
        </w:rPr>
        <w:t>牵头负责解释。</w:t>
      </w:r>
    </w:p>
    <w:p>
      <w:pPr>
        <w:widowControl w:val="0"/>
        <w:kinsoku/>
        <w:spacing w:line="360" w:lineRule="auto"/>
        <w:ind w:firstLine="562" w:firstLineChars="200"/>
        <w:outlineLvl w:val="1"/>
        <w:rPr>
          <w:rFonts w:hint="eastAsia" w:ascii="Times New Roman" w:hAnsi="Times New Roman" w:eastAsia="仿宋_GB2312" w:cs="Times New Roman"/>
          <w:spacing w:val="6"/>
          <w:sz w:val="28"/>
          <w:szCs w:val="28"/>
          <w:lang w:eastAsia="zh-CN"/>
        </w:rPr>
      </w:pPr>
      <w:r>
        <w:rPr>
          <w:rFonts w:eastAsia="仿宋_GB2312"/>
          <w:b/>
          <w:bCs/>
          <w:color w:val="000000" w:themeColor="text1"/>
          <w:sz w:val="28"/>
          <w:szCs w:val="28"/>
          <w14:textFill>
            <w14:solidFill>
              <w14:schemeClr w14:val="tx1"/>
            </w14:solidFill>
          </w14:textFill>
        </w:rPr>
        <w:t>第</w:t>
      </w:r>
      <w:r>
        <w:rPr>
          <w:rFonts w:hint="eastAsia" w:eastAsia="仿宋_GB2312"/>
          <w:b/>
          <w:bCs/>
          <w:color w:val="000000" w:themeColor="text1"/>
          <w:sz w:val="28"/>
          <w:szCs w:val="28"/>
          <w:lang w:val="en-US" w:eastAsia="zh-CN"/>
          <w14:textFill>
            <w14:solidFill>
              <w14:schemeClr w14:val="tx1"/>
            </w14:solidFill>
          </w14:textFill>
        </w:rPr>
        <w:t>四十五</w:t>
      </w:r>
      <w:r>
        <w:rPr>
          <w:rFonts w:eastAsia="仿宋_GB2312"/>
          <w:b/>
          <w:bCs/>
          <w:color w:val="000000" w:themeColor="text1"/>
          <w:sz w:val="28"/>
          <w:szCs w:val="28"/>
          <w14:textFill>
            <w14:solidFill>
              <w14:schemeClr w14:val="tx1"/>
            </w14:solidFill>
          </w14:textFill>
        </w:rPr>
        <w:t>条</w:t>
      </w:r>
      <w:r>
        <w:rPr>
          <w:rFonts w:hint="eastAsia" w:ascii="方正仿宋_GB2312" w:hAnsi="方正仿宋_GB2312" w:eastAsia="方正仿宋_GB2312" w:cs="方正仿宋_GB2312"/>
          <w:spacing w:val="6"/>
          <w:sz w:val="28"/>
          <w:szCs w:val="28"/>
          <w:lang w:eastAsia="zh-CN"/>
        </w:rPr>
        <w:t xml:space="preserve">  </w:t>
      </w:r>
      <w:r>
        <w:rPr>
          <w:rFonts w:hint="eastAsia" w:ascii="Times New Roman" w:hAnsi="Times New Roman" w:eastAsia="仿宋_GB2312" w:cs="Times New Roman"/>
          <w:spacing w:val="6"/>
          <w:sz w:val="28"/>
          <w:szCs w:val="28"/>
          <w:lang w:eastAsia="zh-CN"/>
        </w:rPr>
        <w:t>本渔港港章自202</w:t>
      </w:r>
      <w:r>
        <w:rPr>
          <w:rFonts w:hint="eastAsia" w:eastAsia="仿宋_GB2312" w:cs="Times New Roman"/>
          <w:spacing w:val="6"/>
          <w:sz w:val="28"/>
          <w:szCs w:val="28"/>
          <w:lang w:val="en-US" w:eastAsia="zh-CN"/>
        </w:rPr>
        <w:t>5</w:t>
      </w:r>
      <w:r>
        <w:rPr>
          <w:rFonts w:hint="eastAsia" w:ascii="Times New Roman" w:hAnsi="Times New Roman" w:eastAsia="仿宋_GB2312" w:cs="Times New Roman"/>
          <w:spacing w:val="6"/>
          <w:sz w:val="28"/>
          <w:szCs w:val="28"/>
          <w:lang w:eastAsia="zh-CN"/>
        </w:rPr>
        <w:t>年</w:t>
      </w:r>
      <w:r>
        <w:rPr>
          <w:rFonts w:hint="eastAsia" w:eastAsia="仿宋_GB2312" w:cs="Times New Roman"/>
          <w:spacing w:val="6"/>
          <w:sz w:val="28"/>
          <w:szCs w:val="28"/>
          <w:lang w:val="en-US" w:eastAsia="zh-CN"/>
        </w:rPr>
        <w:t>4</w:t>
      </w:r>
      <w:r>
        <w:rPr>
          <w:rFonts w:hint="eastAsia" w:ascii="Times New Roman" w:hAnsi="Times New Roman" w:eastAsia="仿宋_GB2312" w:cs="Times New Roman"/>
          <w:spacing w:val="6"/>
          <w:sz w:val="28"/>
          <w:szCs w:val="28"/>
          <w:lang w:eastAsia="zh-CN"/>
        </w:rPr>
        <w:t>月</w:t>
      </w:r>
      <w:r>
        <w:rPr>
          <w:rFonts w:hint="eastAsia" w:eastAsia="仿宋_GB2312" w:cs="Times New Roman"/>
          <w:spacing w:val="6"/>
          <w:sz w:val="28"/>
          <w:szCs w:val="28"/>
          <w:lang w:val="en-US" w:eastAsia="zh-CN"/>
        </w:rPr>
        <w:t>1</w:t>
      </w:r>
      <w:bookmarkStart w:id="1" w:name="_GoBack"/>
      <w:bookmarkEnd w:id="1"/>
      <w:r>
        <w:rPr>
          <w:rFonts w:hint="eastAsia" w:ascii="Times New Roman" w:hAnsi="Times New Roman" w:eastAsia="仿宋_GB2312" w:cs="Times New Roman"/>
          <w:spacing w:val="6"/>
          <w:sz w:val="28"/>
          <w:szCs w:val="28"/>
          <w:lang w:eastAsia="zh-CN"/>
        </w:rPr>
        <w:t>日起施行。同时，原岱山高亭渔港港章（岱政发〔2021〕18号）废止。</w:t>
      </w:r>
    </w:p>
    <w:p>
      <w:pPr>
        <w:widowControl w:val="0"/>
        <w:kinsoku/>
        <w:spacing w:line="360" w:lineRule="auto"/>
        <w:ind w:firstLine="584" w:firstLineChars="200"/>
        <w:outlineLvl w:val="1"/>
        <w:rPr>
          <w:rFonts w:hint="eastAsia" w:ascii="Times New Roman" w:hAnsi="Times New Roman" w:eastAsia="仿宋_GB2312" w:cs="Times New Roman"/>
          <w:spacing w:val="6"/>
          <w:sz w:val="28"/>
          <w:szCs w:val="28"/>
          <w:lang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right"/>
        <w:textAlignment w:val="auto"/>
        <w:rPr>
          <w:rFonts w:hint="default" w:ascii="仿宋_GB2312" w:hAnsi="Times New Roman" w:eastAsia="仿宋_GB2312" w:cs="仿宋_GB2312"/>
          <w:kern w:val="2"/>
          <w:sz w:val="28"/>
          <w:szCs w:val="28"/>
          <w:u w:val="none" w:color="auto"/>
          <w:lang w:val="en-US" w:eastAsia="zh-CN" w:bidi="ar"/>
        </w:rPr>
      </w:pPr>
      <w:r>
        <w:rPr>
          <w:rFonts w:hint="default" w:ascii="仿宋_GB2312" w:hAnsi="Times New Roman" w:eastAsia="仿宋_GB2312" w:cs="仿宋_GB2312"/>
          <w:kern w:val="2"/>
          <w:sz w:val="28"/>
          <w:szCs w:val="28"/>
          <w:u w:val="none" w:color="auto"/>
          <w:lang w:val="en-US" w:eastAsia="zh-CN" w:bidi="ar"/>
        </w:rPr>
        <w:t>岱山县人民政府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right"/>
        <w:textAlignment w:val="auto"/>
        <w:rPr>
          <w:rFonts w:hint="default" w:ascii="仿宋_GB2312" w:hAnsi="Times New Roman" w:eastAsia="仿宋_GB2312" w:cs="仿宋_GB2312"/>
          <w:kern w:val="2"/>
          <w:sz w:val="28"/>
          <w:szCs w:val="28"/>
          <w:u w:val="none" w:color="auto"/>
          <w:lang w:val="en-US" w:eastAsia="zh-CN" w:bidi="ar"/>
        </w:rPr>
      </w:pPr>
      <w:r>
        <w:rPr>
          <w:rFonts w:hint="eastAsia" w:ascii="仿宋_GB2312" w:hAnsi="Times New Roman" w:eastAsia="仿宋_GB2312" w:cs="仿宋_GB2312"/>
          <w:kern w:val="2"/>
          <w:sz w:val="28"/>
          <w:szCs w:val="28"/>
          <w:u w:val="none" w:color="auto"/>
          <w:lang w:val="en-US" w:eastAsia="zh-CN" w:bidi="ar"/>
        </w:rPr>
        <w:t>202</w:t>
      </w:r>
      <w:r>
        <w:rPr>
          <w:rFonts w:hint="eastAsia" w:ascii="仿宋_GB2312" w:eastAsia="仿宋_GB2312" w:cs="仿宋_GB2312"/>
          <w:kern w:val="2"/>
          <w:sz w:val="28"/>
          <w:szCs w:val="28"/>
          <w:u w:val="none" w:color="auto"/>
          <w:lang w:val="en-US" w:eastAsia="zh-CN" w:bidi="ar"/>
        </w:rPr>
        <w:t>5</w:t>
      </w:r>
      <w:r>
        <w:rPr>
          <w:rFonts w:hint="eastAsia" w:ascii="仿宋_GB2312" w:hAnsi="Times New Roman" w:eastAsia="仿宋_GB2312" w:cs="仿宋_GB2312"/>
          <w:kern w:val="2"/>
          <w:sz w:val="28"/>
          <w:szCs w:val="28"/>
          <w:u w:val="none" w:color="auto"/>
          <w:lang w:val="en-US" w:eastAsia="zh-CN" w:bidi="ar"/>
        </w:rPr>
        <w:t>年</w:t>
      </w:r>
      <w:r>
        <w:rPr>
          <w:rFonts w:hint="eastAsia" w:ascii="仿宋_GB2312" w:eastAsia="仿宋_GB2312" w:cs="仿宋_GB2312"/>
          <w:kern w:val="2"/>
          <w:sz w:val="28"/>
          <w:szCs w:val="28"/>
          <w:u w:val="none" w:color="auto"/>
          <w:lang w:val="en-US" w:eastAsia="zh-CN" w:bidi="ar"/>
        </w:rPr>
        <w:t>2</w:t>
      </w:r>
      <w:r>
        <w:rPr>
          <w:rFonts w:hint="eastAsia" w:ascii="仿宋_GB2312" w:hAnsi="Times New Roman" w:eastAsia="仿宋_GB2312" w:cs="仿宋_GB2312"/>
          <w:kern w:val="2"/>
          <w:sz w:val="28"/>
          <w:szCs w:val="28"/>
          <w:u w:val="none" w:color="auto"/>
          <w:lang w:val="en-US" w:eastAsia="zh-CN" w:bidi="ar"/>
        </w:rPr>
        <w:t>月7日</w:t>
      </w:r>
    </w:p>
    <w:p>
      <w:pPr>
        <w:widowControl w:val="0"/>
        <w:kinsoku/>
        <w:spacing w:line="360" w:lineRule="auto"/>
        <w:ind w:firstLine="584" w:firstLineChars="200"/>
        <w:outlineLvl w:val="1"/>
        <w:rPr>
          <w:rFonts w:hint="eastAsia" w:ascii="Times New Roman" w:hAnsi="Times New Roman" w:eastAsia="仿宋_GB2312" w:cs="Times New Roman"/>
          <w:spacing w:val="6"/>
          <w:sz w:val="28"/>
          <w:szCs w:val="28"/>
          <w:lang w:eastAsia="zh-CN"/>
        </w:rPr>
        <w:sectPr>
          <w:footerReference r:id="rId5" w:type="default"/>
          <w:pgSz w:w="11910" w:h="16845"/>
          <w:pgMar w:top="1361" w:right="1474" w:bottom="1134" w:left="1587" w:header="0" w:footer="624" w:gutter="0"/>
          <w:pgNumType w:fmt="decimal"/>
          <w:cols w:space="720" w:num="1"/>
        </w:sectPr>
      </w:pPr>
    </w:p>
    <w:p>
      <w:pPr>
        <w:adjustRightInd w:val="0"/>
        <w:snapToGrid w:val="0"/>
        <w:rPr>
          <w:rFonts w:hint="eastAsia" w:ascii="黑体" w:hAnsi="黑体" w:eastAsia="黑体"/>
          <w:sz w:val="28"/>
          <w:szCs w:val="28"/>
        </w:rPr>
      </w:pPr>
    </w:p>
    <w:p>
      <w:pPr>
        <w:adjustRightInd w:val="0"/>
        <w:snapToGrid w:val="0"/>
        <w:rPr>
          <w:rFonts w:hint="eastAsia" w:ascii="黑体" w:hAnsi="黑体" w:eastAsia="黑体"/>
          <w:sz w:val="28"/>
          <w:szCs w:val="28"/>
        </w:rPr>
      </w:pPr>
    </w:p>
    <w:p>
      <w:pPr>
        <w:adjustRightInd w:val="0"/>
        <w:snapToGrid w:val="0"/>
        <w:rPr>
          <w:rFonts w:ascii="黑体" w:hAnsi="黑体" w:eastAsia="黑体"/>
          <w:sz w:val="28"/>
          <w:szCs w:val="28"/>
        </w:rPr>
      </w:pPr>
      <w:r>
        <w:rPr>
          <w:rFonts w:hint="eastAsia" w:ascii="黑体" w:hAnsi="黑体" w:eastAsia="黑体"/>
          <w:sz w:val="28"/>
          <w:szCs w:val="28"/>
        </w:rPr>
        <w:t>附件：浙江省</w:t>
      </w:r>
      <w:r>
        <w:rPr>
          <w:rFonts w:hint="eastAsia" w:ascii="黑体" w:hAnsi="黑体" w:eastAsia="黑体"/>
          <w:sz w:val="28"/>
          <w:szCs w:val="28"/>
          <w:lang w:val="en-US" w:eastAsia="zh-CN"/>
        </w:rPr>
        <w:t>岱山县高亭</w:t>
      </w:r>
      <w:r>
        <w:rPr>
          <w:rFonts w:hint="eastAsia" w:ascii="黑体" w:hAnsi="黑体" w:eastAsia="黑体"/>
          <w:sz w:val="28"/>
          <w:szCs w:val="28"/>
        </w:rPr>
        <w:t>渔港港界图</w:t>
      </w:r>
    </w:p>
    <w:p>
      <w:pPr>
        <w:widowControl w:val="0"/>
        <w:kinsoku/>
        <w:spacing w:line="360" w:lineRule="auto"/>
        <w:jc w:val="both"/>
        <w:rPr>
          <w:rFonts w:hint="eastAsia" w:ascii="Times New Roman" w:hAnsi="Times New Roman" w:eastAsia="仿宋_GB2312" w:cs="Times New Roman"/>
          <w:spacing w:val="6"/>
          <w:sz w:val="28"/>
          <w:szCs w:val="28"/>
          <w:lang w:eastAsia="zh-CN"/>
        </w:rPr>
      </w:pPr>
      <w:r>
        <w:rPr>
          <w:rFonts w:hint="eastAsia" w:ascii="Times New Roman" w:hAnsi="Times New Roman" w:eastAsia="仿宋_GB2312" w:cs="Times New Roman"/>
          <w:spacing w:val="6"/>
          <w:sz w:val="28"/>
          <w:szCs w:val="28"/>
          <w:lang w:eastAsia="zh-CN"/>
        </w:rPr>
        <w:drawing>
          <wp:inline distT="0" distB="0" distL="114300" distR="114300">
            <wp:extent cx="13497560" cy="6517640"/>
            <wp:effectExtent l="0" t="0" r="0" b="0"/>
            <wp:docPr id="2" name="图片 2" descr="D:/2024/22 岱山高亭渔港等级认定/港界/PDF/20250205 岱山高亭渔港港界图01_00.png20250205 岱山高亭渔港港界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4/22 岱山高亭渔港等级认定/港界/PDF/20250205 岱山高亭渔港港界图01_00.png20250205 岱山高亭渔港港界图01_00"/>
                    <pic:cNvPicPr>
                      <a:picLocks noChangeAspect="1"/>
                    </pic:cNvPicPr>
                  </pic:nvPicPr>
                  <pic:blipFill>
                    <a:blip r:embed="rId7"/>
                    <a:srcRect l="403" r="370"/>
                    <a:stretch>
                      <a:fillRect/>
                    </a:stretch>
                  </pic:blipFill>
                  <pic:spPr>
                    <a:xfrm>
                      <a:off x="0" y="0"/>
                      <a:ext cx="13497560" cy="6517640"/>
                    </a:xfrm>
                    <a:prstGeom prst="rect">
                      <a:avLst/>
                    </a:prstGeom>
                  </pic:spPr>
                </pic:pic>
              </a:graphicData>
            </a:graphic>
          </wp:inline>
        </w:drawing>
      </w:r>
    </w:p>
    <w:sectPr>
      <w:pgSz w:w="23811" w:h="16838" w:orient="landscape"/>
      <w:pgMar w:top="1587" w:right="1361" w:bottom="1474" w:left="1134" w:header="0" w:footer="624"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0" w:leftChars="0" w:firstLine="0" w:firstLineChars="0"/>
      <w:rPr>
        <w:rFonts w:hint="eastAsia"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C839B0"/>
    <w:rsid w:val="00037E11"/>
    <w:rsid w:val="001742AE"/>
    <w:rsid w:val="002B0E7C"/>
    <w:rsid w:val="00360697"/>
    <w:rsid w:val="00C82412"/>
    <w:rsid w:val="00C839B0"/>
    <w:rsid w:val="044A61E2"/>
    <w:rsid w:val="074C3C8A"/>
    <w:rsid w:val="07F13FAE"/>
    <w:rsid w:val="08181931"/>
    <w:rsid w:val="0FF94348"/>
    <w:rsid w:val="123C676E"/>
    <w:rsid w:val="1C407CE8"/>
    <w:rsid w:val="1E7D37D0"/>
    <w:rsid w:val="1FCB79EA"/>
    <w:rsid w:val="258C0D39"/>
    <w:rsid w:val="27A40BE5"/>
    <w:rsid w:val="283229EA"/>
    <w:rsid w:val="29251CA0"/>
    <w:rsid w:val="29421AC0"/>
    <w:rsid w:val="296E40C3"/>
    <w:rsid w:val="3029612C"/>
    <w:rsid w:val="30640FB4"/>
    <w:rsid w:val="30BE1BCD"/>
    <w:rsid w:val="32827D75"/>
    <w:rsid w:val="32A0714C"/>
    <w:rsid w:val="339A7DFA"/>
    <w:rsid w:val="348953EB"/>
    <w:rsid w:val="3823560F"/>
    <w:rsid w:val="386229BE"/>
    <w:rsid w:val="38B901A2"/>
    <w:rsid w:val="3D871D40"/>
    <w:rsid w:val="3E3B7B31"/>
    <w:rsid w:val="44872FC9"/>
    <w:rsid w:val="452834F2"/>
    <w:rsid w:val="46672CBC"/>
    <w:rsid w:val="46B82BB3"/>
    <w:rsid w:val="501339DA"/>
    <w:rsid w:val="53B7373F"/>
    <w:rsid w:val="53E26AD5"/>
    <w:rsid w:val="5B385361"/>
    <w:rsid w:val="5DE1497B"/>
    <w:rsid w:val="5E231D6D"/>
    <w:rsid w:val="5E9842F9"/>
    <w:rsid w:val="5FEB58EA"/>
    <w:rsid w:val="61502397"/>
    <w:rsid w:val="66C960C1"/>
    <w:rsid w:val="680907ED"/>
    <w:rsid w:val="69D55F73"/>
    <w:rsid w:val="6ACD2E6D"/>
    <w:rsid w:val="6B4A6C95"/>
    <w:rsid w:val="6BD83F86"/>
    <w:rsid w:val="6C7938F7"/>
    <w:rsid w:val="6D205BE5"/>
    <w:rsid w:val="71610ABB"/>
    <w:rsid w:val="73BB3C65"/>
    <w:rsid w:val="7487654A"/>
    <w:rsid w:val="75B275F6"/>
    <w:rsid w:val="76104D5D"/>
    <w:rsid w:val="77C46CC7"/>
    <w:rsid w:val="782A3DBC"/>
    <w:rsid w:val="79102392"/>
    <w:rsid w:val="79D809F7"/>
    <w:rsid w:val="7E551467"/>
    <w:rsid w:val="7E7B4041"/>
    <w:rsid w:val="7F00521E"/>
    <w:rsid w:val="7F0F68D3"/>
    <w:rsid w:val="7F892114"/>
    <w:rsid w:val="7FFD6074"/>
    <w:rsid w:val="9BFFF823"/>
    <w:rsid w:val="B7FF8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widowControl w:val="0"/>
      <w:kinsoku/>
      <w:autoSpaceDE w:val="0"/>
      <w:autoSpaceDN w:val="0"/>
      <w:adjustRightInd w:val="0"/>
      <w:snapToGrid w:val="0"/>
      <w:spacing w:line="360" w:lineRule="auto"/>
      <w:ind w:firstLine="760" w:firstLineChars="200"/>
      <w:textAlignment w:val="baseline"/>
    </w:pPr>
    <w:rPr>
      <w:rFonts w:ascii="Times New Roman" w:hAnsi="Times New Roman" w:eastAsia="Arial" w:cs="Times New Roman"/>
      <w:snapToGrid/>
      <w:color w:val="000000"/>
      <w:kern w:val="2"/>
      <w:sz w:val="28"/>
      <w:szCs w:val="28"/>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5821</Words>
  <Characters>5844</Characters>
  <Lines>54</Lines>
  <Paragraphs>15</Paragraphs>
  <TotalTime>0</TotalTime>
  <ScaleCrop>false</ScaleCrop>
  <LinksUpToDate>false</LinksUpToDate>
  <CharactersWithSpaces>5953</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2021-04-15T23:17:00Z</dcterms:created>
  <dc:creator>RJeGov</dc:creator>
  <cp:lastModifiedBy>雷伊</cp:lastModifiedBy>
  <dcterms:modified xsi:type="dcterms:W3CDTF">2025-02-07T16:35:32Z</dcterms:modified>
  <dc:title>正文文件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2024-11-13T14:03:20Z</vt:filetime>
  </property>
  <property fmtid="{D5CDD505-2E9C-101B-9397-08002B2CF9AE}" pid="4" name="KSOProductBuildVer">
    <vt:lpwstr>2052-12.8.2.1113</vt:lpwstr>
  </property>
  <property fmtid="{D5CDD505-2E9C-101B-9397-08002B2CF9AE}" pid="5" name="ICV">
    <vt:lpwstr>C5D1E658AAB14A18BE904E1F1DBB6AE1_13</vt:lpwstr>
  </property>
  <property fmtid="{D5CDD505-2E9C-101B-9397-08002B2CF9AE}" pid="6" name="KSOTemplateDocerSaveRecord">
    <vt:lpwstr>eyJoZGlkIjoiZDI1MjJmOWI4ZGI5OWQyOWQ2Zjk1NjA0ZDc5N2I3YjQiLCJ1c2VySWQiOiI2OTgxMTAyOTcifQ==</vt:lpwstr>
  </property>
</Properties>
</file>