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napToGrid/>
        <w:spacing w:before="0" w:after="0" w:line="560" w:lineRule="exact"/>
        <w:ind w:left="0" w:firstLine="0"/>
        <w:jc w:val="center"/>
        <w:rPr>
          <w:rFonts w:hint="eastAsia" w:ascii="方正小标宋简体" w:hAnsi="Calibri" w:eastAsia="方正小标宋简体"/>
          <w:b w:val="0"/>
          <w:w w:val="100"/>
          <w:sz w:val="36"/>
          <w:lang w:eastAsia="zh-CN"/>
        </w:rPr>
      </w:pPr>
      <w:r>
        <w:rPr>
          <w:rFonts w:hint="eastAsia" w:ascii="方正小标宋简体" w:hAnsi="Calibri" w:eastAsia="方正小标宋简体"/>
          <w:b w:val="0"/>
          <w:w w:val="100"/>
          <w:sz w:val="36"/>
          <w:lang w:eastAsia="zh-CN"/>
        </w:rPr>
        <w:t>《慈溪市职业技能提升行动实施方案（2020-2021年）</w:t>
      </w:r>
    </w:p>
    <w:p>
      <w:pPr>
        <w:widowControl/>
        <w:autoSpaceDE/>
        <w:autoSpaceDN/>
        <w:snapToGrid/>
        <w:spacing w:before="0" w:after="0" w:line="560" w:lineRule="exact"/>
        <w:ind w:left="0" w:firstLine="0"/>
        <w:jc w:val="center"/>
        <w:rPr>
          <w:rFonts w:hint="eastAsia" w:ascii="方正小标宋简体" w:hAnsi="Calibri" w:eastAsia="方正小标宋简体"/>
          <w:b w:val="0"/>
          <w:w w:val="100"/>
          <w:sz w:val="36"/>
          <w:lang w:eastAsia="zh-CN"/>
        </w:rPr>
      </w:pPr>
      <w:r>
        <w:rPr>
          <w:rFonts w:hint="eastAsia" w:ascii="方正小标宋简体" w:hAnsi="Calibri" w:eastAsia="方正小标宋简体"/>
          <w:b w:val="0"/>
          <w:w w:val="100"/>
          <w:sz w:val="36"/>
          <w:lang w:eastAsia="zh-CN"/>
        </w:rPr>
        <w:t>（征求意见稿）》</w:t>
      </w:r>
    </w:p>
    <w:p>
      <w:pPr>
        <w:widowControl/>
        <w:autoSpaceDE/>
        <w:autoSpaceDN/>
        <w:snapToGrid/>
        <w:spacing w:before="0" w:after="0" w:line="560" w:lineRule="exact"/>
        <w:ind w:left="0" w:firstLine="0"/>
        <w:jc w:val="center"/>
        <w:rPr>
          <w:rFonts w:hint="eastAsia" w:ascii="方正小标宋简体" w:hAnsi="Calibri" w:eastAsia="方正小标宋简体"/>
          <w:b w:val="0"/>
          <w:w w:val="100"/>
          <w:sz w:val="36"/>
          <w:lang w:eastAsia="zh-CN"/>
        </w:rPr>
      </w:pPr>
      <w:r>
        <w:rPr>
          <w:rFonts w:hint="eastAsia" w:ascii="方正小标宋简体" w:hAnsi="Calibri" w:eastAsia="方正小标宋简体"/>
          <w:b w:val="0"/>
          <w:w w:val="100"/>
          <w:sz w:val="36"/>
          <w:lang w:eastAsia="zh-CN"/>
        </w:rPr>
        <w:t>起草说明</w:t>
      </w:r>
    </w:p>
    <w:p>
      <w:pPr>
        <w:widowControl/>
        <w:autoSpaceDE/>
        <w:autoSpaceDN/>
        <w:snapToGrid/>
        <w:spacing w:before="0" w:after="0" w:line="560" w:lineRule="exact"/>
        <w:ind w:left="0" w:firstLine="0"/>
        <w:jc w:val="left"/>
        <w:rPr>
          <w:rFonts w:hint="eastAsia" w:ascii="宋体" w:hAnsi="Calibri" w:eastAsia="宋体"/>
          <w:b w:val="0"/>
          <w:w w:val="100"/>
          <w:sz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0" w:after="0" w:line="560" w:lineRule="exact"/>
        <w:ind w:left="0" w:firstLine="567"/>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起草背景</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spacing w:val="0"/>
          <w:w w:val="100"/>
          <w:position w:val="0"/>
          <w:sz w:val="32"/>
          <w:szCs w:val="32"/>
          <w:shd w:val="clear" w:color="auto" w:fill="auto"/>
        </w:rPr>
        <w:t>为</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 xml:space="preserve">贯彻落实《国务院办公厅关于印发职业技能提升行动方案 </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bidi="en-US"/>
          <w14:textFill>
            <w14:solidFill>
              <w14:schemeClr w14:val="tx1"/>
            </w14:solidFill>
          </w14:textFill>
        </w:rPr>
        <w:t>（2019-2021年）</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的通知》（国办发〔2019〕24号）</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、《浙江省职业技能提升行动实施方案（2019-2021年）》（浙人社发〔2019〕53号），《宁波市人民政府办公厅关于印发宁波市职业技能提升行动实施方案（2019-2021年）的通知》（甬政办发</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〔2019〕</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78</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号</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,大力实施职业技能提升行动，</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进一步</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加快我市“123”千百亿级产业集群建设、推动民营经济高质量发展</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制定</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该</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实施方案。</w:t>
      </w:r>
    </w:p>
    <w:p>
      <w:pPr>
        <w:keepNext w:val="0"/>
        <w:keepLines w:val="0"/>
        <w:pageBreakBefore w:val="0"/>
        <w:widowControl/>
        <w:kinsoku/>
        <w:wordWrap/>
        <w:overflowPunct/>
        <w:topLinePunct w:val="0"/>
        <w:autoSpaceDE/>
        <w:autoSpaceDN/>
        <w:bidi w:val="0"/>
        <w:adjustRightInd/>
        <w:snapToGrid/>
        <w:spacing w:before="0" w:after="0" w:line="560" w:lineRule="exact"/>
        <w:ind w:left="0" w:firstLine="567"/>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二、主要内容</w:t>
      </w:r>
    </w:p>
    <w:p>
      <w:pPr>
        <w:keepNext w:val="0"/>
        <w:keepLines w:val="0"/>
        <w:pageBreakBefore w:val="0"/>
        <w:widowControl/>
        <w:kinsoku/>
        <w:wordWrap/>
        <w:overflowPunct/>
        <w:topLinePunct w:val="0"/>
        <w:autoSpaceDE/>
        <w:autoSpaceDN/>
        <w:bidi w:val="0"/>
        <w:adjustRightInd/>
        <w:snapToGrid/>
        <w:spacing w:before="0" w:after="0" w:line="56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（一）明确目标任务。明确重点对象类别，开展针对性职业技能培训。</w:t>
      </w:r>
    </w:p>
    <w:p>
      <w:pPr>
        <w:keepNext w:val="0"/>
        <w:keepLines w:val="0"/>
        <w:pageBreakBefore w:val="0"/>
        <w:widowControl/>
        <w:kinsoku/>
        <w:wordWrap/>
        <w:overflowPunct/>
        <w:topLinePunct w:val="0"/>
        <w:autoSpaceDE/>
        <w:autoSpaceDN/>
        <w:bidi w:val="0"/>
        <w:adjustRightInd/>
        <w:snapToGrid/>
        <w:spacing w:before="0" w:after="0" w:line="56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（二）优化整合资源配置，激发培训市场活力。激发企业主体作用，激发技工（职业）院校基础作用，激发社会培训机构培训活力，提升高技能人才平台培训能力，提升职业技能培训基础能力。</w:t>
      </w:r>
    </w:p>
    <w:p>
      <w:pPr>
        <w:keepNext w:val="0"/>
        <w:keepLines w:val="0"/>
        <w:pageBreakBefore w:val="0"/>
        <w:widowControl/>
        <w:kinsoku/>
        <w:wordWrap/>
        <w:overflowPunct/>
        <w:topLinePunct w:val="0"/>
        <w:autoSpaceDE/>
        <w:autoSpaceDN/>
        <w:bidi w:val="0"/>
        <w:adjustRightInd/>
        <w:snapToGrid/>
        <w:spacing w:before="0" w:after="0" w:line="56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（三）健全完善职业培训补贴政策，强化政府引导激励。</w:t>
      </w:r>
    </w:p>
    <w:p>
      <w:pPr>
        <w:keepNext w:val="0"/>
        <w:keepLines w:val="0"/>
        <w:pageBreakBefore w:val="0"/>
        <w:widowControl/>
        <w:kinsoku/>
        <w:wordWrap/>
        <w:overflowPunct/>
        <w:topLinePunct w:val="0"/>
        <w:autoSpaceDE/>
        <w:autoSpaceDN/>
        <w:bidi w:val="0"/>
        <w:adjustRightInd/>
        <w:snapToGrid/>
        <w:spacing w:before="0" w:after="0" w:line="560" w:lineRule="exact"/>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落实职业技能培训补贴政策，提高补贴针对性精准性，拓宽培训补贴范围，加大对重点群体的支持力度，明确职业培训补贴次数和要求。</w:t>
      </w:r>
    </w:p>
    <w:p>
      <w:pPr>
        <w:keepNext w:val="0"/>
        <w:keepLines w:val="0"/>
        <w:pageBreakBefore w:val="0"/>
        <w:widowControl/>
        <w:numPr>
          <w:ilvl w:val="0"/>
          <w:numId w:val="2"/>
        </w:numPr>
        <w:kinsoku/>
        <w:wordWrap/>
        <w:overflowPunct/>
        <w:topLinePunct w:val="0"/>
        <w:autoSpaceDE/>
        <w:autoSpaceDN/>
        <w:bidi w:val="0"/>
        <w:adjustRightInd/>
        <w:snapToGrid/>
        <w:spacing w:before="0" w:after="0" w:line="56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有效增加职业培训供给，提升管理服务水平。建立完善网上综合服务平台，规范职业技能培训补贴流程，加强培训机构和培训过程管理，加大培训资金监管力度。</w:t>
      </w:r>
    </w:p>
    <w:p>
      <w:pPr>
        <w:keepNext w:val="0"/>
        <w:keepLines w:val="0"/>
        <w:pageBreakBefore w:val="0"/>
        <w:widowControl/>
        <w:numPr>
          <w:ilvl w:val="0"/>
          <w:numId w:val="2"/>
        </w:numPr>
        <w:kinsoku/>
        <w:wordWrap/>
        <w:overflowPunct/>
        <w:topLinePunct w:val="0"/>
        <w:autoSpaceDE/>
        <w:autoSpaceDN/>
        <w:bidi w:val="0"/>
        <w:adjustRightInd/>
        <w:snapToGrid/>
        <w:spacing w:before="0" w:after="0" w:line="56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强化组织领导，明确各镇街道及各部门培训计划。</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567" w:leftChars="0"/>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三、实施时间</w:t>
      </w:r>
    </w:p>
    <w:p>
      <w:pPr>
        <w:keepNext w:val="0"/>
        <w:keepLines w:val="0"/>
        <w:pageBreakBefore w:val="0"/>
        <w:widowControl/>
        <w:kinsoku/>
        <w:wordWrap/>
        <w:overflowPunct/>
        <w:topLinePunct w:val="0"/>
        <w:autoSpaceDE/>
        <w:autoSpaceDN/>
        <w:bidi w:val="0"/>
        <w:adjustRightInd/>
        <w:snapToGrid/>
        <w:spacing w:before="0" w:after="0" w:line="56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本实施方案自发布之日起施行。</w:t>
      </w:r>
    </w:p>
    <w:p>
      <w:pPr>
        <w:keepNext w:val="0"/>
        <w:keepLines w:val="0"/>
        <w:pageBreakBefore w:val="0"/>
        <w:widowControl/>
        <w:kinsoku/>
        <w:wordWrap/>
        <w:overflowPunct/>
        <w:topLinePunct w:val="0"/>
        <w:autoSpaceDE/>
        <w:autoSpaceDN/>
        <w:bidi w:val="0"/>
        <w:adjustRightInd/>
        <w:snapToGrid/>
        <w:spacing w:before="0" w:after="0" w:line="560" w:lineRule="exact"/>
        <w:jc w:val="both"/>
        <w:textAlignment w:val="auto"/>
        <w:rPr>
          <w:rFonts w:hint="eastAsia" w:ascii="仿宋_GB2312" w:hAnsi="Calibri" w:eastAsia="仿宋_GB2312"/>
          <w:b w:val="0"/>
          <w:w w:val="100"/>
          <w:sz w:val="32"/>
          <w:lang w:eastAsia="zh-CN"/>
        </w:rPr>
      </w:pPr>
    </w:p>
    <w:p>
      <w:pPr>
        <w:widowControl/>
        <w:autoSpaceDE/>
        <w:autoSpaceDN/>
        <w:snapToGrid/>
        <w:spacing w:before="0" w:after="0" w:line="240" w:lineRule="auto"/>
        <w:ind w:left="0" w:firstLine="565"/>
        <w:jc w:val="both"/>
        <w:rPr>
          <w:rFonts w:hint="eastAsia" w:ascii="仿宋_GB2312" w:hAnsi="Calibri" w:eastAsia="仿宋_GB2312"/>
          <w:b w:val="0"/>
          <w:w w:val="100"/>
          <w:sz w:val="32"/>
          <w:lang w:eastAsia="zh-CN"/>
        </w:rPr>
      </w:pPr>
    </w:p>
    <w:p>
      <w:pPr>
        <w:widowControl/>
        <w:autoSpaceDE/>
        <w:autoSpaceDN/>
        <w:snapToGrid/>
        <w:spacing w:before="0" w:after="0" w:line="240" w:lineRule="auto"/>
        <w:ind w:left="0" w:firstLine="565"/>
        <w:jc w:val="both"/>
        <w:rPr>
          <w:rFonts w:hint="eastAsia" w:ascii="仿宋_GB2312" w:hAnsi="Calibri" w:eastAsia="仿宋_GB2312"/>
          <w:b w:val="0"/>
          <w:w w:val="100"/>
          <w:sz w:val="32"/>
          <w:lang w:eastAsia="zh-CN"/>
        </w:rPr>
      </w:pPr>
    </w:p>
    <w:p>
      <w:pPr>
        <w:widowControl/>
        <w:autoSpaceDE/>
        <w:autoSpaceDN/>
        <w:snapToGrid/>
        <w:spacing w:before="0" w:after="0" w:line="240" w:lineRule="auto"/>
        <w:ind w:left="0" w:firstLine="565"/>
        <w:jc w:val="both"/>
        <w:rPr>
          <w:rFonts w:hint="eastAsia" w:ascii="仿宋_GB2312" w:hAnsi="Calibri" w:eastAsia="仿宋_GB2312"/>
          <w:b w:val="0"/>
          <w:w w:val="100"/>
          <w:sz w:val="32"/>
          <w:lang w:eastAsia="zh-CN"/>
        </w:rPr>
      </w:pPr>
    </w:p>
    <w:p>
      <w:pPr>
        <w:widowControl/>
        <w:autoSpaceDE/>
        <w:autoSpaceDN/>
        <w:snapToGrid/>
        <w:spacing w:before="0" w:after="0" w:line="240" w:lineRule="auto"/>
        <w:ind w:left="0" w:firstLine="565"/>
        <w:jc w:val="both"/>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 xml:space="preserve">                </w:t>
      </w:r>
      <w:r>
        <w:rPr>
          <w:rFonts w:hint="eastAsia" w:ascii="仿宋_GB2312" w:hAnsi="Calibri" w:eastAsia="仿宋_GB2312"/>
          <w:b w:val="0"/>
          <w:w w:val="100"/>
          <w:sz w:val="32"/>
          <w:lang w:val="en-US" w:eastAsia="zh-CN"/>
        </w:rPr>
        <w:t xml:space="preserve">   </w:t>
      </w:r>
      <w:r>
        <w:rPr>
          <w:rFonts w:hint="eastAsia" w:ascii="仿宋_GB2312" w:hAnsi="Calibri" w:eastAsia="仿宋_GB2312"/>
          <w:b w:val="0"/>
          <w:w w:val="100"/>
          <w:sz w:val="32"/>
          <w:lang w:eastAsia="zh-CN"/>
        </w:rPr>
        <w:t>慈溪市人力资源和社会保障局</w:t>
      </w:r>
    </w:p>
    <w:p>
      <w:pPr>
        <w:widowControl/>
        <w:autoSpaceDE/>
        <w:autoSpaceDN/>
        <w:snapToGrid/>
        <w:spacing w:before="0" w:after="0" w:line="240" w:lineRule="auto"/>
        <w:ind w:left="0" w:firstLine="565"/>
        <w:jc w:val="both"/>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 xml:space="preserve">                         20</w:t>
      </w:r>
      <w:r>
        <w:rPr>
          <w:rFonts w:hint="eastAsia" w:ascii="仿宋_GB2312" w:hAnsi="Calibri" w:eastAsia="仿宋_GB2312"/>
          <w:b w:val="0"/>
          <w:w w:val="100"/>
          <w:sz w:val="32"/>
          <w:lang w:val="en-US" w:eastAsia="zh-CN"/>
        </w:rPr>
        <w:t>20</w:t>
      </w:r>
      <w:r>
        <w:rPr>
          <w:rFonts w:hint="eastAsia" w:ascii="仿宋_GB2312" w:hAnsi="Calibri" w:eastAsia="仿宋_GB2312"/>
          <w:b w:val="0"/>
          <w:w w:val="100"/>
          <w:sz w:val="32"/>
          <w:lang w:eastAsia="zh-CN"/>
        </w:rPr>
        <w:t>年</w:t>
      </w:r>
      <w:r>
        <w:rPr>
          <w:rFonts w:hint="eastAsia" w:ascii="仿宋_GB2312" w:hAnsi="Calibri" w:eastAsia="仿宋_GB2312"/>
          <w:b w:val="0"/>
          <w:w w:val="100"/>
          <w:sz w:val="32"/>
          <w:lang w:val="en-US" w:eastAsia="zh-CN"/>
        </w:rPr>
        <w:t>5</w:t>
      </w:r>
      <w:r>
        <w:rPr>
          <w:rFonts w:hint="eastAsia" w:ascii="仿宋_GB2312" w:hAnsi="Calibri" w:eastAsia="仿宋_GB2312"/>
          <w:b w:val="0"/>
          <w:w w:val="100"/>
          <w:sz w:val="32"/>
          <w:lang w:eastAsia="zh-CN"/>
        </w:rPr>
        <w:t>月</w:t>
      </w:r>
      <w:r>
        <w:rPr>
          <w:rFonts w:hint="eastAsia" w:ascii="仿宋_GB2312" w:hAnsi="Calibri" w:eastAsia="仿宋_GB2312"/>
          <w:b w:val="0"/>
          <w:w w:val="100"/>
          <w:sz w:val="32"/>
          <w:lang w:val="en-US" w:eastAsia="zh-CN"/>
        </w:rPr>
        <w:t>18</w:t>
      </w:r>
      <w:bookmarkStart w:id="19" w:name="_GoBack"/>
      <w:bookmarkEnd w:id="19"/>
      <w:r>
        <w:rPr>
          <w:rFonts w:hint="eastAsia" w:ascii="仿宋_GB2312" w:hAnsi="Calibri" w:eastAsia="仿宋_GB2312"/>
          <w:b w:val="0"/>
          <w:w w:val="100"/>
          <w:sz w:val="32"/>
          <w:lang w:eastAsia="zh-CN"/>
        </w:rPr>
        <w:t>日</w:t>
      </w:r>
    </w:p>
    <w:p>
      <w:pPr>
        <w:widowControl/>
        <w:autoSpaceDE/>
        <w:autoSpaceDN/>
        <w:snapToGrid/>
        <w:spacing w:before="0" w:after="0" w:line="240" w:lineRule="auto"/>
        <w:ind w:left="0" w:firstLine="565"/>
        <w:jc w:val="both"/>
        <w:rPr>
          <w:rFonts w:hint="eastAsia" w:ascii="仿宋_GB2312" w:hAnsi="Calibri" w:eastAsia="仿宋_GB2312"/>
          <w:b w:val="0"/>
          <w:w w:val="100"/>
          <w:sz w:val="32"/>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黑体" w:hAnsi="黑体" w:eastAsia="黑体" w:cs="黑体"/>
          <w:b w:val="0"/>
          <w:bCs w:val="0"/>
          <w:color w:val="000000"/>
          <w:spacing w:val="0"/>
          <w:w w:val="100"/>
          <w:position w:val="0"/>
          <w:sz w:val="30"/>
          <w:szCs w:val="30"/>
          <w:shd w:val="clear" w:color="auto" w:fill="auto"/>
          <w:lang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36"/>
          <w:szCs w:val="36"/>
          <w:shd w:val="clear" w:color="auto" w:fill="auto"/>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36"/>
          <w:szCs w:val="36"/>
          <w:shd w:val="clear" w:color="auto" w:fill="auto"/>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36"/>
          <w:szCs w:val="36"/>
          <w:shd w:val="clear" w:color="auto" w:fill="auto"/>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36"/>
          <w:szCs w:val="36"/>
          <w:shd w:val="clear" w:color="auto" w:fill="auto"/>
        </w:rPr>
      </w:pPr>
      <w:r>
        <w:rPr>
          <w:rFonts w:hint="eastAsia" w:ascii="方正小标宋简体" w:hAnsi="方正小标宋简体" w:eastAsia="方正小标宋简体" w:cs="方正小标宋简体"/>
          <w:color w:val="000000"/>
          <w:spacing w:val="0"/>
          <w:w w:val="100"/>
          <w:position w:val="0"/>
          <w:sz w:val="36"/>
          <w:szCs w:val="36"/>
          <w:shd w:val="clear" w:color="auto" w:fill="auto"/>
        </w:rPr>
        <w:t>慈溪市职业技能提升行动实施方案</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楷体_GB2312" w:hAnsi="楷体_GB2312" w:eastAsia="楷体_GB2312" w:cs="楷体_GB2312"/>
          <w:color w:val="000000"/>
          <w:spacing w:val="0"/>
          <w:w w:val="100"/>
          <w:position w:val="0"/>
          <w:sz w:val="32"/>
          <w:szCs w:val="32"/>
          <w:shd w:val="clear" w:color="auto" w:fill="auto"/>
        </w:rPr>
      </w:pPr>
      <w:r>
        <w:rPr>
          <w:rFonts w:hint="eastAsia" w:ascii="楷体_GB2312" w:hAnsi="楷体_GB2312" w:eastAsia="楷体_GB2312" w:cs="楷体_GB2312"/>
          <w:color w:val="000000"/>
          <w:spacing w:val="0"/>
          <w:w w:val="100"/>
          <w:position w:val="0"/>
          <w:sz w:val="32"/>
          <w:szCs w:val="32"/>
          <w:shd w:val="clear" w:color="auto" w:fill="auto"/>
        </w:rPr>
        <w:t>（</w:t>
      </w:r>
      <w:r>
        <w:rPr>
          <w:rFonts w:hint="eastAsia" w:ascii="楷体_GB2312" w:hAnsi="楷体_GB2312" w:eastAsia="楷体_GB2312" w:cs="楷体_GB2312"/>
          <w:color w:val="000000"/>
          <w:spacing w:val="0"/>
          <w:w w:val="100"/>
          <w:position w:val="0"/>
          <w:sz w:val="32"/>
          <w:szCs w:val="32"/>
          <w:shd w:val="clear" w:color="auto" w:fill="auto"/>
          <w:lang w:val="en-US" w:eastAsia="zh-CN"/>
        </w:rPr>
        <w:t>2020</w:t>
      </w:r>
      <w:r>
        <w:rPr>
          <w:rFonts w:hint="eastAsia" w:ascii="楷体_GB2312" w:hAnsi="楷体_GB2312" w:eastAsia="楷体_GB2312" w:cs="楷体_GB2312"/>
          <w:color w:val="000000"/>
          <w:spacing w:val="0"/>
          <w:w w:val="100"/>
          <w:position w:val="0"/>
          <w:sz w:val="32"/>
          <w:szCs w:val="32"/>
          <w:shd w:val="clear" w:color="auto" w:fill="auto"/>
        </w:rPr>
        <w:t>-2021年）</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楷体_GB2312" w:hAnsi="楷体_GB2312" w:eastAsia="楷体_GB2312" w:cs="楷体_GB2312"/>
          <w:color w:val="000000"/>
          <w:spacing w:val="0"/>
          <w:w w:val="100"/>
          <w:position w:val="0"/>
          <w:sz w:val="32"/>
          <w:szCs w:val="32"/>
          <w:shd w:val="clear" w:color="auto" w:fill="auto"/>
          <w:lang w:val="en-US" w:eastAsia="zh-CN"/>
        </w:rPr>
      </w:pPr>
      <w:r>
        <w:rPr>
          <w:rFonts w:hint="eastAsia" w:ascii="楷体_GB2312" w:hAnsi="楷体_GB2312" w:eastAsia="楷体_GB2312" w:cs="楷体_GB2312"/>
          <w:color w:val="000000"/>
          <w:spacing w:val="0"/>
          <w:w w:val="100"/>
          <w:position w:val="0"/>
          <w:sz w:val="32"/>
          <w:szCs w:val="32"/>
          <w:shd w:val="clear" w:color="auto" w:fill="auto"/>
          <w:lang w:val="en-US" w:eastAsia="zh-CN"/>
        </w:rPr>
        <w:t>（征求意见稿）</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default" w:ascii="仿宋_GB2312" w:hAnsi="仿宋_GB2312" w:eastAsia="仿宋_GB2312" w:cs="仿宋_GB2312"/>
          <w:color w:val="000000"/>
          <w:spacing w:val="0"/>
          <w:w w:val="100"/>
          <w:position w:val="0"/>
          <w:sz w:val="32"/>
          <w:szCs w:val="32"/>
          <w:shd w:val="clear" w:color="auto" w:fill="auto"/>
          <w:lang w:val="en-US" w:eastAsia="zh-CN"/>
        </w:rPr>
      </w:pPr>
      <w:r>
        <w:rPr>
          <w:rFonts w:hint="eastAsia" w:ascii="仿宋_GB2312" w:hAnsi="仿宋_GB2312" w:eastAsia="仿宋_GB2312" w:cs="仿宋_GB2312"/>
          <w:color w:val="000000"/>
          <w:spacing w:val="0"/>
          <w:w w:val="100"/>
          <w:position w:val="0"/>
          <w:sz w:val="32"/>
          <w:szCs w:val="32"/>
          <w:shd w:val="clear" w:color="auto" w:fill="auto"/>
          <w:lang w:val="en-US" w:eastAsia="zh-CN"/>
        </w:rPr>
        <w:t xml:space="preserve">                                                                                 </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20" w:firstLineChars="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spacing w:val="0"/>
          <w:w w:val="100"/>
          <w:position w:val="0"/>
          <w:sz w:val="32"/>
          <w:szCs w:val="32"/>
          <w:shd w:val="clear" w:color="auto" w:fill="auto"/>
        </w:rPr>
        <w:t>为</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 xml:space="preserve">贯彻落实《国务院办公厅关于印发职业技能提升行动方案 </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bidi="en-US"/>
          <w14:textFill>
            <w14:solidFill>
              <w14:schemeClr w14:val="tx1"/>
            </w14:solidFill>
          </w14:textFill>
        </w:rPr>
        <w:t>（2019-2021年）</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的通知》（国办发〔2019〕24号）</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、《浙江省职业技能提升行动实施方案（2019-2021年）》（浙人社发〔2019〕53号），《宁波市人民政府办公厅关于印发宁波市职业技能提升行动实施方案（2019-2021年）的通知》（甬政办发</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〔2019〕</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78</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号</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,大力实施职业技能提升行动，结合我市实际，制定本实施方案。</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20" w:firstLineChars="225"/>
        <w:jc w:val="both"/>
        <w:textAlignment w:val="auto"/>
        <w:rPr>
          <w:rFonts w:hint="eastAsia" w:ascii="黑体" w:hAnsi="黑体" w:eastAsia="黑体" w:cs="黑体"/>
          <w:b w:val="0"/>
          <w:bCs w:val="0"/>
          <w:color w:val="000000" w:themeColor="text1"/>
          <w:sz w:val="32"/>
          <w:szCs w:val="32"/>
          <w:highlight w:val="none"/>
          <w:shd w:val="clear" w:color="auto" w:fill="auto"/>
          <w:lang w:eastAsia="zh-CN"/>
          <w14:textFill>
            <w14:solidFill>
              <w14:schemeClr w14:val="tx1"/>
            </w14:solidFill>
          </w14:textFill>
        </w:rPr>
      </w:pPr>
      <w:r>
        <w:rPr>
          <w:rFonts w:hint="eastAsia" w:ascii="黑体" w:hAnsi="黑体" w:eastAsia="黑体" w:cs="黑体"/>
          <w:b w:val="0"/>
          <w:bCs w:val="0"/>
          <w:color w:val="000000" w:themeColor="text1"/>
          <w:spacing w:val="0"/>
          <w:w w:val="100"/>
          <w:position w:val="0"/>
          <w:sz w:val="32"/>
          <w:szCs w:val="32"/>
          <w:highlight w:val="none"/>
          <w:shd w:val="clear" w:color="auto" w:fill="auto"/>
          <w:lang w:eastAsia="zh-CN"/>
          <w14:textFill>
            <w14:solidFill>
              <w14:schemeClr w14:val="tx1"/>
            </w14:solidFill>
          </w14:textFill>
        </w:rPr>
        <w:t>一、</w:t>
      </w:r>
      <w:r>
        <w:rPr>
          <w:rFonts w:hint="eastAsia" w:ascii="黑体" w:hAnsi="黑体" w:eastAsia="黑体" w:cs="黑体"/>
          <w:b w:val="0"/>
          <w:bCs w:val="0"/>
          <w:color w:val="000000" w:themeColor="text1"/>
          <w:spacing w:val="0"/>
          <w:w w:val="100"/>
          <w:position w:val="0"/>
          <w:sz w:val="32"/>
          <w:szCs w:val="32"/>
          <w:highlight w:val="none"/>
          <w:shd w:val="clear" w:color="auto" w:fill="auto"/>
          <w14:textFill>
            <w14:solidFill>
              <w14:schemeClr w14:val="tx1"/>
            </w14:solidFill>
          </w14:textFill>
        </w:rPr>
        <w:t>目标</w:t>
      </w:r>
      <w:r>
        <w:rPr>
          <w:rFonts w:hint="eastAsia" w:ascii="黑体" w:hAnsi="黑体" w:eastAsia="黑体" w:cs="黑体"/>
          <w:b w:val="0"/>
          <w:bCs w:val="0"/>
          <w:color w:val="000000" w:themeColor="text1"/>
          <w:spacing w:val="0"/>
          <w:w w:val="100"/>
          <w:position w:val="0"/>
          <w:sz w:val="32"/>
          <w:szCs w:val="32"/>
          <w:highlight w:val="none"/>
          <w:shd w:val="clear" w:color="auto" w:fill="auto"/>
          <w:lang w:eastAsia="zh-CN"/>
          <w14:textFill>
            <w14:solidFill>
              <w14:schemeClr w14:val="tx1"/>
            </w14:solidFill>
          </w14:textFill>
        </w:rPr>
        <w:t>任务和要求</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20" w:firstLineChars="225"/>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以习近平新时代中国特色社会主义思想为指导，全面贯彻党 的十九大精神，深入实施人才强市战略和</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“六争</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 xml:space="preserve">攻坚”决策部署, </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坚持需求导向，服务社会经济发展，把职业技能培训作为保持就业稳定、缓解结构性就业矛盾的关键举措，作为加快我市“123”千百亿级产业集群建设、推动</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民营经济高质量发展</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的重要支撑，全面提升劳动者职业技能水平和就业创业能力。</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2020年、2021年分别开展各类技能培训2.8万人次以上。</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到2021年</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底，</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技能劳动者占就业人员总量的比例达到26%以上，高技能人才占技能劳动者的比例达到31%以上。</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20" w:firstLineChars="225"/>
        <w:jc w:val="both"/>
        <w:textAlignment w:val="auto"/>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二、</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明确重点</w:t>
      </w: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对象类别</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，开展针对性职业技能培训</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黑体" w:hAnsi="黑体" w:eastAsia="黑体" w:cs="黑体"/>
          <w:color w:val="000000" w:themeColor="text1"/>
          <w:sz w:val="32"/>
          <w:szCs w:val="32"/>
          <w:highlight w:val="none"/>
          <w:shd w:val="clear" w:color="auto" w:fill="auto"/>
          <w14:textFill>
            <w14:solidFill>
              <w14:schemeClr w14:val="tx1"/>
            </w14:solidFill>
          </w14:textFill>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lang w:val="en-US" w:eastAsia="zh-CN" w:bidi="en-US"/>
          <w14:textFill>
            <w14:solidFill>
              <w14:schemeClr w14:val="tx1"/>
            </w14:solidFill>
          </w14:textFill>
        </w:rPr>
        <w:t>（一）</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职业技能提升行动的重点培训对象。</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企业职工特别是受经贸摩擦</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、新冠肺炎疫情</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影响的企业职工、农村转移就业劳动者、城乡未继续升学的初高中毕业生（以下简称</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“两</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后生”）、失业人员、退役军人（含未就业随军家属）、就业困难人员（含残疾人）、有培训需求的高校毕业生、职业农民。</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（二）职业技能提升行动的培训类别。</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面向农村转移就业劳 动者、</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“两后</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生”、失业人员、退役军人（含未就业随军家属）、就业困难人员（含残疾人）、有培训需求的高校毕业生开展的就业技能培训；面向企业职工特别是受经贸摩擦</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、新冠肺炎疫情</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影响的企业职工开展的技能提升培训、转岗转业培训、高技能人才培训、学徒制培训等; 面向高危行业企业从业人员开展的安全技能培训；面向新型职业农民、建档立卡低收入农户家庭劳动力开展的技能提升培训；面向有创业意愿的重点对象开展的创业培训。</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left"/>
        <w:textAlignment w:val="auto"/>
        <w:rPr>
          <w:rFonts w:hint="eastAsia" w:ascii="黑体" w:hAnsi="黑体" w:eastAsia="黑体" w:cs="黑体"/>
          <w:color w:val="000000" w:themeColor="text1"/>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三</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、优化整合资源配置，激发培训市场活力</w:t>
      </w:r>
    </w:p>
    <w:p>
      <w:pPr>
        <w:pStyle w:val="12"/>
        <w:keepNext w:val="0"/>
        <w:keepLines w:val="0"/>
        <w:pageBreakBefore w:val="0"/>
        <w:widowControl w:val="0"/>
        <w:shd w:val="clear" w:color="auto" w:fill="auto"/>
        <w:tabs>
          <w:tab w:val="left" w:pos="1558"/>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0" w:name="bookmark10"/>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0"/>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一）激发企业主体作用。</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支持企业建立健全现代企业职工培训制度，规范开展培训活动。企业需制定职工培训计划，广泛组织在岗培训、脱产培训，开展岗位练兵、技能竞赛</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、线上培训学习</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等活动，企业可通过职工教育经费提供相应的资金支持。支持各类企业特别是规模以上企业利用自身资源按程序设立职工培训中心，鼓励企业与各类技工（职业）院校、培训机构和行业协会合作，深入开展订单式、定向式培训。</w:t>
      </w:r>
      <w:r>
        <w:rPr>
          <w:rFonts w:hint="eastAsia" w:ascii="仿宋_GB2312" w:hAnsi="仿宋_GB2312" w:eastAsia="仿宋_GB2312" w:cs="仿宋_GB2312"/>
          <w:b w:val="0"/>
          <w:bCs w:val="0"/>
          <w:color w:val="000000" w:themeColor="text1"/>
          <w:spacing w:val="0"/>
          <w:w w:val="100"/>
          <w:position w:val="0"/>
          <w:sz w:val="32"/>
          <w:szCs w:val="32"/>
          <w:highlight w:val="none"/>
          <w:shd w:val="clear" w:color="auto" w:fill="auto"/>
          <w:lang w:eastAsia="zh-CN"/>
          <w14:textFill>
            <w14:solidFill>
              <w14:schemeClr w14:val="tx1"/>
            </w14:solidFill>
          </w14:textFill>
        </w:rPr>
        <w:t>尝试</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发展以龙头企业、规模企业为依托的公共实训基地的建设，鼓励企业与</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技工（职业）院校</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、高等院校合作共建实训中心，积极建设培育一批产教融合性企业。</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支持企业围绕岗位履职必需的职业技能、安全生产等内容，开展新录用职工岗前技能培训，符合条件达到规定培训课时的，按专项能力补贴标准给予企业培训补贴。全面推行企业新型学徒制培训，</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两年</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累计培训不少于</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500</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人，对企业与具有培训资质的院校（培训机构）合作，采取企校双师带徒、工学交替培养等模式共同培养的职工学徒和学生学徒，分别按每人每年最高不超过6000元、3000元的标准给予企业补贴。</w:t>
      </w:r>
    </w:p>
    <w:p>
      <w:pPr>
        <w:pStyle w:val="12"/>
        <w:keepNext w:val="0"/>
        <w:keepLines w:val="0"/>
        <w:pageBreakBefore w:val="0"/>
        <w:widowControl w:val="0"/>
        <w:shd w:val="clear" w:color="auto" w:fill="auto"/>
        <w:tabs>
          <w:tab w:val="left" w:pos="1558"/>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（二）</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激发技工（职业）院校基础作用。</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鼓励支持技工（职 业）院校和有条件的高校开展职业技能培训、支持技工</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（职工）</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院校</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和高等院校</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建设实训基地，实训设施设备向参与培训的企业、职业院校、社会培训机构全面开放，提升实训设施使用效率。加快推进学历证书与职业资格证书互通衔接，鼓励技工院校与高等院校合作办学，培养具有全日制高等学历的高技能人才</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支持技工（职业）院校</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、高等院校</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开展社会化培训，扩大面向职工、就业重点群体和贫困劳动力的培训规模。所得收入内部分配时，按有关规定向承担培训工作的一线教师倾斜。</w:t>
      </w:r>
    </w:p>
    <w:p>
      <w:pPr>
        <w:pStyle w:val="12"/>
        <w:keepNext w:val="0"/>
        <w:keepLines w:val="0"/>
        <w:pageBreakBefore w:val="0"/>
        <w:widowControl w:val="0"/>
        <w:shd w:val="clear" w:color="auto" w:fill="auto"/>
        <w:tabs>
          <w:tab w:val="left" w:pos="1558"/>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pPr>
      <w:bookmarkStart w:id="1" w:name="bookmark12"/>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1"/>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三）激发社会培训机构培训活力。</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放宽职业培训机构和培训项目审批条件及程序，除准入类项目外，其他培训项目由审批制改为备案制。积极</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开展适应区域产业发展需求的职业技能培训，加强创业指导培训，发展人工智能、大数据、云计算和“互联网</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”等新职业新技能培训，</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推动职业技能培训与我市传统产业、新兴产业和我市“123”千百亿级产业集群需求对接，精准培养区域产业需要、适应社会新经济发展的高技能人才</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。推行培训机构等级评价模式和淘汰机制，引入第三方对培训机构进行定期动态评估，及时公布参与政府补贴性培训的培训机构名单和培训项目。</w:t>
      </w:r>
      <w:bookmarkStart w:id="2" w:name="bookmark13"/>
    </w:p>
    <w:p>
      <w:pPr>
        <w:pStyle w:val="12"/>
        <w:keepNext w:val="0"/>
        <w:keepLines w:val="0"/>
        <w:pageBreakBefore w:val="0"/>
        <w:widowControl w:val="0"/>
        <w:shd w:val="clear" w:color="auto" w:fill="auto"/>
        <w:tabs>
          <w:tab w:val="left" w:pos="1558"/>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2"/>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四）提升高技能人才平台培训能力。</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加快建设覆盖重点产业和特色行业的技能大师工作室网络，加强评估和管理，促进作用发挥。加大以师带徒力度，以师带徒补贴在现行标准基础上统一上调30%。推行技能大师工作室带徒导师津贴制度，带徒导师津贴以带徒数量和质量为重要依据，由企业职教经费列支。完善公共实训基地考核管理办法，加大实训激励力度，</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引导实训项目向传统制造业、新兴技术产业倾斜。</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完成规定课时和实训模块，取得实训合格证书的，按规定给予实训中心实训补贴。</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3" w:name="bookmark14"/>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3"/>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五）提升职业技能培训基础能力。</w:t>
      </w: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要</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积极创造条件，加大投入，重点支持高技能人才公共实训中心、技能创业孵化基地、技工院校、职业训练院等培养平台建设和实训设备设施升级改造。采取政府购买服务等方式，加快职业技能培训教材</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、“职</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业培训（鉴定）包”等开发力度，大力提高培训和鉴定质量。</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四、健全</w:t>
      </w: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完善职业培训补贴政策</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，强化政府引导激励</w:t>
      </w:r>
    </w:p>
    <w:p>
      <w:pPr>
        <w:pStyle w:val="12"/>
        <w:keepNext w:val="0"/>
        <w:keepLines w:val="0"/>
        <w:pageBreakBefore w:val="0"/>
        <w:widowControl w:val="0"/>
        <w:shd w:val="clear" w:color="auto" w:fill="auto"/>
        <w:tabs>
          <w:tab w:val="left" w:pos="1529"/>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（一）</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落实职业技能培训补贴政策</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。以获取职业资格证书（职业技能等级证书、专项能力证书，下同）为主要依据，对具有</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慈溪</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户籍、在</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慈溪</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常住并持有居住证、在</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慈溪</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就业创业或已办理失业登记的城乡劳动者提供普惠同等的培训补贴。对建档立卡低收入农户家庭劳动力、退役军人（含未就业随军家属）、对口支援地</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建档立卡贫困人员等相关群体以及企业职工，</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对</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我市“123”千百亿级产业</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集群培育工程建设急需专业和部分市场紧缺职业，制订项目制（即没有职业资格证书的职业工种）培训补贴目录清单，通过政府购买服务形式开展培训。对项目制培训以培训合格证书、特种作业操作证书为依据进行补贴。</w:t>
      </w:r>
    </w:p>
    <w:p>
      <w:pPr>
        <w:pStyle w:val="12"/>
        <w:keepNext w:val="0"/>
        <w:keepLines w:val="0"/>
        <w:pageBreakBefore w:val="0"/>
        <w:widowControl w:val="0"/>
        <w:shd w:val="clear" w:color="auto" w:fill="auto"/>
        <w:tabs>
          <w:tab w:val="left" w:pos="1539"/>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4" w:name="bookmark16"/>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4"/>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二）提高补贴针对性精准</w:t>
      </w: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性</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根据人力资源市场职业（工 种）紧缺程度、技能复杂程度、等级高低，按照同一工种、同一 等级、同一补贴标准，发布培训补贴目录清单和补贴标准， 积极实施差异化补贴。加大专项能力类和职业资格类培训支持力 度，建立培训补贴标准发布制度，适时调整补贴标准。</w:t>
      </w:r>
    </w:p>
    <w:p>
      <w:pPr>
        <w:pStyle w:val="12"/>
        <w:keepNext w:val="0"/>
        <w:keepLines w:val="0"/>
        <w:pageBreakBefore w:val="0"/>
        <w:widowControl w:val="0"/>
        <w:shd w:val="clear" w:color="auto" w:fill="auto"/>
        <w:tabs>
          <w:tab w:val="left" w:pos="1558"/>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5" w:name="bookmark17"/>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5"/>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三）拓宽培训补贴范围。</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积极推行适应企业职工培训特点的</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“互</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联网+职业技能培训”，符合条件并经考核取得职业资格证书（专项能力证书），按规定享受培训补贴。加大适应就业和产业需求的短期培训，学员参加规定课时岗位技能培训，并经考核取得培训合格证书，按专项能力补贴标准给予补贴。鼓励行业开展特种作业操作培训，参加特种作业培训，并经考核取得</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宁波</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市级及以上行业主管部门依法核发的特种作业证书，按实给予最高不超过 600元的补贴。加大紧缺高技能人才岗位补贴力度，符合条件的企业一线在岗职工，自取得紧缺工种技师、高级技师职业资格证书之日起，即可享受紧缺技能人才岗位补贴，补贴期限最长不超过3 年，5年内申领完毕。</w:t>
      </w:r>
    </w:p>
    <w:p>
      <w:pPr>
        <w:pStyle w:val="12"/>
        <w:keepNext w:val="0"/>
        <w:keepLines w:val="0"/>
        <w:pageBreakBefore w:val="0"/>
        <w:widowControl w:val="0"/>
        <w:shd w:val="clear" w:color="auto" w:fill="auto"/>
        <w:tabs>
          <w:tab w:val="left" w:pos="1558"/>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（四）加大对重点群体的支持力度</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。对贫困家庭子女、贫困劳动力、</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“两后</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生”、农村转移就业劳动者、下岗失业人员和转岗职工、退役军人（含未就业随军家属）、残疾人开展免费职业技能培训。对贫困劳动力、就业困难人员（含残疾人）、零就业家庭成员、</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“两</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后生”中的农村学员和城市低保家庭学员，在培训期间按每人每天40元标准给予生活费补贴，最高不超过最低生活保障标准。生活费补贴每人每年享受一次。</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6" w:name="bookmark19"/>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6"/>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五）明确职业培训补贴次数和要求。</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符合条件的补贴对象，参加培训后取得证书（职业资格证书、职业技能等级证书、专项 职业能力证书、特种作业操作证书、培训合格证书等）的，按规定享受职业培训补贴，原则上享受培训补贴项目每人每年不超过3次，同一职业同一等级不可重复享受。</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五、有效增加职业培训供给</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，提升管理服务水平</w:t>
      </w:r>
    </w:p>
    <w:p>
      <w:pPr>
        <w:pStyle w:val="12"/>
        <w:keepNext w:val="0"/>
        <w:keepLines w:val="0"/>
        <w:pageBreakBefore w:val="0"/>
        <w:widowControl w:val="0"/>
        <w:shd w:val="clear" w:color="auto" w:fill="auto"/>
        <w:tabs>
          <w:tab w:val="left" w:pos="1581"/>
        </w:tabs>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7" w:name="bookmark20"/>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7"/>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一）建立完善网上综合服务平台。</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积极推行</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“工</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学一体化”、</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“互</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联网+”等先进培训方式，</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实现</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职业技能培训信息互联互通</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积推进培训补贴申领告知承诺制，提高服务效率。推行</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培训</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实名制管理。完善技能人才职业资格评价、职业技能等级认定、专项职业能力考核等多元化评价方式, 大力推进技能人才按业绩贡献等要素直接认定工作。</w:t>
      </w:r>
    </w:p>
    <w:p>
      <w:pPr>
        <w:pStyle w:val="12"/>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8" w:name="bookmark21"/>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8"/>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二）规范职业技能培训补贴流程。</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 xml:space="preserve">深化职业技能培训工作 </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“最</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多跑一次”改革，规范职业技能培训补贴流程。职业资格培训流程为：公布职业资格补贴目录清单一培训机构组织报名一培 训开班备案一学员结业一考核鉴定（等级认定）一结果公示一申 领培训补贴。项目制培训流程为：发布项目征集计划一公布项目 清单一组织培训一结业评估一结果公示一经费核拨。</w:t>
      </w:r>
    </w:p>
    <w:p>
      <w:pPr>
        <w:pStyle w:val="12"/>
        <w:keepNext w:val="0"/>
        <w:keepLines w:val="0"/>
        <w:pageBreakBefore w:val="0"/>
        <w:widowControl w:val="0"/>
        <w:shd w:val="clear" w:color="auto" w:fill="auto"/>
        <w:tabs>
          <w:tab w:val="left" w:pos="1564"/>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9" w:name="bookmark22"/>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9"/>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三）加强培训机构和培训过程管理。</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加强对承担补贴性培训机构（院校）和企业培训中心培训质量的监管，制定</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完善</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职业技能培训机构管理办法</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。开展</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培训机构</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年检评估工作</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，定期向社会公布</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评估结果</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。对信誉不佳、培训质量不高、社会投诉较多的培训机构，</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年检评估直接予以不合格评价，并</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实行约谈和退出机制。健全开班申请、过程检查和评价审核等培训过程管理和补贴绩效评估体系，探索建立第三方监督评价机制，委托有资质的社会组织对培训质量及资金使用情况进行评估。实行培训全过程监控管理制度，参与培训的主体开班全程实行影像监控并存档备查。建立动态管理机制，对培训质量低劣，尤其是存在骗取、套取培训资金的培训机构，按照相关规定取消其培训资格，追回被骗取、套取的补贴资金，并追究法律责任。</w:t>
      </w:r>
    </w:p>
    <w:p>
      <w:pPr>
        <w:pStyle w:val="12"/>
        <w:keepNext w:val="0"/>
        <w:keepLines w:val="0"/>
        <w:pageBreakBefore w:val="0"/>
        <w:widowControl w:val="0"/>
        <w:shd w:val="clear" w:color="auto" w:fill="auto"/>
        <w:tabs>
          <w:tab w:val="left" w:pos="1564"/>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10" w:name="bookmark23"/>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10"/>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四）加大培训资金监管力度</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。依法加强资金监管</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规范补贴资金发放台账, 加强评估和监管，定期向社会公开工作进展和各项补贴资金使用情况。抓好基础管理工作，推动信息共享，有效甄别享受补贴政策人员和单位的真实性。加强专项审计和第三方绩效评价，推动第三方线上线下对培训资金的监管，保障资金安全和效益。强化廉政风险防控，对挪用、占用、截留培训资金和以虚假培训等套取、骗取资金的，依法依纪严肃处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六、加强组织</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领导，强化</w:t>
      </w:r>
      <w:r>
        <w:rPr>
          <w:rFonts w:hint="eastAsia" w:ascii="黑体" w:hAnsi="黑体" w:eastAsia="黑体" w:cs="黑体"/>
          <w:color w:val="000000" w:themeColor="text1"/>
          <w:spacing w:val="0"/>
          <w:w w:val="100"/>
          <w:position w:val="0"/>
          <w:sz w:val="32"/>
          <w:szCs w:val="32"/>
          <w:highlight w:val="none"/>
          <w:shd w:val="clear" w:color="auto" w:fill="auto"/>
          <w14:textFill>
            <w14:solidFill>
              <w14:schemeClr w14:val="tx1"/>
            </w14:solidFill>
          </w14:textFill>
        </w:rPr>
        <w:t>保障</w:t>
      </w:r>
      <w:r>
        <w:rPr>
          <w:rFonts w:hint="eastAsia" w:ascii="黑体" w:hAnsi="黑体" w:eastAsia="黑体" w:cs="黑体"/>
          <w:color w:val="000000" w:themeColor="text1"/>
          <w:spacing w:val="0"/>
          <w:w w:val="100"/>
          <w:position w:val="0"/>
          <w:sz w:val="32"/>
          <w:szCs w:val="32"/>
          <w:highlight w:val="none"/>
          <w:shd w:val="clear" w:color="auto" w:fill="auto"/>
          <w:lang w:eastAsia="zh-CN"/>
          <w14:textFill>
            <w14:solidFill>
              <w14:schemeClr w14:val="tx1"/>
            </w14:solidFill>
          </w14:textFill>
        </w:rPr>
        <w:t>措施</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（一）加强领导，</w:t>
      </w: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压实责任</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将“上林</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工匠</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”联席会议改名为</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市职业技能提升行动</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联席会议、下设办公室（设在市人力社保局）。联席会议除承担“上林</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工匠</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”行动计划职责外，负责本次职业</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技能提升</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行动、技能人才培养工作方面的</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综合协调、组织推动、督导落实</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等工作。在原成员单位的基础上，进一步扩充加强组织力量，将市住建局、市农业农村局、市退役军人事务局、市应急管理局、市民政局、市卫生健康局、市市场监管局、市残联、市商务局、市新闻出版局纳入成员单位队伍。</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各</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镇（街道）</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、各有关部门要把职业技能提升行动作为重要民生工程，结合实际制定技能提升行动年度工作计划，建立工作情况及培训数据月报、年报制度及工作督查制度，加强需求预测和调查统计工作。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11" w:name="bookmark24"/>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11"/>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二）明确职责，</w:t>
      </w: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统筹推进</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各相关部门要进一步明确责任, 密切配合，形成合力。人力社保部门承担政策制定、标准规范开 发、资源整合、培训机构管理、质量监管、统筹协调、督促落实 等工作；发展改革部门要支持有条件的</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企业、</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院校推进产教融合基地、职业技能培训基地等基础能力建设；经信部门要发挥行业主管部门作用，</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加强</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数字经济产业职工的技能培训工作；财政部门要合理安排技能人才发展所需资金</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确保</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相关</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补助资金及时足额拨付到位；教育部门要扶持培育中等职业学校、技师学院、高职院校和全市公共实训基地</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，负责</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培训师资队伍的建设管理，</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并</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加强</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“两</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后生”技能培训工作；住建、农业农村、 退役军人事务、应急管理、民政、卫生健康、国资、市场监管</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残联</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、商务、文广旅游、科技</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等部门要负责组织本行业本领域职业技能培训工作。总工会要发动各级工会组织动员全市职工广泛开展岗位练兵活动，调动职工学习知识、提高技能的积极性</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其他有关部门和单位要共同做好职业技能培训工作。支持鼓励共青团、妇联等群团组织以及行业协会参与职业技能培训工作。对实施技能培训的市级行业部门，根据实际明确培训项目和目标, 坚持</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“资金</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跟着项目走”和谁培训、谁管理、谁负责的原则抓好资金划拨和培训管理，激发行业参与培训积极性。</w:t>
      </w:r>
    </w:p>
    <w:p>
      <w:pPr>
        <w:pStyle w:val="12"/>
        <w:keepNext w:val="0"/>
        <w:keepLines w:val="0"/>
        <w:pageBreakBefore w:val="0"/>
        <w:widowControl w:val="0"/>
        <w:shd w:val="clear" w:color="auto" w:fill="auto"/>
        <w:tabs>
          <w:tab w:val="left" w:pos="1574"/>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12" w:name="bookmark25"/>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12"/>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三）</w:t>
      </w: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严格落实</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，加大投入。</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人力社保部门、财政部门应按</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“渠道</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不变、用途不变、统筹安排、各计其功”的原则，对</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市级</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培训项目和资金进行统筹管理、资源整合，解决资金渠道和使用管理分散问题。企业要按规定足额提取和使用职工教育经费，其中60%以上用于一线职工培训，可用于</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“以师</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带徒”导师津贴补助。</w:t>
      </w:r>
    </w:p>
    <w:p>
      <w:pPr>
        <w:pStyle w:val="12"/>
        <w:keepNext w:val="0"/>
        <w:keepLines w:val="0"/>
        <w:pageBreakBefore w:val="0"/>
        <w:widowControl w:val="0"/>
        <w:shd w:val="clear" w:color="auto" w:fill="auto"/>
        <w:tabs>
          <w:tab w:val="left" w:pos="1574"/>
        </w:tabs>
        <w:kinsoku/>
        <w:wordWrap/>
        <w:overflowPunct/>
        <w:topLinePunct w:val="0"/>
        <w:autoSpaceDE/>
        <w:autoSpaceDN/>
        <w:bidi w:val="0"/>
        <w:adjustRightInd/>
        <w:snapToGrid/>
        <w:spacing w:before="0" w:after="0" w:line="560" w:lineRule="exact"/>
        <w:ind w:left="0" w:right="0" w:firstLine="76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bookmarkStart w:id="13" w:name="bookmark26"/>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w:t>
      </w:r>
      <w:bookmarkEnd w:id="13"/>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四）强化</w:t>
      </w:r>
      <w:r>
        <w:rPr>
          <w:rFonts w:hint="eastAsia" w:ascii="楷体_GB2312" w:hAnsi="楷体_GB2312" w:eastAsia="楷体_GB2312" w:cs="楷体_GB2312"/>
          <w:color w:val="000000" w:themeColor="text1"/>
          <w:spacing w:val="0"/>
          <w:w w:val="100"/>
          <w:position w:val="0"/>
          <w:sz w:val="32"/>
          <w:szCs w:val="32"/>
          <w:highlight w:val="none"/>
          <w:shd w:val="clear" w:color="auto" w:fill="auto"/>
          <w:lang w:eastAsia="zh-CN"/>
          <w14:textFill>
            <w14:solidFill>
              <w14:schemeClr w14:val="tx1"/>
            </w14:solidFill>
          </w14:textFill>
        </w:rPr>
        <w:t>举措</w:t>
      </w:r>
      <w:r>
        <w:rPr>
          <w:rFonts w:hint="eastAsia" w:ascii="楷体_GB2312" w:hAnsi="楷体_GB2312" w:eastAsia="楷体_GB2312" w:cs="楷体_GB2312"/>
          <w:color w:val="000000" w:themeColor="text1"/>
          <w:spacing w:val="0"/>
          <w:w w:val="100"/>
          <w:position w:val="0"/>
          <w:sz w:val="32"/>
          <w:szCs w:val="32"/>
          <w:highlight w:val="none"/>
          <w:shd w:val="clear" w:color="auto" w:fill="auto"/>
          <w14:textFill>
            <w14:solidFill>
              <w14:schemeClr w14:val="tx1"/>
            </w14:solidFill>
          </w14:textFill>
        </w:rPr>
        <w:t>，营造氛围。</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建立健全技能人才资源年度调查统计制度和需求预测制度。加大政策宣传和解读力度，确保政策进街道、进乡村、进校园，帮助企业、培训机构和劳动者等及时熟悉了解，提高政策知晓度和惠及面。强化典型示范, 持续开展</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zh-CN" w:eastAsia="zh-CN" w:bidi="zh-CN"/>
          <w14:textFill>
            <w14:solidFill>
              <w14:schemeClr w14:val="tx1"/>
            </w14:solidFill>
          </w14:textFill>
        </w:rPr>
        <w:t>“世界</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青年技能日”宣传活动，大力弘扬和培育工匠精神，落实提高技术工人待遇的政策措施，加强技能人才激励表彰工作，营造技能成才良好环境。</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580" w:line="560" w:lineRule="exact"/>
        <w:ind w:left="0" w:right="0" w:firstLine="620"/>
        <w:jc w:val="both"/>
        <w:textAlignment w:val="auto"/>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本实施方案自发布之日起施行</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施行期间如国务院和省政府 对培训对象、培训项目、补贴标准另有规定，则按新规定执行。</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580" w:line="560" w:lineRule="exact"/>
        <w:ind w:left="0" w:right="0" w:firstLine="620"/>
        <w:jc w:val="both"/>
        <w:textAlignment w:val="auto"/>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pPr>
    </w:p>
    <w:p>
      <w:pPr>
        <w:pStyle w:val="12"/>
        <w:keepNext w:val="0"/>
        <w:keepLines w:val="0"/>
        <w:pageBreakBefore w:val="0"/>
        <w:widowControl w:val="0"/>
        <w:shd w:val="clear" w:color="auto" w:fill="auto"/>
        <w:tabs>
          <w:tab w:val="left" w:pos="560"/>
        </w:tabs>
        <w:kinsoku/>
        <w:wordWrap/>
        <w:overflowPunct/>
        <w:topLinePunct w:val="0"/>
        <w:autoSpaceDE/>
        <w:autoSpaceDN/>
        <w:bidi w:val="0"/>
        <w:adjustRightInd/>
        <w:snapToGrid/>
        <w:spacing w:before="0" w:after="580" w:line="560" w:lineRule="exact"/>
        <w:ind w:left="0" w:right="0" w:firstLine="620"/>
        <w:jc w:val="both"/>
        <w:textAlignment w:val="auto"/>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附件</w:t>
      </w:r>
      <w:r>
        <w:rPr>
          <w:rFonts w:hint="eastAsia" w:ascii="仿宋_GB2312" w:hAnsi="仿宋_GB2312" w:eastAsia="仿宋_GB2312" w:cs="仿宋_GB2312"/>
          <w:color w:val="000000" w:themeColor="text1"/>
          <w:spacing w:val="0"/>
          <w:w w:val="100"/>
          <w:positio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1.全市职业技能提升行动</w:t>
      </w:r>
      <w:r>
        <w:rPr>
          <w:rFonts w:hint="eastAsia" w:ascii="仿宋_GB2312" w:hAnsi="仿宋_GB2312" w:eastAsia="仿宋_GB2312" w:cs="仿宋_GB2312"/>
          <w:color w:val="000000" w:themeColor="text1"/>
          <w:spacing w:val="0"/>
          <w:w w:val="100"/>
          <w:position w:val="0"/>
          <w:sz w:val="32"/>
          <w:szCs w:val="32"/>
          <w:highlight w:val="none"/>
          <w:lang w:eastAsia="zh-CN"/>
          <w14:textFill>
            <w14:solidFill>
              <w14:schemeClr w14:val="tx1"/>
            </w14:solidFill>
          </w14:textFill>
        </w:rPr>
        <w:t>各镇（街道）</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 xml:space="preserve">培训计划 </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580" w:line="560" w:lineRule="exact"/>
        <w:ind w:right="0" w:firstLine="1488" w:firstLineChars="465"/>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2.全市职业技能提升行动</w:t>
      </w:r>
      <w:r>
        <w:rPr>
          <w:rFonts w:hint="eastAsia" w:ascii="仿宋_GB2312" w:hAnsi="仿宋_GB2312" w:eastAsia="仿宋_GB2312" w:cs="仿宋_GB2312"/>
          <w:color w:val="000000" w:themeColor="text1"/>
          <w:spacing w:val="0"/>
          <w:w w:val="100"/>
          <w:position w:val="0"/>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部门培训计划</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1720" w:firstLine="0"/>
        <w:jc w:val="righ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sectPr>
          <w:footerReference r:id="rId5" w:type="first"/>
          <w:footerReference r:id="rId3" w:type="default"/>
          <w:footerReference r:id="rId4" w:type="even"/>
          <w:footnotePr>
            <w:numFmt w:val="decimal"/>
          </w:footnotePr>
          <w:pgSz w:w="11900" w:h="16840"/>
          <w:pgMar w:top="2055" w:right="1418" w:bottom="1789" w:left="1565" w:header="170" w:footer="1644" w:gutter="0"/>
          <w:pgNumType w:fmt="numberInDash" w:start="1"/>
          <w:cols w:space="720" w:num="1"/>
          <w:titlePg/>
          <w:rtlGutter w:val="0"/>
          <w:docGrid w:linePitch="360" w:charSpace="0"/>
        </w:sectPr>
      </w:pPr>
      <w:r>
        <w:rPr>
          <w:rFonts w:hint="eastAsia" w:ascii="仿宋_GB2312" w:hAnsi="仿宋_GB2312" w:eastAsia="仿宋_GB2312" w:cs="仿宋_GB2312"/>
          <w:color w:val="000000" w:themeColor="text1"/>
          <w:spacing w:val="0"/>
          <w:w w:val="100"/>
          <w:position w:val="0"/>
          <w:sz w:val="32"/>
          <w:szCs w:val="32"/>
          <w:highlight w:val="none"/>
          <w:lang w:val="en-US" w:eastAsia="zh-CN"/>
          <w14:textFill>
            <w14:solidFill>
              <w14:schemeClr w14:val="tx1"/>
            </w14:solidFill>
          </w14:textFill>
        </w:rPr>
        <w:t xml:space="preserve"> </w:t>
      </w:r>
    </w:p>
    <w:p>
      <w:pPr>
        <w:pStyle w:val="11"/>
        <w:keepNext/>
        <w:keepLines/>
        <w:pageBreakBefore w:val="0"/>
        <w:widowControl w:val="0"/>
        <w:shd w:val="clear" w:color="auto" w:fill="auto"/>
        <w:kinsoku/>
        <w:wordWrap/>
        <w:overflowPunct/>
        <w:topLinePunct w:val="0"/>
        <w:autoSpaceDE/>
        <w:autoSpaceDN/>
        <w:bidi w:val="0"/>
        <w:adjustRightInd/>
        <w:snapToGrid/>
        <w:spacing w:before="440" w:after="460" w:line="200" w:lineRule="exact"/>
        <w:ind w:right="0" w:firstLine="960" w:firstLineChars="300"/>
        <w:jc w:val="both"/>
        <w:textAlignment w:val="auto"/>
        <w:rPr>
          <w:rFonts w:hint="eastAsia" w:ascii="方正小标宋简体" w:hAnsi="方正小标宋简体" w:eastAsia="方正小标宋简体" w:cs="方正小标宋简体"/>
          <w:sz w:val="32"/>
          <w:szCs w:val="32"/>
        </w:rPr>
      </w:pPr>
      <w:bookmarkStart w:id="14" w:name="bookmark29"/>
      <w:bookmarkStart w:id="15" w:name="bookmark28"/>
      <w:bookmarkStart w:id="16" w:name="bookmark27"/>
      <w:r>
        <w:rPr>
          <w:rFonts w:hint="eastAsia" w:ascii="方正小标宋简体" w:hAnsi="方正小标宋简体" w:eastAsia="方正小标宋简体" w:cs="方正小标宋简体"/>
          <w:color w:val="000000"/>
          <w:spacing w:val="0"/>
          <w:w w:val="100"/>
          <w:position w:val="0"/>
          <w:sz w:val="32"/>
          <w:szCs w:val="32"/>
        </w:rPr>
        <w:t>全市职业技能提升行动</w:t>
      </w:r>
      <w:r>
        <w:rPr>
          <w:rFonts w:hint="eastAsia" w:ascii="方正小标宋简体" w:hAnsi="方正小标宋简体" w:eastAsia="方正小标宋简体" w:cs="方正小标宋简体"/>
          <w:color w:val="000000"/>
          <w:spacing w:val="0"/>
          <w:w w:val="100"/>
          <w:position w:val="0"/>
          <w:sz w:val="32"/>
          <w:szCs w:val="32"/>
          <w:lang w:eastAsia="zh-CN"/>
        </w:rPr>
        <w:t>各镇（街道）</w:t>
      </w:r>
      <w:r>
        <w:rPr>
          <w:rFonts w:hint="eastAsia" w:ascii="方正小标宋简体" w:hAnsi="方正小标宋简体" w:eastAsia="方正小标宋简体" w:cs="方正小标宋简体"/>
          <w:color w:val="000000"/>
          <w:spacing w:val="0"/>
          <w:w w:val="100"/>
          <w:position w:val="0"/>
          <w:sz w:val="32"/>
          <w:szCs w:val="32"/>
        </w:rPr>
        <w:t>培训计划</w:t>
      </w:r>
      <w:bookmarkEnd w:id="14"/>
      <w:bookmarkEnd w:id="15"/>
      <w:bookmarkEnd w:id="16"/>
    </w:p>
    <w:tbl>
      <w:tblPr>
        <w:tblStyle w:val="5"/>
        <w:tblW w:w="8932" w:type="dxa"/>
        <w:jc w:val="center"/>
        <w:tblInd w:w="0" w:type="dxa"/>
        <w:tblLayout w:type="fixed"/>
        <w:tblCellMar>
          <w:top w:w="0" w:type="dxa"/>
          <w:left w:w="10" w:type="dxa"/>
          <w:bottom w:w="0" w:type="dxa"/>
          <w:right w:w="10" w:type="dxa"/>
        </w:tblCellMar>
      </w:tblPr>
      <w:tblGrid>
        <w:gridCol w:w="679"/>
        <w:gridCol w:w="1365"/>
        <w:gridCol w:w="1326"/>
        <w:gridCol w:w="2298"/>
        <w:gridCol w:w="1140"/>
        <w:gridCol w:w="2124"/>
      </w:tblGrid>
      <w:tr>
        <w:tblPrEx>
          <w:tblLayout w:type="fixed"/>
          <w:tblCellMar>
            <w:top w:w="0" w:type="dxa"/>
            <w:left w:w="10" w:type="dxa"/>
            <w:bottom w:w="0" w:type="dxa"/>
            <w:right w:w="10" w:type="dxa"/>
          </w:tblCellMar>
        </w:tblPrEx>
        <w:trPr>
          <w:trHeight w:val="527" w:hRule="atLeast"/>
          <w:jc w:val="center"/>
        </w:trPr>
        <w:tc>
          <w:tcPr>
            <w:tcW w:w="679"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序号</w:t>
            </w:r>
          </w:p>
        </w:tc>
        <w:tc>
          <w:tcPr>
            <w:tcW w:w="1365"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部门</w:t>
            </w:r>
          </w:p>
        </w:tc>
        <w:tc>
          <w:tcPr>
            <w:tcW w:w="3624" w:type="dxa"/>
            <w:gridSpan w:val="2"/>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color w:val="000000"/>
                <w:spacing w:val="0"/>
                <w:w w:val="100"/>
                <w:position w:val="0"/>
                <w:sz w:val="28"/>
                <w:szCs w:val="28"/>
                <w:lang w:eastAsia="zh-CN"/>
              </w:rPr>
            </w:pPr>
            <w:r>
              <w:rPr>
                <w:rFonts w:hint="eastAsia" w:ascii="仿宋_GB2312" w:hAnsi="仿宋_GB2312" w:eastAsia="仿宋_GB2312" w:cs="仿宋_GB2312"/>
                <w:color w:val="000000"/>
                <w:spacing w:val="0"/>
                <w:w w:val="100"/>
                <w:position w:val="0"/>
                <w:sz w:val="28"/>
                <w:szCs w:val="28"/>
                <w:lang w:eastAsia="zh-CN"/>
              </w:rPr>
              <w:t>培训计划人数（人次）</w:t>
            </w:r>
          </w:p>
        </w:tc>
        <w:tc>
          <w:tcPr>
            <w:tcW w:w="3264" w:type="dxa"/>
            <w:gridSpan w:val="2"/>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color w:val="000000"/>
                <w:spacing w:val="0"/>
                <w:w w:val="100"/>
                <w:position w:val="0"/>
                <w:sz w:val="28"/>
                <w:szCs w:val="28"/>
                <w:lang w:eastAsia="zh-CN"/>
              </w:rPr>
            </w:pPr>
            <w:r>
              <w:rPr>
                <w:rFonts w:hint="eastAsia" w:ascii="仿宋_GB2312" w:hAnsi="仿宋_GB2312" w:eastAsia="仿宋_GB2312" w:cs="仿宋_GB2312"/>
                <w:color w:val="000000"/>
                <w:spacing w:val="0"/>
                <w:w w:val="100"/>
                <w:position w:val="0"/>
                <w:sz w:val="28"/>
                <w:szCs w:val="28"/>
                <w:highlight w:val="none"/>
                <w:lang w:eastAsia="zh-CN"/>
              </w:rPr>
              <w:t>持证数</w:t>
            </w:r>
          </w:p>
        </w:tc>
      </w:tr>
      <w:tr>
        <w:tblPrEx>
          <w:tblLayout w:type="fixed"/>
          <w:tblCellMar>
            <w:top w:w="0" w:type="dxa"/>
            <w:left w:w="10" w:type="dxa"/>
            <w:bottom w:w="0" w:type="dxa"/>
            <w:right w:w="10" w:type="dxa"/>
          </w:tblCellMar>
        </w:tblPrEx>
        <w:trPr>
          <w:trHeight w:val="527" w:hRule="atLeast"/>
          <w:jc w:val="center"/>
        </w:trPr>
        <w:tc>
          <w:tcPr>
            <w:tcW w:w="67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rPr>
            </w:pPr>
          </w:p>
        </w:tc>
        <w:tc>
          <w:tcPr>
            <w:tcW w:w="1365"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rPr>
            </w:pPr>
          </w:p>
        </w:tc>
        <w:tc>
          <w:tcPr>
            <w:tcW w:w="1326"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2020 年</w:t>
            </w:r>
          </w:p>
        </w:tc>
        <w:tc>
          <w:tcPr>
            <w:tcW w:w="2298"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2021年</w:t>
            </w:r>
          </w:p>
        </w:tc>
        <w:tc>
          <w:tcPr>
            <w:tcW w:w="114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2020年</w:t>
            </w:r>
          </w:p>
        </w:tc>
        <w:tc>
          <w:tcPr>
            <w:tcW w:w="2124"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2021 年</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龙山</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掌起</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256</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256</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3</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观海卫</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4</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附海</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5</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新浦</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6</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胜山</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7</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桥头</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8</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匡堰</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r>
      <w:tr>
        <w:tblPrEx>
          <w:tblLayout w:type="fixed"/>
          <w:tblCellMar>
            <w:top w:w="0" w:type="dxa"/>
            <w:left w:w="10" w:type="dxa"/>
            <w:bottom w:w="0" w:type="dxa"/>
            <w:right w:w="10" w:type="dxa"/>
          </w:tblCellMar>
        </w:tblPrEx>
        <w:trPr>
          <w:trHeight w:val="90"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3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9</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逍林</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10</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白沙路</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11</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古塘</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12</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浒山</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280" w:firstLineChars="1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pacing w:val="0"/>
                <w:w w:val="100"/>
                <w:position w:val="0"/>
                <w:sz w:val="28"/>
                <w:szCs w:val="28"/>
              </w:rPr>
              <w:t>1</w:t>
            </w:r>
            <w:r>
              <w:rPr>
                <w:rFonts w:hint="eastAsia" w:ascii="仿宋_GB2312" w:hAnsi="仿宋_GB2312" w:eastAsia="仿宋_GB2312" w:cs="仿宋_GB2312"/>
                <w:color w:val="000000"/>
                <w:spacing w:val="0"/>
                <w:w w:val="100"/>
                <w:position w:val="0"/>
                <w:sz w:val="28"/>
                <w:szCs w:val="28"/>
                <w:lang w:val="en-US" w:eastAsia="zh-CN"/>
              </w:rPr>
              <w:t>3</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横河</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14</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宗汉</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15</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i w:val="0"/>
                <w:color w:val="000000"/>
                <w:spacing w:val="0"/>
                <w:w w:val="100"/>
                <w:kern w:val="0"/>
                <w:position w:val="0"/>
                <w:sz w:val="28"/>
                <w:szCs w:val="28"/>
                <w:highlight w:val="none"/>
                <w:u w:val="none"/>
                <w:shd w:val="clear" w:color="auto" w:fill="auto"/>
                <w:lang w:val="en-US" w:eastAsia="zh-CN" w:bidi="ar"/>
              </w:rPr>
              <w:t>坎墩</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280" w:firstLineChars="100"/>
              <w:jc w:val="both"/>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16</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color w:val="000000"/>
                <w:spacing w:val="0"/>
                <w:w w:val="100"/>
                <w:position w:val="0"/>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崇寿</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280" w:firstLineChars="100"/>
              <w:jc w:val="both"/>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17</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color w:val="000000"/>
                <w:spacing w:val="0"/>
                <w:w w:val="100"/>
                <w:position w:val="0"/>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长河</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248</w:t>
            </w:r>
          </w:p>
        </w:tc>
      </w:tr>
      <w:tr>
        <w:tblPrEx>
          <w:tblLayout w:type="fixed"/>
          <w:tblCellMar>
            <w:top w:w="0" w:type="dxa"/>
            <w:left w:w="10" w:type="dxa"/>
            <w:bottom w:w="0" w:type="dxa"/>
            <w:right w:w="10" w:type="dxa"/>
          </w:tblCellMar>
        </w:tblPrEx>
        <w:trPr>
          <w:trHeight w:val="527" w:hRule="atLeast"/>
          <w:jc w:val="center"/>
        </w:trPr>
        <w:tc>
          <w:tcPr>
            <w:tcW w:w="679"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firstLine="280" w:firstLineChars="100"/>
              <w:jc w:val="both"/>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18</w:t>
            </w:r>
          </w:p>
        </w:tc>
        <w:tc>
          <w:tcPr>
            <w:tcW w:w="1365" w:type="dxa"/>
            <w:tcBorders>
              <w:top w:val="single" w:color="auto" w:sz="4" w:space="0"/>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rPr>
                <w:rFonts w:hint="eastAsia" w:ascii="仿宋_GB2312" w:hAnsi="仿宋_GB2312" w:eastAsia="仿宋_GB2312" w:cs="仿宋_GB2312"/>
                <w:b w:val="0"/>
                <w:bCs/>
                <w:color w:val="000000"/>
                <w:spacing w:val="0"/>
                <w:w w:val="100"/>
                <w:position w:val="0"/>
                <w:sz w:val="28"/>
                <w:szCs w:val="28"/>
              </w:rPr>
            </w:pPr>
            <w:r>
              <w:rPr>
                <w:rFonts w:hint="eastAsia" w:ascii="仿宋_GB2312" w:hAnsi="仿宋_GB2312" w:eastAsia="仿宋_GB2312" w:cs="仿宋_GB2312"/>
                <w:b w:val="0"/>
                <w:bCs/>
                <w:i w:val="0"/>
                <w:color w:val="000000"/>
                <w:spacing w:val="0"/>
                <w:w w:val="100"/>
                <w:kern w:val="0"/>
                <w:position w:val="0"/>
                <w:sz w:val="28"/>
                <w:szCs w:val="28"/>
                <w:u w:val="none"/>
                <w:shd w:val="clear" w:color="auto" w:fill="auto"/>
                <w:lang w:val="en-US" w:eastAsia="zh-CN" w:bidi="ar"/>
              </w:rPr>
              <w:t>周巷</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288</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288</w:t>
            </w:r>
          </w:p>
        </w:tc>
      </w:tr>
      <w:tr>
        <w:tblPrEx>
          <w:tblLayout w:type="fixed"/>
          <w:tblCellMar>
            <w:top w:w="0" w:type="dxa"/>
            <w:left w:w="10" w:type="dxa"/>
            <w:bottom w:w="0" w:type="dxa"/>
            <w:right w:w="10" w:type="dxa"/>
          </w:tblCellMar>
        </w:tblPrEx>
        <w:trPr>
          <w:trHeight w:val="527" w:hRule="atLeast"/>
          <w:jc w:val="center"/>
        </w:trPr>
        <w:tc>
          <w:tcPr>
            <w:tcW w:w="2044" w:type="dxa"/>
            <w:gridSpan w:val="2"/>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小计</w:t>
            </w:r>
          </w:p>
        </w:tc>
        <w:tc>
          <w:tcPr>
            <w:tcW w:w="1326"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4500</w:t>
            </w:r>
          </w:p>
        </w:tc>
        <w:tc>
          <w:tcPr>
            <w:tcW w:w="229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4500</w:t>
            </w:r>
          </w:p>
        </w:tc>
        <w:tc>
          <w:tcPr>
            <w:tcW w:w="1140"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3600</w:t>
            </w:r>
          </w:p>
        </w:tc>
        <w:tc>
          <w:tcPr>
            <w:tcW w:w="2124"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3600</w:t>
            </w:r>
          </w:p>
        </w:tc>
      </w:tr>
      <w:tr>
        <w:tblPrEx>
          <w:tblLayout w:type="fixed"/>
          <w:tblCellMar>
            <w:top w:w="0" w:type="dxa"/>
            <w:left w:w="10" w:type="dxa"/>
            <w:bottom w:w="0" w:type="dxa"/>
            <w:right w:w="10" w:type="dxa"/>
          </w:tblCellMar>
        </w:tblPrEx>
        <w:trPr>
          <w:trHeight w:val="527" w:hRule="atLeast"/>
          <w:jc w:val="center"/>
        </w:trPr>
        <w:tc>
          <w:tcPr>
            <w:tcW w:w="2044" w:type="dxa"/>
            <w:gridSpan w:val="2"/>
            <w:tcBorders>
              <w:top w:val="single" w:color="auto" w:sz="4" w:space="0"/>
              <w:left w:val="single" w:color="auto" w:sz="4" w:space="0"/>
              <w:bottom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总计</w:t>
            </w:r>
          </w:p>
        </w:tc>
        <w:tc>
          <w:tcPr>
            <w:tcW w:w="362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9000</w:t>
            </w:r>
          </w:p>
        </w:tc>
        <w:tc>
          <w:tcPr>
            <w:tcW w:w="326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7200</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br w:type="page"/>
      </w:r>
    </w:p>
    <w:p>
      <w:pPr>
        <w:pStyle w:val="11"/>
        <w:keepNext/>
        <w:keepLines/>
        <w:pageBreakBefore w:val="0"/>
        <w:widowControl w:val="0"/>
        <w:shd w:val="clear" w:color="auto" w:fill="auto"/>
        <w:kinsoku/>
        <w:wordWrap/>
        <w:overflowPunct/>
        <w:topLinePunct w:val="0"/>
        <w:autoSpaceDE/>
        <w:autoSpaceDN/>
        <w:bidi w:val="0"/>
        <w:adjustRightInd/>
        <w:snapToGrid/>
        <w:spacing w:before="440" w:after="460" w:line="560" w:lineRule="exact"/>
        <w:ind w:left="0" w:right="0" w:firstLine="1600" w:firstLineChars="500"/>
        <w:jc w:val="both"/>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color w:val="000000"/>
          <w:spacing w:val="0"/>
          <w:w w:val="100"/>
          <w:position w:val="0"/>
          <w:sz w:val="32"/>
          <w:szCs w:val="32"/>
        </w:rPr>
        <w:t>全市职业技能提升行动</w:t>
      </w:r>
      <w:r>
        <w:rPr>
          <w:rFonts w:hint="eastAsia" w:ascii="方正小标宋简体" w:hAnsi="方正小标宋简体" w:eastAsia="方正小标宋简体" w:cs="方正小标宋简体"/>
          <w:color w:val="000000"/>
          <w:spacing w:val="0"/>
          <w:w w:val="100"/>
          <w:position w:val="0"/>
          <w:sz w:val="32"/>
          <w:szCs w:val="32"/>
          <w:lang w:eastAsia="zh-CN"/>
        </w:rPr>
        <w:t>各部门</w:t>
      </w:r>
      <w:r>
        <w:rPr>
          <w:rFonts w:hint="eastAsia" w:ascii="方正小标宋简体" w:hAnsi="方正小标宋简体" w:eastAsia="方正小标宋简体" w:cs="方正小标宋简体"/>
          <w:color w:val="000000"/>
          <w:spacing w:val="0"/>
          <w:w w:val="100"/>
          <w:position w:val="0"/>
          <w:sz w:val="32"/>
          <w:szCs w:val="32"/>
        </w:rPr>
        <w:t>培训计划</w:t>
      </w:r>
    </w:p>
    <w:tbl>
      <w:tblPr>
        <w:tblStyle w:val="5"/>
        <w:tblW w:w="8438" w:type="dxa"/>
        <w:jc w:val="center"/>
        <w:tblInd w:w="0" w:type="dxa"/>
        <w:tblLayout w:type="fixed"/>
        <w:tblCellMar>
          <w:top w:w="0" w:type="dxa"/>
          <w:left w:w="10" w:type="dxa"/>
          <w:bottom w:w="0" w:type="dxa"/>
          <w:right w:w="10" w:type="dxa"/>
        </w:tblCellMar>
      </w:tblPr>
      <w:tblGrid>
        <w:gridCol w:w="1004"/>
        <w:gridCol w:w="2764"/>
        <w:gridCol w:w="2264"/>
        <w:gridCol w:w="2406"/>
      </w:tblGrid>
      <w:tr>
        <w:tblPrEx>
          <w:tblLayout w:type="fixed"/>
          <w:tblCellMar>
            <w:top w:w="0" w:type="dxa"/>
            <w:left w:w="10" w:type="dxa"/>
            <w:bottom w:w="0" w:type="dxa"/>
            <w:right w:w="10" w:type="dxa"/>
          </w:tblCellMar>
        </w:tblPrEx>
        <w:trPr>
          <w:trHeight w:val="503" w:hRule="exact"/>
          <w:jc w:val="center"/>
        </w:trPr>
        <w:tc>
          <w:tcPr>
            <w:tcW w:w="1004"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29" w:lineRule="exact"/>
              <w:ind w:left="240" w:right="0" w:hanging="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序 号</w:t>
            </w:r>
          </w:p>
        </w:tc>
        <w:tc>
          <w:tcPr>
            <w:tcW w:w="2764"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部门</w:t>
            </w:r>
          </w:p>
        </w:tc>
        <w:tc>
          <w:tcPr>
            <w:tcW w:w="4670" w:type="dxa"/>
            <w:gridSpan w:val="2"/>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000000"/>
                <w:spacing w:val="0"/>
                <w:w w:val="100"/>
                <w:position w:val="0"/>
                <w:sz w:val="28"/>
                <w:szCs w:val="28"/>
              </w:rPr>
            </w:pPr>
            <w:r>
              <w:rPr>
                <w:rFonts w:hint="eastAsia" w:ascii="仿宋_GB2312" w:hAnsi="仿宋_GB2312" w:eastAsia="仿宋_GB2312" w:cs="仿宋_GB2312"/>
                <w:color w:val="000000"/>
                <w:spacing w:val="0"/>
                <w:w w:val="100"/>
                <w:position w:val="0"/>
                <w:sz w:val="28"/>
                <w:szCs w:val="28"/>
              </w:rPr>
              <w:t>培训计划人数（人次）</w:t>
            </w:r>
          </w:p>
        </w:tc>
      </w:tr>
      <w:tr>
        <w:tblPrEx>
          <w:tblLayout w:type="fixed"/>
          <w:tblCellMar>
            <w:top w:w="0" w:type="dxa"/>
            <w:left w:w="10" w:type="dxa"/>
            <w:bottom w:w="0" w:type="dxa"/>
            <w:right w:w="10" w:type="dxa"/>
          </w:tblCellMar>
        </w:tblPrEx>
        <w:trPr>
          <w:trHeight w:val="401" w:hRule="exact"/>
          <w:jc w:val="center"/>
        </w:trPr>
        <w:tc>
          <w:tcPr>
            <w:tcW w:w="1004"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sz w:val="28"/>
                <w:szCs w:val="28"/>
              </w:rPr>
            </w:pPr>
          </w:p>
        </w:tc>
        <w:tc>
          <w:tcPr>
            <w:tcW w:w="2764" w:type="dxa"/>
            <w:vMerge w:val="continue"/>
            <w:tcBorders>
              <w:left w:val="single" w:color="auto" w:sz="4" w:space="0"/>
            </w:tcBorders>
            <w:shd w:val="clear" w:color="auto" w:fill="FFFFFF"/>
            <w:vAlign w:val="center"/>
          </w:tcPr>
          <w:p>
            <w:pPr>
              <w:jc w:val="center"/>
              <w:rPr>
                <w:rFonts w:hint="eastAsia" w:ascii="仿宋_GB2312" w:hAnsi="仿宋_GB2312" w:eastAsia="仿宋_GB2312" w:cs="仿宋_GB2312"/>
                <w:sz w:val="28"/>
                <w:szCs w:val="28"/>
              </w:rPr>
            </w:pPr>
          </w:p>
        </w:tc>
        <w:tc>
          <w:tcPr>
            <w:tcW w:w="22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2020 年</w:t>
            </w:r>
          </w:p>
        </w:tc>
        <w:tc>
          <w:tcPr>
            <w:tcW w:w="2406"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2021 年</w:t>
            </w:r>
          </w:p>
        </w:tc>
      </w:tr>
      <w:tr>
        <w:tblPrEx>
          <w:tblLayout w:type="fixed"/>
          <w:tblCellMar>
            <w:top w:w="0" w:type="dxa"/>
            <w:left w:w="10" w:type="dxa"/>
            <w:bottom w:w="0" w:type="dxa"/>
            <w:right w:w="10" w:type="dxa"/>
          </w:tblCellMar>
        </w:tblPrEx>
        <w:trPr>
          <w:trHeight w:val="478"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firstLine="840" w:firstLineChars="300"/>
              <w:jc w:val="both"/>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市人社局</w:t>
            </w:r>
          </w:p>
          <w:p>
            <w:pPr>
              <w:bidi w:val="0"/>
              <w:jc w:val="center"/>
              <w:rPr>
                <w:rFonts w:hint="eastAsia"/>
                <w:lang w:val="en-US" w:eastAsia="zh-CN"/>
              </w:rPr>
            </w:pP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9870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9870</w:t>
            </w:r>
          </w:p>
        </w:tc>
      </w:tr>
      <w:tr>
        <w:tblPrEx>
          <w:tblLayout w:type="fixed"/>
          <w:tblCellMar>
            <w:top w:w="0" w:type="dxa"/>
            <w:left w:w="10" w:type="dxa"/>
            <w:bottom w:w="0" w:type="dxa"/>
            <w:right w:w="10" w:type="dxa"/>
          </w:tblCellMar>
        </w:tblPrEx>
        <w:trPr>
          <w:trHeight w:val="480"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2</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w:t>
            </w:r>
            <w:r>
              <w:rPr>
                <w:rFonts w:hint="eastAsia" w:ascii="仿宋_GB2312" w:hAnsi="仿宋_GB2312" w:eastAsia="仿宋_GB2312" w:cs="仿宋_GB2312"/>
                <w:color w:val="000000"/>
                <w:spacing w:val="0"/>
                <w:w w:val="100"/>
                <w:position w:val="0"/>
                <w:sz w:val="28"/>
                <w:szCs w:val="28"/>
                <w:lang w:eastAsia="zh-CN"/>
              </w:rPr>
              <w:t>教育</w:t>
            </w:r>
            <w:r>
              <w:rPr>
                <w:rFonts w:hint="eastAsia" w:ascii="仿宋_GB2312" w:hAnsi="仿宋_GB2312" w:eastAsia="仿宋_GB2312" w:cs="仿宋_GB2312"/>
                <w:color w:val="000000"/>
                <w:spacing w:val="0"/>
                <w:w w:val="100"/>
                <w:position w:val="0"/>
                <w:sz w:val="28"/>
                <w:szCs w:val="28"/>
              </w:rPr>
              <w:t>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6250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6250</w:t>
            </w:r>
          </w:p>
        </w:tc>
      </w:tr>
      <w:tr>
        <w:tblPrEx>
          <w:tblLayout w:type="fixed"/>
          <w:tblCellMar>
            <w:top w:w="0" w:type="dxa"/>
            <w:left w:w="10" w:type="dxa"/>
            <w:bottom w:w="0" w:type="dxa"/>
            <w:right w:w="10" w:type="dxa"/>
          </w:tblCellMar>
        </w:tblPrEx>
        <w:trPr>
          <w:trHeight w:val="499"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3</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w:t>
            </w:r>
            <w:r>
              <w:rPr>
                <w:rFonts w:hint="eastAsia" w:ascii="仿宋_GB2312" w:hAnsi="仿宋_GB2312" w:eastAsia="仿宋_GB2312" w:cs="仿宋_GB2312"/>
                <w:color w:val="000000"/>
                <w:spacing w:val="0"/>
                <w:w w:val="100"/>
                <w:position w:val="0"/>
                <w:sz w:val="28"/>
                <w:szCs w:val="28"/>
                <w:lang w:eastAsia="zh-CN"/>
              </w:rPr>
              <w:t>经信</w:t>
            </w:r>
            <w:r>
              <w:rPr>
                <w:rFonts w:hint="eastAsia" w:ascii="仿宋_GB2312" w:hAnsi="仿宋_GB2312" w:eastAsia="仿宋_GB2312" w:cs="仿宋_GB2312"/>
                <w:color w:val="000000"/>
                <w:spacing w:val="0"/>
                <w:w w:val="100"/>
                <w:position w:val="0"/>
                <w:sz w:val="28"/>
                <w:szCs w:val="28"/>
              </w:rPr>
              <w:t>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1500</w:t>
            </w:r>
          </w:p>
        </w:tc>
      </w:tr>
      <w:tr>
        <w:tblPrEx>
          <w:tblLayout w:type="fixed"/>
          <w:tblCellMar>
            <w:top w:w="0" w:type="dxa"/>
            <w:left w:w="10" w:type="dxa"/>
            <w:bottom w:w="0" w:type="dxa"/>
            <w:right w:w="10" w:type="dxa"/>
          </w:tblCellMar>
        </w:tblPrEx>
        <w:trPr>
          <w:trHeight w:val="514"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4</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市住建局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1000</w:t>
            </w:r>
          </w:p>
        </w:tc>
      </w:tr>
      <w:tr>
        <w:tblPrEx>
          <w:tblLayout w:type="fixed"/>
          <w:tblCellMar>
            <w:top w:w="0" w:type="dxa"/>
            <w:left w:w="10" w:type="dxa"/>
            <w:bottom w:w="0" w:type="dxa"/>
            <w:right w:w="10" w:type="dxa"/>
          </w:tblCellMar>
        </w:tblPrEx>
        <w:trPr>
          <w:trHeight w:val="591"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5</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29" w:lineRule="exact"/>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市农业农村局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r>
      <w:tr>
        <w:tblPrEx>
          <w:tblLayout w:type="fixed"/>
          <w:tblCellMar>
            <w:top w:w="0" w:type="dxa"/>
            <w:left w:w="10" w:type="dxa"/>
            <w:bottom w:w="0" w:type="dxa"/>
            <w:right w:w="10" w:type="dxa"/>
          </w:tblCellMar>
        </w:tblPrEx>
        <w:trPr>
          <w:trHeight w:val="459"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6</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09" w:lineRule="exact"/>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市退役军人事务局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w:t>
            </w:r>
          </w:p>
        </w:tc>
      </w:tr>
      <w:tr>
        <w:tblPrEx>
          <w:tblLayout w:type="fixed"/>
          <w:tblCellMar>
            <w:top w:w="0" w:type="dxa"/>
            <w:left w:w="10" w:type="dxa"/>
            <w:bottom w:w="0" w:type="dxa"/>
            <w:right w:w="10" w:type="dxa"/>
          </w:tblCellMar>
        </w:tblPrEx>
        <w:trPr>
          <w:trHeight w:val="661"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7</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09" w:lineRule="exact"/>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市应急管理局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4000</w:t>
            </w:r>
          </w:p>
        </w:tc>
      </w:tr>
      <w:tr>
        <w:tblPrEx>
          <w:tblLayout w:type="fixed"/>
          <w:tblCellMar>
            <w:top w:w="0" w:type="dxa"/>
            <w:left w:w="10" w:type="dxa"/>
            <w:bottom w:w="0" w:type="dxa"/>
            <w:right w:w="10" w:type="dxa"/>
          </w:tblCellMar>
        </w:tblPrEx>
        <w:trPr>
          <w:trHeight w:val="689"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8</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市民政局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450</w:t>
            </w:r>
          </w:p>
        </w:tc>
      </w:tr>
      <w:tr>
        <w:tblPrEx>
          <w:tblLayout w:type="fixed"/>
          <w:tblCellMar>
            <w:top w:w="0" w:type="dxa"/>
            <w:left w:w="10" w:type="dxa"/>
            <w:bottom w:w="0" w:type="dxa"/>
            <w:right w:w="10" w:type="dxa"/>
          </w:tblCellMar>
        </w:tblPrEx>
        <w:trPr>
          <w:trHeight w:val="689"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9</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9" w:lineRule="exact"/>
              <w:ind w:left="0" w:right="0" w:firstLine="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rPr>
              <w:t>市卫生健康</w:t>
            </w:r>
            <w:r>
              <w:rPr>
                <w:rFonts w:hint="eastAsia" w:ascii="仿宋_GB2312" w:hAnsi="仿宋_GB2312" w:eastAsia="仿宋_GB2312" w:cs="仿宋_GB2312"/>
                <w:color w:val="000000"/>
                <w:spacing w:val="0"/>
                <w:w w:val="100"/>
                <w:position w:val="0"/>
                <w:sz w:val="28"/>
                <w:szCs w:val="28"/>
                <w:lang w:eastAsia="zh-CN"/>
              </w:rPr>
              <w:t>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r>
      <w:tr>
        <w:tblPrEx>
          <w:tblLayout w:type="fixed"/>
          <w:tblCellMar>
            <w:top w:w="0" w:type="dxa"/>
            <w:left w:w="10" w:type="dxa"/>
            <w:bottom w:w="0" w:type="dxa"/>
            <w:right w:w="10" w:type="dxa"/>
          </w:tblCellMar>
        </w:tblPrEx>
        <w:trPr>
          <w:trHeight w:val="679"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10</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0"/>
                <w:w w:val="100"/>
                <w:position w:val="0"/>
                <w:sz w:val="28"/>
                <w:szCs w:val="28"/>
              </w:rPr>
              <w:t>市国资</w:t>
            </w:r>
            <w:r>
              <w:rPr>
                <w:rFonts w:hint="eastAsia" w:ascii="仿宋_GB2312" w:hAnsi="仿宋_GB2312" w:eastAsia="仿宋_GB2312" w:cs="仿宋_GB2312"/>
                <w:color w:val="000000"/>
                <w:spacing w:val="0"/>
                <w:w w:val="100"/>
                <w:position w:val="0"/>
                <w:sz w:val="28"/>
                <w:szCs w:val="28"/>
                <w:lang w:eastAsia="zh-CN"/>
              </w:rPr>
              <w:t>办</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500</w:t>
            </w:r>
          </w:p>
        </w:tc>
      </w:tr>
      <w:tr>
        <w:tblPrEx>
          <w:tblLayout w:type="fixed"/>
          <w:tblCellMar>
            <w:top w:w="0" w:type="dxa"/>
            <w:left w:w="10" w:type="dxa"/>
            <w:bottom w:w="0" w:type="dxa"/>
            <w:right w:w="10" w:type="dxa"/>
          </w:tblCellMar>
        </w:tblPrEx>
        <w:trPr>
          <w:trHeight w:val="464"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11</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09" w:lineRule="exact"/>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市市场监管局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800</w:t>
            </w:r>
          </w:p>
        </w:tc>
      </w:tr>
      <w:tr>
        <w:tblPrEx>
          <w:tblLayout w:type="fixed"/>
          <w:tblCellMar>
            <w:top w:w="0" w:type="dxa"/>
            <w:left w:w="10" w:type="dxa"/>
            <w:bottom w:w="0" w:type="dxa"/>
            <w:right w:w="10" w:type="dxa"/>
          </w:tblCellMar>
        </w:tblPrEx>
        <w:trPr>
          <w:trHeight w:val="576"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12</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3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市残联</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350</w:t>
            </w:r>
          </w:p>
        </w:tc>
      </w:tr>
      <w:tr>
        <w:tblPrEx>
          <w:tblLayout w:type="fixed"/>
          <w:tblCellMar>
            <w:top w:w="0" w:type="dxa"/>
            <w:left w:w="10" w:type="dxa"/>
            <w:bottom w:w="0" w:type="dxa"/>
            <w:right w:w="10" w:type="dxa"/>
          </w:tblCellMar>
        </w:tblPrEx>
        <w:trPr>
          <w:trHeight w:val="689"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13</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市总工会</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1500</w:t>
            </w:r>
          </w:p>
        </w:tc>
      </w:tr>
      <w:tr>
        <w:tblPrEx>
          <w:tblLayout w:type="fixed"/>
          <w:tblCellMar>
            <w:top w:w="0" w:type="dxa"/>
            <w:left w:w="10" w:type="dxa"/>
            <w:bottom w:w="0" w:type="dxa"/>
            <w:right w:w="10" w:type="dxa"/>
          </w:tblCellMar>
        </w:tblPrEx>
        <w:trPr>
          <w:trHeight w:val="504"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14</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34" w:firstLineChars="191"/>
              <w:jc w:val="center"/>
              <w:rPr>
                <w:rFonts w:hint="eastAsia" w:ascii="仿宋_GB2312" w:hAnsi="仿宋_GB2312" w:eastAsia="仿宋_GB2312" w:cs="仿宋_GB2312"/>
                <w:color w:val="000000"/>
                <w:spacing w:val="0"/>
                <w:w w:val="100"/>
                <w:position w:val="0"/>
                <w:sz w:val="28"/>
                <w:szCs w:val="28"/>
                <w:lang w:eastAsia="zh-CN"/>
              </w:rPr>
            </w:pPr>
            <w:r>
              <w:rPr>
                <w:rFonts w:hint="eastAsia" w:ascii="仿宋_GB2312" w:hAnsi="仿宋_GB2312" w:eastAsia="仿宋_GB2312" w:cs="仿宋_GB2312"/>
                <w:color w:val="000000"/>
                <w:spacing w:val="0"/>
                <w:w w:val="100"/>
                <w:position w:val="0"/>
                <w:sz w:val="28"/>
                <w:szCs w:val="28"/>
                <w:lang w:eastAsia="zh-CN"/>
              </w:rPr>
              <w:t>市商务局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w:t>
            </w:r>
          </w:p>
        </w:tc>
      </w:tr>
      <w:tr>
        <w:tblPrEx>
          <w:tblLayout w:type="fixed"/>
          <w:tblCellMar>
            <w:top w:w="0" w:type="dxa"/>
            <w:left w:w="10" w:type="dxa"/>
            <w:bottom w:w="0" w:type="dxa"/>
            <w:right w:w="10" w:type="dxa"/>
          </w:tblCellMar>
        </w:tblPrEx>
        <w:trPr>
          <w:trHeight w:val="504"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15</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center"/>
              <w:rPr>
                <w:rFonts w:hint="eastAsia" w:ascii="仿宋_GB2312" w:hAnsi="仿宋_GB2312" w:eastAsia="仿宋_GB2312" w:cs="仿宋_GB2312"/>
                <w:color w:val="000000"/>
                <w:spacing w:val="0"/>
                <w:w w:val="100"/>
                <w:position w:val="0"/>
                <w:sz w:val="28"/>
                <w:szCs w:val="28"/>
                <w:lang w:eastAsia="zh-CN"/>
              </w:rPr>
            </w:pPr>
            <w:r>
              <w:rPr>
                <w:rFonts w:hint="eastAsia" w:ascii="仿宋_GB2312" w:hAnsi="仿宋_GB2312" w:eastAsia="仿宋_GB2312" w:cs="仿宋_GB2312"/>
                <w:color w:val="000000"/>
                <w:spacing w:val="0"/>
                <w:w w:val="100"/>
                <w:position w:val="0"/>
                <w:sz w:val="28"/>
                <w:szCs w:val="28"/>
                <w:lang w:val="en-US" w:eastAsia="zh-CN"/>
              </w:rPr>
              <w:t xml:space="preserve"> </w:t>
            </w:r>
            <w:r>
              <w:rPr>
                <w:rFonts w:hint="eastAsia" w:ascii="仿宋_GB2312" w:hAnsi="仿宋_GB2312" w:eastAsia="仿宋_GB2312" w:cs="仿宋_GB2312"/>
                <w:color w:val="000000"/>
                <w:spacing w:val="0"/>
                <w:w w:val="100"/>
                <w:position w:val="0"/>
                <w:sz w:val="28"/>
                <w:szCs w:val="28"/>
                <w:lang w:eastAsia="zh-CN"/>
              </w:rPr>
              <w:t>市文广旅体局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280</w:t>
            </w:r>
          </w:p>
        </w:tc>
      </w:tr>
      <w:tr>
        <w:tblPrEx>
          <w:tblLayout w:type="fixed"/>
          <w:tblCellMar>
            <w:top w:w="0" w:type="dxa"/>
            <w:left w:w="10" w:type="dxa"/>
            <w:bottom w:w="0" w:type="dxa"/>
            <w:right w:w="10" w:type="dxa"/>
          </w:tblCellMar>
        </w:tblPrEx>
        <w:trPr>
          <w:trHeight w:val="504"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16</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34" w:firstLineChars="191"/>
              <w:jc w:val="center"/>
              <w:rPr>
                <w:rFonts w:hint="eastAsia" w:ascii="仿宋_GB2312" w:hAnsi="仿宋_GB2312" w:eastAsia="仿宋_GB2312" w:cs="仿宋_GB2312"/>
                <w:color w:val="000000"/>
                <w:spacing w:val="0"/>
                <w:w w:val="100"/>
                <w:position w:val="0"/>
                <w:sz w:val="28"/>
                <w:szCs w:val="28"/>
                <w:lang w:eastAsia="zh-CN"/>
              </w:rPr>
            </w:pPr>
            <w:r>
              <w:rPr>
                <w:rFonts w:hint="eastAsia" w:ascii="仿宋_GB2312" w:hAnsi="仿宋_GB2312" w:eastAsia="仿宋_GB2312" w:cs="仿宋_GB2312"/>
                <w:color w:val="000000"/>
                <w:spacing w:val="0"/>
                <w:w w:val="100"/>
                <w:position w:val="0"/>
                <w:sz w:val="28"/>
                <w:szCs w:val="28"/>
                <w:lang w:eastAsia="zh-CN"/>
              </w:rPr>
              <w:t>市新闻出版局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tabs>
                <w:tab w:val="center" w:pos="1253"/>
                <w:tab w:val="right" w:pos="2386"/>
              </w:tabs>
              <w:ind w:left="0" w:leftChars="0" w:right="0" w:rightChars="0" w:firstLine="0" w:firstLineChars="0"/>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150</w:t>
            </w:r>
          </w:p>
        </w:tc>
      </w:tr>
      <w:tr>
        <w:tblPrEx>
          <w:tblLayout w:type="fixed"/>
          <w:tblCellMar>
            <w:top w:w="0" w:type="dxa"/>
            <w:left w:w="10" w:type="dxa"/>
            <w:bottom w:w="0" w:type="dxa"/>
            <w:right w:w="10" w:type="dxa"/>
          </w:tblCellMar>
        </w:tblPrEx>
        <w:trPr>
          <w:trHeight w:val="504" w:hRule="exact"/>
          <w:jc w:val="center"/>
        </w:trPr>
        <w:tc>
          <w:tcPr>
            <w:tcW w:w="100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center"/>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17</w:t>
            </w:r>
          </w:p>
        </w:tc>
        <w:tc>
          <w:tcPr>
            <w:tcW w:w="276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34" w:firstLineChars="191"/>
              <w:jc w:val="center"/>
              <w:rPr>
                <w:rFonts w:hint="eastAsia" w:ascii="仿宋_GB2312" w:hAnsi="仿宋_GB2312" w:eastAsia="仿宋_GB2312" w:cs="仿宋_GB2312"/>
                <w:color w:val="000000"/>
                <w:spacing w:val="0"/>
                <w:w w:val="100"/>
                <w:position w:val="0"/>
                <w:sz w:val="28"/>
                <w:szCs w:val="28"/>
                <w:lang w:eastAsia="zh-CN"/>
              </w:rPr>
            </w:pPr>
            <w:r>
              <w:rPr>
                <w:rFonts w:hint="eastAsia" w:ascii="仿宋_GB2312" w:hAnsi="仿宋_GB2312" w:eastAsia="仿宋_GB2312" w:cs="仿宋_GB2312"/>
                <w:color w:val="000000"/>
                <w:spacing w:val="0"/>
                <w:w w:val="100"/>
                <w:position w:val="0"/>
                <w:sz w:val="28"/>
                <w:szCs w:val="28"/>
                <w:lang w:eastAsia="zh-CN"/>
              </w:rPr>
              <w:t>市科技局</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w:t>
            </w:r>
          </w:p>
        </w:tc>
      </w:tr>
      <w:tr>
        <w:tblPrEx>
          <w:tblLayout w:type="fixed"/>
          <w:tblCellMar>
            <w:top w:w="0" w:type="dxa"/>
            <w:left w:w="10" w:type="dxa"/>
            <w:bottom w:w="0" w:type="dxa"/>
            <w:right w:w="10" w:type="dxa"/>
          </w:tblCellMar>
        </w:tblPrEx>
        <w:trPr>
          <w:trHeight w:val="547" w:hRule="exact"/>
          <w:jc w:val="center"/>
        </w:trPr>
        <w:tc>
          <w:tcPr>
            <w:tcW w:w="3768"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000000"/>
                <w:spacing w:val="0"/>
                <w:w w:val="100"/>
                <w:position w:val="0"/>
                <w:sz w:val="28"/>
                <w:szCs w:val="28"/>
              </w:rPr>
            </w:pPr>
            <w:r>
              <w:rPr>
                <w:rFonts w:hint="eastAsia" w:ascii="仿宋_GB2312" w:hAnsi="仿宋_GB2312" w:eastAsia="仿宋_GB2312" w:cs="仿宋_GB2312"/>
                <w:color w:val="000000"/>
                <w:spacing w:val="0"/>
                <w:w w:val="100"/>
                <w:position w:val="0"/>
                <w:sz w:val="28"/>
                <w:szCs w:val="28"/>
              </w:rPr>
              <w:t>小计</w:t>
            </w:r>
          </w:p>
        </w:tc>
        <w:tc>
          <w:tcPr>
            <w:tcW w:w="2264" w:type="dxa"/>
            <w:tcBorders>
              <w:top w:val="single" w:color="auto" w:sz="4" w:space="0"/>
              <w:lef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28000</w:t>
            </w:r>
          </w:p>
        </w:tc>
        <w:tc>
          <w:tcPr>
            <w:tcW w:w="2406"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fldChar w:fldCharType="begin"/>
            </w:r>
            <w:r>
              <w:rPr>
                <w:rFonts w:hint="default" w:ascii="仿宋_GB2312" w:hAnsi="仿宋_GB2312" w:eastAsia="仿宋_GB2312" w:cs="仿宋_GB2312"/>
                <w:sz w:val="28"/>
                <w:szCs w:val="28"/>
                <w:lang w:val="en-US" w:eastAsia="zh-CN"/>
              </w:rPr>
              <w:instrText xml:space="preserve"> = sum(C3:C19) \* MERGEFORMAT </w:instrText>
            </w:r>
            <w:r>
              <w:rPr>
                <w:rFonts w:hint="default" w:ascii="仿宋_GB2312" w:hAnsi="仿宋_GB2312" w:eastAsia="仿宋_GB2312" w:cs="仿宋_GB2312"/>
                <w:sz w:val="28"/>
                <w:szCs w:val="28"/>
                <w:lang w:val="en-US" w:eastAsia="zh-CN"/>
              </w:rPr>
              <w:fldChar w:fldCharType="separate"/>
            </w:r>
            <w:r>
              <w:rPr>
                <w:rFonts w:hint="default" w:ascii="仿宋_GB2312" w:hAnsi="仿宋_GB2312" w:eastAsia="仿宋_GB2312" w:cs="仿宋_GB2312"/>
                <w:sz w:val="28"/>
                <w:szCs w:val="28"/>
                <w:lang w:val="en-US" w:eastAsia="zh-CN"/>
              </w:rPr>
              <w:t>28000</w:t>
            </w:r>
            <w:r>
              <w:rPr>
                <w:rFonts w:hint="default" w:ascii="仿宋_GB2312" w:hAnsi="仿宋_GB2312" w:eastAsia="仿宋_GB2312" w:cs="仿宋_GB2312"/>
                <w:sz w:val="28"/>
                <w:szCs w:val="28"/>
                <w:lang w:val="en-US" w:eastAsia="zh-CN"/>
              </w:rPr>
              <w:fldChar w:fldCharType="end"/>
            </w:r>
          </w:p>
        </w:tc>
      </w:tr>
      <w:tr>
        <w:tblPrEx>
          <w:tblLayout w:type="fixed"/>
          <w:tblCellMar>
            <w:top w:w="0" w:type="dxa"/>
            <w:left w:w="10" w:type="dxa"/>
            <w:bottom w:w="0" w:type="dxa"/>
            <w:right w:w="10" w:type="dxa"/>
          </w:tblCellMar>
        </w:tblPrEx>
        <w:trPr>
          <w:trHeight w:val="411" w:hRule="exact"/>
          <w:jc w:val="center"/>
        </w:trPr>
        <w:tc>
          <w:tcPr>
            <w:tcW w:w="3768" w:type="dxa"/>
            <w:gridSpan w:val="2"/>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000000"/>
                <w:spacing w:val="0"/>
                <w:w w:val="100"/>
                <w:position w:val="0"/>
                <w:sz w:val="28"/>
                <w:szCs w:val="28"/>
              </w:rPr>
            </w:pPr>
            <w:r>
              <w:rPr>
                <w:rFonts w:hint="eastAsia" w:ascii="仿宋_GB2312" w:hAnsi="仿宋_GB2312" w:eastAsia="仿宋_GB2312" w:cs="仿宋_GB2312"/>
                <w:color w:val="000000"/>
                <w:spacing w:val="0"/>
                <w:w w:val="100"/>
                <w:position w:val="0"/>
                <w:sz w:val="28"/>
                <w:szCs w:val="28"/>
              </w:rPr>
              <w:t>总计</w:t>
            </w:r>
          </w:p>
        </w:tc>
        <w:tc>
          <w:tcPr>
            <w:tcW w:w="46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default"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56000</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32"/>
          <w:szCs w:val="32"/>
        </w:rPr>
        <w:sectPr>
          <w:headerReference r:id="rId7" w:type="first"/>
          <w:footerReference r:id="rId10" w:type="first"/>
          <w:headerReference r:id="rId6" w:type="default"/>
          <w:footerReference r:id="rId8" w:type="default"/>
          <w:footerReference r:id="rId9" w:type="even"/>
          <w:footnotePr>
            <w:numFmt w:val="decimal"/>
          </w:footnotePr>
          <w:pgSz w:w="11900" w:h="16840"/>
          <w:pgMar w:top="2055" w:right="1418" w:bottom="1789" w:left="1565" w:header="0" w:footer="3" w:gutter="0"/>
          <w:pgNumType w:fmt="numberInDash"/>
          <w:cols w:space="720" w:num="1"/>
          <w:titlePg/>
          <w:rtlGutter w:val="0"/>
          <w:docGrid w:linePitch="360" w:charSpace="0"/>
        </w:sectPr>
      </w:pPr>
      <w:bookmarkStart w:id="17" w:name="bookmark9"/>
      <w:bookmarkEnd w:id="17"/>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18" w:name="bookmark18"/>
      <w:bookmarkEnd w:id="18"/>
      <w:r>
        <w:rPr>
          <w:rFonts w:hint="eastAsia" w:ascii="仿宋_GB2312" w:hAnsi="仿宋_GB2312" w:eastAsia="仿宋_GB2312" w:cs="仿宋_GB2312"/>
          <w:sz w:val="32"/>
          <w:szCs w:val="32"/>
          <w:lang w:val="en-US" w:eastAsia="zh-CN"/>
        </w:rPr>
        <w:t xml:space="preserve"> </w:t>
      </w:r>
    </w:p>
    <w:p>
      <w:pPr>
        <w:bidi w:val="0"/>
        <w:rPr>
          <w:rFonts w:hint="eastAsia" w:ascii="Times New Roman" w:hAnsi="Times New Roman" w:eastAsia="Times New Roman" w:cs="Times New Roman"/>
          <w:color w:val="000000"/>
          <w:spacing w:val="0"/>
          <w:w w:val="100"/>
          <w:position w:val="0"/>
          <w:sz w:val="24"/>
          <w:szCs w:val="24"/>
          <w:lang w:val="en-US" w:eastAsia="en-US" w:bidi="en-US"/>
        </w:rPr>
      </w:pPr>
    </w:p>
    <w:p>
      <w:pPr>
        <w:bidi w:val="0"/>
        <w:rPr>
          <w:rFonts w:hint="eastAsia"/>
          <w:lang w:val="en-US" w:eastAsia="en-US"/>
        </w:rPr>
      </w:pPr>
    </w:p>
    <w:p>
      <w:pPr>
        <w:bidi w:val="0"/>
        <w:rPr>
          <w:rFonts w:hint="eastAsia"/>
          <w:lang w:val="en-US" w:eastAsia="en-US"/>
        </w:rPr>
      </w:pPr>
    </w:p>
    <w:p>
      <w:pPr>
        <w:tabs>
          <w:tab w:val="left" w:pos="2038"/>
        </w:tabs>
        <w:bidi w:val="0"/>
        <w:jc w:val="left"/>
        <w:rPr>
          <w:rFonts w:hint="eastAsia" w:eastAsia="宋体"/>
          <w:lang w:val="en-US" w:eastAsia="zh-CN"/>
        </w:rPr>
      </w:pPr>
      <w:r>
        <w:rPr>
          <w:rFonts w:hint="eastAsia" w:eastAsia="宋体"/>
          <w:lang w:val="en-US" w:eastAsia="zh-CN"/>
        </w:rPr>
        <w:tab/>
      </w:r>
    </w:p>
    <w:sectPr>
      <w:footerReference r:id="rId11"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1480185</wp:posOffset>
              </wp:positionH>
              <wp:positionV relativeFrom="page">
                <wp:posOffset>9658985</wp:posOffset>
              </wp:positionV>
              <wp:extent cx="398145" cy="124460"/>
              <wp:effectExtent l="0" t="0" r="0" b="0"/>
              <wp:wrapNone/>
              <wp:docPr id="1" name="Shape 18"/>
              <wp:cNvGraphicFramePr/>
              <a:graphic xmlns:a="http://schemas.openxmlformats.org/drawingml/2006/main">
                <a:graphicData uri="http://schemas.microsoft.com/office/word/2010/wordprocessingShape">
                  <wps:wsp>
                    <wps:cNvSpPr txBox="1"/>
                    <wps:spPr>
                      <a:xfrm>
                        <a:off x="0" y="0"/>
                        <a:ext cx="398145" cy="12446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8" o:spid="_x0000_s1026" o:spt="202" type="#_x0000_t202" style="position:absolute;left:0pt;margin-left:116.55pt;margin-top:760.55pt;height:9.8pt;width:31.35pt;mso-position-horizontal-relative:page;mso-position-vertical-relative:page;mso-wrap-style:none;z-index:-440400896;mso-width-relative:page;mso-height-relative:page;" filled="f" stroked="f" coordsize="21600,21600" o:gfxdata="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cmJ0X2AAAAA0BAAAPAAAAAAAAAAEAIAAAACIAAABkcnMv&#10;ZG93bnJldi54bWxQSwECFAAUAAAACACHTuJANIMf+5EBAAAiAwAADgAAAAAAAAABACAAAAAnAQAA&#10;ZHJzL2Uyb0RvYy54bWxQSwUGAAAAAAYABgBZAQAAK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1480185</wp:posOffset>
              </wp:positionH>
              <wp:positionV relativeFrom="page">
                <wp:posOffset>9658985</wp:posOffset>
              </wp:positionV>
              <wp:extent cx="398145" cy="124460"/>
              <wp:effectExtent l="0" t="0" r="0" b="0"/>
              <wp:wrapNone/>
              <wp:docPr id="20" name="Shape 20"/>
              <wp:cNvGraphicFramePr/>
              <a:graphic xmlns:a="http://schemas.openxmlformats.org/drawingml/2006/main">
                <a:graphicData uri="http://schemas.microsoft.com/office/word/2010/wordprocessingShape">
                  <wps:wsp>
                    <wps:cNvSpPr txBox="1"/>
                    <wps:spPr>
                      <a:xfrm>
                        <a:off x="0" y="0"/>
                        <a:ext cx="398145" cy="12446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10 —</w:t>
                          </w:r>
                        </w:p>
                      </w:txbxContent>
                    </wps:txbx>
                    <wps:bodyPr wrap="none" lIns="0" tIns="0" rIns="0" bIns="0">
                      <a:spAutoFit/>
                    </wps:bodyPr>
                  </wps:wsp>
                </a:graphicData>
              </a:graphic>
            </wp:anchor>
          </w:drawing>
        </mc:Choice>
        <mc:Fallback>
          <w:pict>
            <v:shape id="Shape 20" o:spid="_x0000_s1026" o:spt="202" type="#_x0000_t202" style="position:absolute;left:0pt;margin-left:116.55pt;margin-top:760.55pt;height:9.8pt;width:31.35pt;mso-position-horizontal-relative:page;mso-position-vertical-relative:page;mso-wrap-style:none;z-index:-440400896;mso-width-relative:page;mso-height-relative:page;" filled="f" stroked="f" coordsize="21600,21600" o:gfxdata="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JidF9gAAAANAQAADwAAAAAAAAABACAAAAAiAAAAZHJzL2Rv&#10;d25yZXYueG1sUEsBAhQAFAAAAAgAh07iQGbwTwiPAQAAIwMAAA4AAAAAAAAAAQAgAAAAJw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10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- 0 -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- 0 -</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6015990</wp:posOffset>
              </wp:positionH>
              <wp:positionV relativeFrom="page">
                <wp:posOffset>9658985</wp:posOffset>
              </wp:positionV>
              <wp:extent cx="71755" cy="117475"/>
              <wp:effectExtent l="0" t="0" r="0" b="0"/>
              <wp:wrapNone/>
              <wp:docPr id="22" name="Shape 22"/>
              <wp:cNvGraphicFramePr/>
              <a:graphic xmlns:a="http://schemas.openxmlformats.org/drawingml/2006/main">
                <a:graphicData uri="http://schemas.microsoft.com/office/word/2010/wordprocessingShape">
                  <wps:wsp>
                    <wps:cNvSpPr txBox="1"/>
                    <wps:spPr>
                      <a:xfrm>
                        <a:off x="0" y="0"/>
                        <a:ext cx="71755" cy="1174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2" o:spid="_x0000_s1026" o:spt="202" type="#_x0000_t202" style="position:absolute;left:0pt;margin-left:473.7pt;margin-top:760.55pt;height:9.25pt;width:5.65pt;mso-position-horizontal-relative:page;mso-position-vertical-relative:page;mso-wrap-style:none;z-index:-440400896;mso-width-relative:page;mso-height-relative:page;" filled="f" stroked="f" coordsize="21600,21600" o:gfxdata="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i4gTdkAAAANAQAADwAAAAAAAAABACAAAAAiAAAAZHJzL2Rv&#10;d25yZXYueG1sUEsBAhQAFAAAAAgAh07iQFnfgT+OAQAAIgMAAA4AAAAAAAAAAQAgAAAAKA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- 11 -</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6012815</wp:posOffset>
              </wp:positionH>
              <wp:positionV relativeFrom="page">
                <wp:posOffset>9698990</wp:posOffset>
              </wp:positionV>
              <wp:extent cx="65405" cy="71755"/>
              <wp:effectExtent l="0" t="0" r="0" b="0"/>
              <wp:wrapNone/>
              <wp:docPr id="6" name="Shape 6"/>
              <wp:cNvGraphicFramePr/>
              <a:graphic xmlns:a="http://schemas.openxmlformats.org/drawingml/2006/main">
                <a:graphicData uri="http://schemas.microsoft.com/office/word/2010/wordprocessingShape">
                  <wps:wsp>
                    <wps:cNvSpPr txBox="1"/>
                    <wps:spPr>
                      <a:xfrm>
                        <a:off x="0" y="0"/>
                        <a:ext cx="65405" cy="7175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30"/>
                              <w:szCs w:val="30"/>
                            </w:rPr>
                          </w:pPr>
                        </w:p>
                      </w:txbxContent>
                    </wps:txbx>
                    <wps:bodyPr wrap="none" lIns="0" tIns="0" rIns="0" bIns="0">
                      <a:spAutoFit/>
                    </wps:bodyPr>
                  </wps:wsp>
                </a:graphicData>
              </a:graphic>
            </wp:anchor>
          </w:drawing>
        </mc:Choice>
        <mc:Fallback>
          <w:pict>
            <v:shape id="Shape 6" o:spid="_x0000_s1026" o:spt="202" type="#_x0000_t202" style="position:absolute;left:0pt;margin-left:473.45pt;margin-top:763.7pt;height:5.65pt;width:5.15pt;mso-position-horizontal-relative:page;mso-position-vertical-relative:page;mso-wrap-style:none;z-index:-440400896;mso-width-relative:page;mso-height-relative:page;" filled="f" stroked="f" coordsize="21600,21600" o:gfxdata="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S2N57ZAAAADQEAAA8AAAAAAAAAAQAgAAAAIgAAAGRycy9kb3du&#10;cmV2LnhtbFBLAQIUABQAAAAIAIdO4kAFgmNLjAEAAB8DAAAOAAAAAAAAAAEAIAAAACgBAABkcnMv&#10;ZTJvRG9jLnhtbFBLBQYAAAAABgAGAFkBAAAmBQ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30"/>
                        <w:szCs w:val="30"/>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1198880</wp:posOffset>
              </wp:positionH>
              <wp:positionV relativeFrom="page">
                <wp:posOffset>9659620</wp:posOffset>
              </wp:positionV>
              <wp:extent cx="588010" cy="124460"/>
              <wp:effectExtent l="0" t="0" r="0" b="0"/>
              <wp:wrapNone/>
              <wp:docPr id="8" name="Shape 8"/>
              <wp:cNvGraphicFramePr/>
              <a:graphic xmlns:a="http://schemas.openxmlformats.org/drawingml/2006/main">
                <a:graphicData uri="http://schemas.microsoft.com/office/word/2010/wordprocessingShape">
                  <wps:wsp>
                    <wps:cNvSpPr txBox="1"/>
                    <wps:spPr>
                      <a:xfrm>
                        <a:off x="0" y="0"/>
                        <a:ext cx="588010" cy="12446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Shape 8" o:spid="_x0000_s1026" o:spt="202" type="#_x0000_t202" style="position:absolute;left:0pt;margin-left:94.4pt;margin-top:760.6pt;height:9.8pt;width:46.3pt;mso-position-horizontal-relative:page;mso-position-vertical-relative:page;mso-wrap-style:none;z-index:-440400896;mso-width-relative:page;mso-height-relative:page;" filled="f" stroked="f" coordsize="21600,21600" o:gfxdata="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i/s9fXAAAADQEAAA8AAAAAAAAAAQAgAAAAIgAAAGRycy9kb3du&#10;cmV2LnhtbFBLAQIUABQAAAAIAIdO4kCr0cSFjgEAACEDAAAOAAAAAAAAAAEAIAAAACYBAABkcnMv&#10;ZTJvRG9jLnhtbFBLBQYAAAAABgAGAFkBAAAmBQ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- 10 -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- 10 -</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1480185</wp:posOffset>
              </wp:positionH>
              <wp:positionV relativeFrom="page">
                <wp:posOffset>9658985</wp:posOffset>
              </wp:positionV>
              <wp:extent cx="398145" cy="124460"/>
              <wp:effectExtent l="0" t="0" r="0" b="0"/>
              <wp:wrapNone/>
              <wp:docPr id="18" name="Shape 18"/>
              <wp:cNvGraphicFramePr/>
              <a:graphic xmlns:a="http://schemas.openxmlformats.org/drawingml/2006/main">
                <a:graphicData uri="http://schemas.microsoft.com/office/word/2010/wordprocessingShape">
                  <wps:wsp>
                    <wps:cNvSpPr txBox="1"/>
                    <wps:spPr>
                      <a:xfrm>
                        <a:off x="0" y="0"/>
                        <a:ext cx="398145" cy="12446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8" o:spid="_x0000_s1026" o:spt="202" type="#_x0000_t202" style="position:absolute;left:0pt;margin-left:116.55pt;margin-top:760.55pt;height:9.8pt;width:31.35pt;mso-position-horizontal-relative:page;mso-position-vertical-relative:page;mso-wrap-style:none;z-index:-440400896;mso-width-relative:page;mso-height-relative:page;" filled="f" stroked="f" coordsize="21600,21600" o:gfxdata="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JidF9gAAAANAQAADwAAAAAAAAABACAAAAAiAAAAZHJzL2Rv&#10;d25yZXYueG1sUEsBAhQAFAAAAAgAh07iQETbnkuPAQAAIwMAAA4AAAAAAAAAAQAgAAAAJw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1018540</wp:posOffset>
              </wp:positionH>
              <wp:positionV relativeFrom="page">
                <wp:posOffset>1398270</wp:posOffset>
              </wp:positionV>
              <wp:extent cx="476885" cy="176530"/>
              <wp:effectExtent l="0" t="0" r="0" b="0"/>
              <wp:wrapNone/>
              <wp:docPr id="24" name="Shape 24"/>
              <wp:cNvGraphicFramePr/>
              <a:graphic xmlns:a="http://schemas.openxmlformats.org/drawingml/2006/main">
                <a:graphicData uri="http://schemas.microsoft.com/office/word/2010/wordprocessingShape">
                  <wps:wsp>
                    <wps:cNvSpPr txBox="1"/>
                    <wps:spPr>
                      <a:xfrm>
                        <a:off x="0" y="0"/>
                        <a:ext cx="476885" cy="1765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p>
                      </w:txbxContent>
                    </wps:txbx>
                    <wps:bodyPr wrap="none" lIns="0" tIns="0" rIns="0" bIns="0">
                      <a:spAutoFit/>
                    </wps:bodyPr>
                  </wps:wsp>
                </a:graphicData>
              </a:graphic>
            </wp:anchor>
          </w:drawing>
        </mc:Choice>
        <mc:Fallback>
          <w:pict>
            <v:shape id="Shape 24" o:spid="_x0000_s1026" o:spt="202" type="#_x0000_t202" style="position:absolute;left:0pt;margin-left:80.2pt;margin-top:110.1pt;height:13.9pt;width:37.55pt;mso-position-horizontal-relative:page;mso-position-vertical-relative:page;mso-wrap-style:none;z-index:-440400896;mso-width-relative:page;mso-height-relative:page;" filled="f" stroked="f" coordsize="21600,21600" o:gfxdata="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7Ui3N1gAAAAsBAAAPAAAAAAAAAAEAIAAAACIAAABkcnMvZG93&#10;bnJldi54bWxQSwECFAAUAAAACACHTuJALCp2j5ABAAAjAwAADgAAAAAAAAABACAAAAAl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1018540</wp:posOffset>
              </wp:positionH>
              <wp:positionV relativeFrom="page">
                <wp:posOffset>1437640</wp:posOffset>
              </wp:positionV>
              <wp:extent cx="443865" cy="176530"/>
              <wp:effectExtent l="0" t="0" r="0" b="0"/>
              <wp:wrapNone/>
              <wp:docPr id="32" name="Shape 32"/>
              <wp:cNvGraphicFramePr/>
              <a:graphic xmlns:a="http://schemas.openxmlformats.org/drawingml/2006/main">
                <a:graphicData uri="http://schemas.microsoft.com/office/word/2010/wordprocessingShape">
                  <wps:wsp>
                    <wps:cNvSpPr txBox="1"/>
                    <wps:spPr>
                      <a:xfrm>
                        <a:off x="0" y="0"/>
                        <a:ext cx="443865" cy="1765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p>
                      </w:txbxContent>
                    </wps:txbx>
                    <wps:bodyPr wrap="none" lIns="0" tIns="0" rIns="0" bIns="0">
                      <a:spAutoFit/>
                    </wps:bodyPr>
                  </wps:wsp>
                </a:graphicData>
              </a:graphic>
            </wp:anchor>
          </w:drawing>
        </mc:Choice>
        <mc:Fallback>
          <w:pict>
            <v:shape id="Shape 32" o:spid="_x0000_s1026" o:spt="202" type="#_x0000_t202" style="position:absolute;left:0pt;margin-left:80.2pt;margin-top:113.2pt;height:13.9pt;width:34.95pt;mso-position-horizontal-relative:page;mso-position-vertical-relative:page;mso-wrap-style:none;z-index:-440400896;mso-width-relative:page;mso-height-relative:page;" filled="f" stroked="f" coordsize="21600,21600" o:gfxdata="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KIbLr1gAAAAsBAAAPAAAAAAAAAAEAIAAAACIAAABkcnMvZG93&#10;bnJldi54bWxQSwECFAAUAAAACACHTuJAFjvB5ZABAAAjAwAADgAAAAAAAAABACAAAAAl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9E678"/>
    <w:multiLevelType w:val="singleLevel"/>
    <w:tmpl w:val="ACE9E678"/>
    <w:lvl w:ilvl="0" w:tentative="0">
      <w:start w:val="4"/>
      <w:numFmt w:val="chineseCounting"/>
      <w:suff w:val="nothing"/>
      <w:lvlText w:val="（%1）"/>
      <w:lvlJc w:val="left"/>
      <w:rPr>
        <w:rFonts w:hint="eastAsia"/>
      </w:rPr>
    </w:lvl>
  </w:abstractNum>
  <w:abstractNum w:abstractNumId="1">
    <w:nsid w:val="4DF1A30E"/>
    <w:multiLevelType w:val="singleLevel"/>
    <w:tmpl w:val="4DF1A30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97287"/>
    <w:rsid w:val="012F1E7E"/>
    <w:rsid w:val="01D76AF7"/>
    <w:rsid w:val="02A75D67"/>
    <w:rsid w:val="032A65E7"/>
    <w:rsid w:val="03662898"/>
    <w:rsid w:val="040E6069"/>
    <w:rsid w:val="05BE0C12"/>
    <w:rsid w:val="068A1130"/>
    <w:rsid w:val="068B6773"/>
    <w:rsid w:val="0699290A"/>
    <w:rsid w:val="06C62E0B"/>
    <w:rsid w:val="0821793A"/>
    <w:rsid w:val="08715FF6"/>
    <w:rsid w:val="08830A66"/>
    <w:rsid w:val="0A2B0E51"/>
    <w:rsid w:val="0AC37461"/>
    <w:rsid w:val="0B6D50EE"/>
    <w:rsid w:val="0BB02F01"/>
    <w:rsid w:val="0E7A7CF4"/>
    <w:rsid w:val="0E80354D"/>
    <w:rsid w:val="0EA85DEE"/>
    <w:rsid w:val="0ED44E54"/>
    <w:rsid w:val="0EFD47DD"/>
    <w:rsid w:val="0FA62709"/>
    <w:rsid w:val="0FB908CC"/>
    <w:rsid w:val="11827D27"/>
    <w:rsid w:val="11B36D84"/>
    <w:rsid w:val="11C7284C"/>
    <w:rsid w:val="11F63B9E"/>
    <w:rsid w:val="12DA7898"/>
    <w:rsid w:val="12F96764"/>
    <w:rsid w:val="13DA66A8"/>
    <w:rsid w:val="15855251"/>
    <w:rsid w:val="1673357B"/>
    <w:rsid w:val="168D5615"/>
    <w:rsid w:val="16EF5804"/>
    <w:rsid w:val="17DB5D50"/>
    <w:rsid w:val="197E15D8"/>
    <w:rsid w:val="1AD46A1C"/>
    <w:rsid w:val="1AED0825"/>
    <w:rsid w:val="1BB15376"/>
    <w:rsid w:val="1C282BE6"/>
    <w:rsid w:val="1C3A04A1"/>
    <w:rsid w:val="1CE44D19"/>
    <w:rsid w:val="1D365249"/>
    <w:rsid w:val="1F244435"/>
    <w:rsid w:val="1F4F39CC"/>
    <w:rsid w:val="1FBB15B6"/>
    <w:rsid w:val="1FD008FE"/>
    <w:rsid w:val="2058143C"/>
    <w:rsid w:val="21736847"/>
    <w:rsid w:val="23B413C4"/>
    <w:rsid w:val="243560C1"/>
    <w:rsid w:val="2486054D"/>
    <w:rsid w:val="24976E60"/>
    <w:rsid w:val="26CE78BF"/>
    <w:rsid w:val="284E3BE3"/>
    <w:rsid w:val="2883617C"/>
    <w:rsid w:val="294A5B0E"/>
    <w:rsid w:val="298448B2"/>
    <w:rsid w:val="2A8B316E"/>
    <w:rsid w:val="2C7A0055"/>
    <w:rsid w:val="2D02755C"/>
    <w:rsid w:val="2E2641A8"/>
    <w:rsid w:val="2F563905"/>
    <w:rsid w:val="30772449"/>
    <w:rsid w:val="30774754"/>
    <w:rsid w:val="30A45357"/>
    <w:rsid w:val="30A93A8C"/>
    <w:rsid w:val="312D0263"/>
    <w:rsid w:val="32195064"/>
    <w:rsid w:val="32A77CEA"/>
    <w:rsid w:val="32BF2478"/>
    <w:rsid w:val="32F16746"/>
    <w:rsid w:val="33086677"/>
    <w:rsid w:val="3343056B"/>
    <w:rsid w:val="34847B99"/>
    <w:rsid w:val="34B86093"/>
    <w:rsid w:val="36766903"/>
    <w:rsid w:val="368F643E"/>
    <w:rsid w:val="37B37C28"/>
    <w:rsid w:val="37B457F6"/>
    <w:rsid w:val="38130E39"/>
    <w:rsid w:val="3881376F"/>
    <w:rsid w:val="38D1438A"/>
    <w:rsid w:val="3920331B"/>
    <w:rsid w:val="392C368A"/>
    <w:rsid w:val="3A6C6BC0"/>
    <w:rsid w:val="3A746E7A"/>
    <w:rsid w:val="3B6D5ADC"/>
    <w:rsid w:val="3B731DCB"/>
    <w:rsid w:val="3BB31F0A"/>
    <w:rsid w:val="3BC9394C"/>
    <w:rsid w:val="3DFA5932"/>
    <w:rsid w:val="3FA015F4"/>
    <w:rsid w:val="40B52778"/>
    <w:rsid w:val="40CF377F"/>
    <w:rsid w:val="421E7D12"/>
    <w:rsid w:val="42B961BF"/>
    <w:rsid w:val="42D53B60"/>
    <w:rsid w:val="439C0D76"/>
    <w:rsid w:val="44112E58"/>
    <w:rsid w:val="44150BC8"/>
    <w:rsid w:val="443F5AE9"/>
    <w:rsid w:val="452B1ADA"/>
    <w:rsid w:val="46BD1484"/>
    <w:rsid w:val="47AF0E28"/>
    <w:rsid w:val="47B31A85"/>
    <w:rsid w:val="4A1966EA"/>
    <w:rsid w:val="4AAE7073"/>
    <w:rsid w:val="4B5A6D0F"/>
    <w:rsid w:val="4CDC6031"/>
    <w:rsid w:val="4CE774B5"/>
    <w:rsid w:val="4D2D64B2"/>
    <w:rsid w:val="4F004F7F"/>
    <w:rsid w:val="4FE35C5B"/>
    <w:rsid w:val="50263B85"/>
    <w:rsid w:val="50D83D88"/>
    <w:rsid w:val="50E56BC4"/>
    <w:rsid w:val="50FF39F5"/>
    <w:rsid w:val="51F56971"/>
    <w:rsid w:val="529D0B59"/>
    <w:rsid w:val="552121E5"/>
    <w:rsid w:val="55FD3AEE"/>
    <w:rsid w:val="564C3B9D"/>
    <w:rsid w:val="56CD1ABE"/>
    <w:rsid w:val="57920E98"/>
    <w:rsid w:val="57E54582"/>
    <w:rsid w:val="57EE6C93"/>
    <w:rsid w:val="581C7CF5"/>
    <w:rsid w:val="58256CF2"/>
    <w:rsid w:val="586934FA"/>
    <w:rsid w:val="587A7AB0"/>
    <w:rsid w:val="5A6040F0"/>
    <w:rsid w:val="5AE65716"/>
    <w:rsid w:val="5BE13468"/>
    <w:rsid w:val="5C5B3478"/>
    <w:rsid w:val="5ECD42F9"/>
    <w:rsid w:val="609F00D9"/>
    <w:rsid w:val="631B220A"/>
    <w:rsid w:val="631C7CA0"/>
    <w:rsid w:val="63347626"/>
    <w:rsid w:val="66AB74A7"/>
    <w:rsid w:val="681A57AC"/>
    <w:rsid w:val="68E244A3"/>
    <w:rsid w:val="699F6FEE"/>
    <w:rsid w:val="6A5D7D02"/>
    <w:rsid w:val="6A850C70"/>
    <w:rsid w:val="6AA2034E"/>
    <w:rsid w:val="6B175461"/>
    <w:rsid w:val="6DB75864"/>
    <w:rsid w:val="6E051E4A"/>
    <w:rsid w:val="6FEA7BE7"/>
    <w:rsid w:val="712C4DC2"/>
    <w:rsid w:val="717415A2"/>
    <w:rsid w:val="719502E8"/>
    <w:rsid w:val="729E03F1"/>
    <w:rsid w:val="74F21FB8"/>
    <w:rsid w:val="764F5EC5"/>
    <w:rsid w:val="7959692E"/>
    <w:rsid w:val="798459FB"/>
    <w:rsid w:val="7AD737F1"/>
    <w:rsid w:val="7B3A146F"/>
    <w:rsid w:val="7C03150B"/>
    <w:rsid w:val="7C197287"/>
    <w:rsid w:val="7C5824AE"/>
    <w:rsid w:val="7C9308FF"/>
    <w:rsid w:val="7C9D7DCE"/>
    <w:rsid w:val="7D944993"/>
    <w:rsid w:val="7EC30E6D"/>
    <w:rsid w:val="7EC7003A"/>
    <w:rsid w:val="7FC672B3"/>
    <w:rsid w:val="7FE0543E"/>
    <w:rsid w:val="7FE3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rPr>
      <w:i/>
    </w:rPr>
  </w:style>
  <w:style w:type="character" w:styleId="10">
    <w:name w:val="Hyperlink"/>
    <w:basedOn w:val="6"/>
    <w:qFormat/>
    <w:uiPriority w:val="0"/>
    <w:rPr>
      <w:color w:val="0000FF"/>
      <w:u w:val="none"/>
    </w:rPr>
  </w:style>
  <w:style w:type="paragraph" w:customStyle="1" w:styleId="11">
    <w:name w:val="Heading #2|1"/>
    <w:basedOn w:val="1"/>
    <w:qFormat/>
    <w:uiPriority w:val="0"/>
    <w:pPr>
      <w:widowControl w:val="0"/>
      <w:shd w:val="clear" w:color="auto" w:fill="auto"/>
      <w:spacing w:after="740" w:line="576"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3">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5">
    <w:name w:val="Header or footer|1"/>
    <w:basedOn w:val="1"/>
    <w:qFormat/>
    <w:uiPriority w:val="0"/>
    <w:pPr>
      <w:widowControl w:val="0"/>
      <w:shd w:val="clear" w:color="auto" w:fill="auto"/>
      <w:spacing w:line="322" w:lineRule="auto"/>
    </w:pPr>
    <w:rPr>
      <w:rFonts w:ascii="宋体" w:hAnsi="宋体" w:eastAsia="宋体" w:cs="宋体"/>
      <w:sz w:val="30"/>
      <w:szCs w:val="30"/>
      <w:u w:val="none"/>
      <w:shd w:val="clear" w:color="auto" w:fill="auto"/>
      <w:lang w:val="zh-TW" w:eastAsia="zh-TW" w:bidi="zh-TW"/>
    </w:rPr>
  </w:style>
  <w:style w:type="paragraph" w:customStyle="1" w:styleId="16">
    <w:name w:val="Body text|2"/>
    <w:basedOn w:val="1"/>
    <w:qFormat/>
    <w:uiPriority w:val="0"/>
    <w:pPr>
      <w:widowControl w:val="0"/>
      <w:shd w:val="clear" w:color="auto" w:fill="auto"/>
      <w:spacing w:after="200" w:line="319" w:lineRule="exact"/>
      <w:ind w:left="400" w:firstLine="20"/>
    </w:pPr>
    <w:rPr>
      <w:rFonts w:ascii="宋体" w:hAnsi="宋体" w:eastAsia="宋体" w:cs="宋体"/>
      <w:sz w:val="22"/>
      <w:szCs w:val="22"/>
      <w:u w:val="none"/>
      <w:shd w:val="clear" w:color="auto" w:fill="auto"/>
      <w:lang w:val="zh-TW" w:eastAsia="zh-TW" w:bidi="zh-TW"/>
    </w:rPr>
  </w:style>
  <w:style w:type="character" w:customStyle="1" w:styleId="17">
    <w:name w:val="bsharet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2020-04-24T03:10:00Z</dcterms:created>
  <dc:creator>高莺</dc:creator>
  <cp:lastModifiedBy>荆豆</cp:lastModifiedBy>
  <cp:lastPrinted>2020-05-18T03:26:00Z</cp:lastPrinted>
  <dcterms:modified xsi:type="dcterms:W3CDTF">2020-05-19T09:02:29Z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