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00" w:lineRule="exact"/>
        <w:ind w:firstLine="0"/>
        <w:jc w:val="center"/>
        <w:rPr>
          <w:rFonts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杭州市提升老年健康和医养结合服务能力</w:t>
      </w:r>
      <w:r>
        <w:rPr>
          <w:rFonts w:hint="eastAsia" w:asciiTheme="majorEastAsia" w:hAnsiTheme="majorEastAsia" w:eastAsiaTheme="majorEastAsia" w:cstheme="majorEastAsia"/>
          <w:b/>
          <w:bCs/>
          <w:sz w:val="36"/>
          <w:szCs w:val="36"/>
        </w:rPr>
        <w:t>试点</w:t>
      </w:r>
      <w:r>
        <w:rPr>
          <w:rFonts w:hint="eastAsia" w:asciiTheme="majorEastAsia" w:hAnsiTheme="majorEastAsia" w:eastAsiaTheme="majorEastAsia" w:cstheme="majorEastAsia"/>
          <w:b/>
          <w:bCs/>
          <w:sz w:val="36"/>
          <w:szCs w:val="36"/>
          <w:lang w:eastAsia="zh-CN"/>
        </w:rPr>
        <w:t>工作</w:t>
      </w:r>
    </w:p>
    <w:p>
      <w:pPr>
        <w:pStyle w:val="9"/>
        <w:spacing w:line="500" w:lineRule="exact"/>
        <w:ind w:firstLine="0"/>
        <w:jc w:val="center"/>
        <w:rPr>
          <w:rFonts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实施方案</w:t>
      </w:r>
      <w:bookmarkStart w:id="0" w:name="_GoBack"/>
      <w:bookmarkEnd w:id="0"/>
    </w:p>
    <w:p>
      <w:pPr>
        <w:pStyle w:val="9"/>
        <w:spacing w:line="500" w:lineRule="exact"/>
        <w:ind w:firstLine="0"/>
        <w:jc w:val="center"/>
        <w:rPr>
          <w:rFonts w:ascii="仿宋" w:hAnsi="仿宋" w:eastAsia="仿宋" w:cs="仿宋"/>
          <w:sz w:val="32"/>
          <w:szCs w:val="32"/>
          <w:lang w:val="en-US" w:eastAsia="zh-CN" w:bidi="en-US"/>
        </w:rPr>
      </w:pPr>
      <w:r>
        <w:rPr>
          <w:rFonts w:hint="eastAsia" w:ascii="仿宋" w:hAnsi="仿宋" w:eastAsia="仿宋" w:cs="仿宋"/>
          <w:sz w:val="32"/>
          <w:szCs w:val="32"/>
          <w:lang w:val="en-US" w:eastAsia="zh-CN" w:bidi="en-US"/>
        </w:rPr>
        <w:t>（征求意见稿）</w:t>
      </w:r>
    </w:p>
    <w:p>
      <w:pPr>
        <w:pStyle w:val="9"/>
        <w:spacing w:line="240" w:lineRule="auto"/>
        <w:ind w:firstLine="0"/>
        <w:jc w:val="both"/>
        <w:rPr>
          <w:rFonts w:asciiTheme="majorEastAsia" w:hAnsiTheme="majorEastAsia" w:eastAsiaTheme="majorEastAsia" w:cstheme="majorEastAsia"/>
          <w:b/>
          <w:bCs/>
          <w:sz w:val="21"/>
          <w:szCs w:val="21"/>
        </w:rPr>
      </w:pPr>
    </w:p>
    <w:p>
      <w:pPr>
        <w:widowControl/>
        <w:spacing w:line="520" w:lineRule="exact"/>
        <w:ind w:firstLine="640" w:firstLineChars="200"/>
        <w:jc w:val="both"/>
        <w:rPr>
          <w:rFonts w:ascii="仿宋_GB2312" w:hAnsi="仿宋" w:eastAsia="仿宋_GB2312"/>
          <w:color w:val="FF0000"/>
          <w:sz w:val="32"/>
          <w:szCs w:val="32"/>
          <w:lang w:eastAsia="zh-CN"/>
        </w:rPr>
      </w:pPr>
      <w:r>
        <w:rPr>
          <w:rFonts w:hint="eastAsia" w:ascii="仿宋_GB2312" w:hAnsi="仿宋" w:eastAsia="仿宋_GB2312"/>
          <w:sz w:val="32"/>
          <w:szCs w:val="32"/>
          <w:lang w:eastAsia="zh-CN"/>
        </w:rPr>
        <w:t>为深入贯彻落实《国务院关于实施健康中国行动的意见》（国发〔2019〕13号）、《国家卫生健康委等部门关于深入推进医养结合发展的若干意见的通知》（国卫老龄发〔2019〕60号）、《国家卫生健康委等部门</w:t>
      </w:r>
      <w:r>
        <w:rPr>
          <w:rFonts w:ascii="仿宋_GB2312" w:hAnsi="仿宋" w:eastAsia="仿宋_GB2312"/>
          <w:sz w:val="32"/>
          <w:szCs w:val="32"/>
          <w:lang w:eastAsia="zh-CN"/>
        </w:rPr>
        <w:t>关于建立完善老年健康服务体系的指导意见</w:t>
      </w:r>
      <w:r>
        <w:rPr>
          <w:rFonts w:hint="eastAsia" w:ascii="仿宋_GB2312" w:hAnsi="仿宋" w:eastAsia="仿宋_GB2312"/>
          <w:sz w:val="32"/>
          <w:szCs w:val="32"/>
          <w:lang w:eastAsia="zh-CN"/>
        </w:rPr>
        <w:t>》（国卫老龄发〔2019〕61号）、《浙江省人民政府办公厅转发省卫生计生委等部门关于推进医疗卫生与养老服务相结合实施意见的通知》（浙政办发〔2016〕148号）、《杭州市人民政府办公厅关于完善市属公立医疗机构政府投入的实施意见》（杭政办函〔2018〕159号）等文件精神，积极应对人口老龄化，满足老年人健康服务需求，决定在本市实施提升老年健康和医养结合服务能力试点工作，具体方案如下：</w:t>
      </w:r>
    </w:p>
    <w:p>
      <w:pPr>
        <w:pStyle w:val="9"/>
        <w:spacing w:line="520" w:lineRule="exact"/>
        <w:ind w:firstLine="640" w:firstLineChars="200"/>
        <w:jc w:val="both"/>
        <w:rPr>
          <w:rFonts w:ascii="黑体" w:hAnsi="黑体" w:eastAsia="黑体" w:cs="Times New Roman"/>
          <w:sz w:val="32"/>
          <w:szCs w:val="32"/>
          <w:lang w:val="en-US" w:eastAsia="zh-CN" w:bidi="en-US"/>
        </w:rPr>
      </w:pPr>
      <w:r>
        <w:rPr>
          <w:rFonts w:hint="eastAsia" w:ascii="黑体" w:hAnsi="黑体" w:eastAsia="黑体" w:cs="Times New Roman"/>
          <w:sz w:val="32"/>
          <w:szCs w:val="32"/>
          <w:lang w:val="en-US" w:eastAsia="zh-CN" w:bidi="en-US"/>
        </w:rPr>
        <w:t>一、主要目标</w:t>
      </w:r>
    </w:p>
    <w:p>
      <w:pPr>
        <w:pStyle w:val="9"/>
        <w:spacing w:line="520" w:lineRule="exact"/>
        <w:ind w:firstLine="640" w:firstLineChars="200"/>
        <w:jc w:val="both"/>
        <w:rPr>
          <w:rFonts w:ascii="仿宋_GB2312" w:hAnsi="仿宋" w:eastAsia="仿宋_GB2312" w:cs="Times New Roman"/>
          <w:sz w:val="32"/>
          <w:szCs w:val="32"/>
          <w:lang w:val="en-US" w:eastAsia="zh-CN" w:bidi="en-US"/>
        </w:rPr>
      </w:pPr>
      <w:r>
        <w:rPr>
          <w:rFonts w:hint="eastAsia" w:ascii="仿宋_GB2312" w:hAnsi="仿宋" w:eastAsia="仿宋_GB2312" w:cs="Times New Roman"/>
          <w:sz w:val="32"/>
          <w:szCs w:val="32"/>
          <w:lang w:val="en-US" w:eastAsia="zh-CN" w:bidi="en-US"/>
        </w:rPr>
        <w:t>本项目旨在提升老年健康服务和医养结合能力，通过开展紧密医养联合体，建立医疗机构与医养结合机构之间的业务协作、双向转诊机制，强化医疗服务的协同性、连续性，使老年人能够就近享受到便捷、优质、连续的同质化基本医疗服务，为推进我市老年健康和医养结合工作探索路径，积累经验，提供样板。</w:t>
      </w:r>
    </w:p>
    <w:p>
      <w:pPr>
        <w:pStyle w:val="9"/>
        <w:spacing w:line="520" w:lineRule="exact"/>
        <w:ind w:firstLine="640" w:firstLineChars="200"/>
        <w:jc w:val="both"/>
        <w:rPr>
          <w:rFonts w:ascii="黑体" w:hAnsi="黑体" w:eastAsia="黑体" w:cs="Times New Roman"/>
          <w:sz w:val="32"/>
          <w:szCs w:val="32"/>
          <w:lang w:val="en-US" w:eastAsia="zh-CN" w:bidi="en-US"/>
        </w:rPr>
      </w:pPr>
      <w:r>
        <w:rPr>
          <w:rFonts w:hint="eastAsia" w:ascii="黑体" w:hAnsi="黑体" w:eastAsia="黑体" w:cs="Times New Roman"/>
          <w:sz w:val="32"/>
          <w:szCs w:val="32"/>
          <w:lang w:val="en-US" w:eastAsia="zh-CN" w:bidi="en-US"/>
        </w:rPr>
        <w:t>二、主要内容</w:t>
      </w:r>
    </w:p>
    <w:p>
      <w:pPr>
        <w:pStyle w:val="9"/>
        <w:spacing w:line="520" w:lineRule="exact"/>
        <w:ind w:firstLine="643" w:firstLineChars="200"/>
        <w:jc w:val="both"/>
        <w:rPr>
          <w:rFonts w:ascii="楷体_GB2312" w:hAnsi="仿宋" w:eastAsia="楷体_GB2312" w:cs="Times New Roman"/>
          <w:b/>
          <w:sz w:val="32"/>
          <w:szCs w:val="32"/>
          <w:lang w:val="en-US" w:eastAsia="zh-CN" w:bidi="en-US"/>
        </w:rPr>
      </w:pPr>
      <w:r>
        <w:rPr>
          <w:rFonts w:hint="eastAsia" w:ascii="楷体_GB2312" w:hAnsi="仿宋" w:eastAsia="楷体_GB2312" w:cs="Times New Roman"/>
          <w:b/>
          <w:sz w:val="32"/>
          <w:szCs w:val="32"/>
          <w:lang w:val="en-US" w:eastAsia="zh-CN" w:bidi="en-US"/>
        </w:rPr>
        <w:t>（一）在市老年病医院建立杭州市老年健康指导中心。</w:t>
      </w:r>
    </w:p>
    <w:p>
      <w:pPr>
        <w:pStyle w:val="9"/>
        <w:spacing w:line="520" w:lineRule="exact"/>
        <w:ind w:firstLine="640" w:firstLineChars="200"/>
        <w:jc w:val="both"/>
        <w:rPr>
          <w:rFonts w:ascii="仿宋_GB2312" w:hAnsi="仿宋" w:eastAsia="仿宋_GB2312" w:cs="Times New Roman"/>
          <w:color w:val="auto"/>
          <w:sz w:val="32"/>
          <w:szCs w:val="32"/>
          <w:lang w:val="en-US" w:eastAsia="zh-CN" w:bidi="en-US"/>
        </w:rPr>
      </w:pPr>
      <w:r>
        <w:rPr>
          <w:rFonts w:hint="eastAsia" w:ascii="仿宋_GB2312" w:hAnsi="仿宋" w:eastAsia="仿宋_GB2312" w:cs="Times New Roman"/>
          <w:color w:val="auto"/>
          <w:sz w:val="32"/>
          <w:szCs w:val="32"/>
          <w:lang w:val="en-US" w:eastAsia="zh-CN" w:bidi="en-US"/>
        </w:rPr>
        <w:t>为</w:t>
      </w:r>
      <w:r>
        <w:rPr>
          <w:rFonts w:ascii="仿宋_GB2312" w:hAnsi="仿宋" w:eastAsia="仿宋_GB2312" w:cs="Times New Roman"/>
          <w:color w:val="auto"/>
          <w:sz w:val="32"/>
          <w:szCs w:val="32"/>
          <w:lang w:val="en-US" w:eastAsia="zh-CN" w:bidi="en-US"/>
        </w:rPr>
        <w:t>满足老年人健康服务需求，着力构建包括健康教育、预防保健、疾病诊治、康复护理、长期照护、安宁疗护的综合连续、覆盖城乡的老年健康服务体系</w:t>
      </w:r>
      <w:r>
        <w:rPr>
          <w:rFonts w:hint="eastAsia" w:ascii="仿宋_GB2312" w:hAnsi="仿宋" w:eastAsia="仿宋_GB2312" w:cs="Times New Roman"/>
          <w:color w:val="auto"/>
          <w:sz w:val="32"/>
          <w:szCs w:val="32"/>
          <w:lang w:val="en-US" w:eastAsia="zh-CN" w:bidi="en-US"/>
        </w:rPr>
        <w:t>，不断提升我市老年健康服务能力，在市老年病医院建立杭州市老年健康指导中心。该中心</w:t>
      </w:r>
      <w:r>
        <w:rPr>
          <w:rFonts w:ascii="仿宋_GB2312" w:hAnsi="仿宋" w:eastAsia="仿宋_GB2312" w:cs="Times New Roman"/>
          <w:color w:val="auto"/>
          <w:sz w:val="32"/>
          <w:szCs w:val="32"/>
          <w:lang w:val="en-US" w:eastAsia="zh-CN" w:bidi="en-US"/>
        </w:rPr>
        <w:t>集</w:t>
      </w:r>
      <w:r>
        <w:rPr>
          <w:rFonts w:hint="eastAsia" w:ascii="仿宋_GB2312" w:hAnsi="仿宋" w:eastAsia="仿宋_GB2312" w:cs="Times New Roman"/>
          <w:color w:val="auto"/>
          <w:sz w:val="32"/>
          <w:szCs w:val="32"/>
          <w:lang w:val="en-US" w:eastAsia="zh-CN" w:bidi="en-US"/>
        </w:rPr>
        <w:t>老年健康教育、</w:t>
      </w:r>
      <w:r>
        <w:rPr>
          <w:rFonts w:ascii="仿宋_GB2312" w:hAnsi="仿宋" w:eastAsia="仿宋_GB2312" w:cs="Times New Roman"/>
          <w:color w:val="auto"/>
          <w:sz w:val="32"/>
          <w:szCs w:val="32"/>
          <w:lang w:val="en-US" w:eastAsia="zh-CN" w:bidi="en-US"/>
        </w:rPr>
        <w:t>预防保健、临床、教学、科研为一体</w:t>
      </w:r>
      <w:r>
        <w:rPr>
          <w:rFonts w:hint="eastAsia" w:ascii="仿宋_GB2312" w:hAnsi="仿宋" w:eastAsia="仿宋_GB2312" w:cs="Times New Roman"/>
          <w:color w:val="auto"/>
          <w:sz w:val="32"/>
          <w:szCs w:val="32"/>
          <w:lang w:val="en-US" w:eastAsia="zh-CN" w:bidi="en-US"/>
        </w:rPr>
        <w:t>，积极开展全市老年健康服务能力提升三年行动计划。</w:t>
      </w:r>
    </w:p>
    <w:p>
      <w:pPr>
        <w:pStyle w:val="4"/>
        <w:shd w:val="clear" w:color="auto" w:fill="FFFFFF"/>
        <w:spacing w:before="0" w:beforeAutospacing="0" w:after="0" w:afterAutospacing="0" w:line="520" w:lineRule="exact"/>
        <w:ind w:firstLine="643" w:firstLineChars="200"/>
        <w:jc w:val="both"/>
        <w:rPr>
          <w:rFonts w:ascii="仿宋_GB2312" w:hAnsi="仿宋" w:eastAsia="仿宋_GB2312" w:cs="Times New Roman"/>
          <w:sz w:val="32"/>
          <w:szCs w:val="32"/>
          <w:lang w:bidi="en-US"/>
        </w:rPr>
      </w:pPr>
      <w:r>
        <w:rPr>
          <w:rFonts w:hint="eastAsia" w:ascii="仿宋_GB2312" w:hAnsi="仿宋" w:eastAsia="仿宋_GB2312" w:cs="Times New Roman"/>
          <w:b/>
          <w:sz w:val="32"/>
          <w:szCs w:val="32"/>
          <w:lang w:bidi="en-US"/>
        </w:rPr>
        <w:t>1、行动目标：</w:t>
      </w:r>
      <w:r>
        <w:rPr>
          <w:rFonts w:hint="eastAsia" w:ascii="仿宋_GB2312" w:hAnsi="仿宋" w:eastAsia="仿宋_GB2312" w:cs="Times New Roman"/>
          <w:sz w:val="32"/>
          <w:szCs w:val="32"/>
          <w:lang w:bidi="en-US"/>
        </w:rPr>
        <w:t>到2020年，</w:t>
      </w:r>
      <w:r>
        <w:rPr>
          <w:rFonts w:ascii="仿宋_GB2312" w:hAnsi="仿宋" w:eastAsia="仿宋_GB2312" w:cs="Times New Roman"/>
          <w:sz w:val="32"/>
          <w:szCs w:val="32"/>
          <w:lang w:bidi="en-US"/>
        </w:rPr>
        <w:t>老年医学服务能力显著提升，</w:t>
      </w:r>
      <w:r>
        <w:rPr>
          <w:rFonts w:hint="eastAsia" w:ascii="仿宋_GB2312" w:hAnsi="仿宋" w:eastAsia="仿宋_GB2312" w:cs="Times New Roman"/>
          <w:sz w:val="32"/>
          <w:szCs w:val="32"/>
          <w:lang w:bidi="en-US"/>
        </w:rPr>
        <w:t>全市二级以上综合医院设置老年医学科比例不低于60%，三级中医医院设置康复科比例达到75%。</w:t>
      </w:r>
      <w:r>
        <w:rPr>
          <w:rFonts w:ascii="仿宋_GB2312" w:hAnsi="仿宋" w:eastAsia="仿宋_GB2312" w:cs="Times New Roman"/>
          <w:sz w:val="32"/>
          <w:szCs w:val="32"/>
          <w:lang w:bidi="en-US"/>
        </w:rPr>
        <w:t>基层医疗机构为老年人提供</w:t>
      </w:r>
      <w:r>
        <w:rPr>
          <w:rFonts w:hint="eastAsia" w:ascii="仿宋_GB2312" w:hAnsi="仿宋" w:eastAsia="仿宋_GB2312" w:cs="Times New Roman"/>
          <w:sz w:val="32"/>
          <w:szCs w:val="32"/>
          <w:lang w:bidi="en-US"/>
        </w:rPr>
        <w:t>健康管理和健康</w:t>
      </w:r>
      <w:r>
        <w:rPr>
          <w:rFonts w:ascii="仿宋_GB2312" w:hAnsi="仿宋" w:eastAsia="仿宋_GB2312" w:cs="Times New Roman"/>
          <w:sz w:val="32"/>
          <w:szCs w:val="32"/>
          <w:lang w:bidi="en-US"/>
        </w:rPr>
        <w:t>服务的能力明显提升</w:t>
      </w:r>
      <w:r>
        <w:rPr>
          <w:rFonts w:hint="eastAsia" w:ascii="仿宋_GB2312" w:hAnsi="仿宋" w:eastAsia="仿宋_GB2312" w:cs="Times New Roman"/>
          <w:sz w:val="32"/>
          <w:szCs w:val="32"/>
          <w:lang w:bidi="en-US"/>
        </w:rPr>
        <w:t>。</w:t>
      </w:r>
    </w:p>
    <w:p>
      <w:pPr>
        <w:pStyle w:val="4"/>
        <w:shd w:val="clear" w:color="auto" w:fill="FFFFFF"/>
        <w:spacing w:before="0" w:beforeAutospacing="0" w:after="0" w:afterAutospacing="0" w:line="520" w:lineRule="exact"/>
        <w:ind w:firstLine="640" w:firstLineChars="200"/>
        <w:jc w:val="both"/>
        <w:rPr>
          <w:rFonts w:ascii="仿宋_GB2312" w:hAnsi="仿宋" w:eastAsia="仿宋_GB2312" w:cs="Times New Roman"/>
          <w:sz w:val="32"/>
          <w:szCs w:val="32"/>
          <w:lang w:bidi="en-US"/>
        </w:rPr>
      </w:pPr>
      <w:r>
        <w:rPr>
          <w:rFonts w:ascii="仿宋_GB2312" w:hAnsi="仿宋" w:eastAsia="仿宋_GB2312" w:cs="Times New Roman"/>
          <w:sz w:val="32"/>
          <w:szCs w:val="32"/>
          <w:lang w:bidi="en-US"/>
        </w:rPr>
        <w:t>到2022年，老年健康相关制度、标准、规范基本建立，老年健康服务机构数量显著增加，服务内容更加丰富，服务质量明显提升，服务队伍更加壮大，服务资源配置更趋合理，综合连续、覆盖城乡的老年健康服务体系基本建立，</w:t>
      </w:r>
      <w:r>
        <w:rPr>
          <w:rFonts w:hint="eastAsia" w:ascii="仿宋_GB2312" w:hAnsi="仿宋" w:eastAsia="仿宋_GB2312" w:cs="Times New Roman"/>
          <w:sz w:val="32"/>
          <w:szCs w:val="32"/>
          <w:lang w:bidi="en-US"/>
        </w:rPr>
        <w:t>老年</w:t>
      </w:r>
      <w:r>
        <w:rPr>
          <w:rFonts w:ascii="仿宋_GB2312" w:hAnsi="仿宋" w:eastAsia="仿宋_GB2312" w:cs="Times New Roman"/>
          <w:sz w:val="32"/>
          <w:szCs w:val="32"/>
          <w:lang w:bidi="en-US"/>
        </w:rPr>
        <w:t>健康服务质量水平显著提高。</w:t>
      </w:r>
    </w:p>
    <w:p>
      <w:pPr>
        <w:pStyle w:val="4"/>
        <w:shd w:val="clear" w:color="auto" w:fill="FFFFFF"/>
        <w:spacing w:before="0" w:beforeAutospacing="0" w:after="0" w:afterAutospacing="0" w:line="520" w:lineRule="exact"/>
        <w:ind w:firstLine="643" w:firstLineChars="200"/>
        <w:jc w:val="both"/>
        <w:rPr>
          <w:rFonts w:ascii="仿宋_GB2312" w:hAnsi="黑体" w:eastAsia="仿宋_GB2312" w:cstheme="minorBidi"/>
          <w:kern w:val="2"/>
          <w:sz w:val="32"/>
          <w:szCs w:val="32"/>
        </w:rPr>
      </w:pPr>
      <w:r>
        <w:rPr>
          <w:rFonts w:hint="eastAsia" w:ascii="仿宋_GB2312" w:hAnsi="仿宋" w:eastAsia="仿宋_GB2312" w:cs="Times New Roman"/>
          <w:b/>
          <w:sz w:val="32"/>
          <w:szCs w:val="32"/>
          <w:lang w:bidi="en-US"/>
        </w:rPr>
        <w:t>2、主要工作：</w:t>
      </w:r>
      <w:r>
        <w:rPr>
          <w:rFonts w:hint="eastAsia" w:ascii="仿宋_GB2312" w:hAnsi="仿宋" w:eastAsia="仿宋_GB2312" w:cs="Times New Roman"/>
          <w:sz w:val="32"/>
          <w:szCs w:val="32"/>
          <w:lang w:bidi="en-US"/>
        </w:rPr>
        <w:t>参与全市老年健康服务体系建设规划和老年健康服务标准规范的制</w:t>
      </w:r>
      <w:r>
        <w:rPr>
          <w:rFonts w:hint="eastAsia" w:ascii="仿宋_GB2312" w:hAnsi="华文中宋" w:eastAsia="仿宋_GB2312" w:cs="仿宋_GB2312"/>
          <w:kern w:val="2"/>
          <w:sz w:val="32"/>
          <w:szCs w:val="32"/>
        </w:rPr>
        <w:t>定，推动我市老年医学科和亚专科发展，组织开展全市老</w:t>
      </w:r>
      <w:r>
        <w:rPr>
          <w:rFonts w:hint="eastAsia" w:ascii="仿宋_GB2312" w:hAnsi="仿宋" w:eastAsia="仿宋_GB2312" w:cs="Times New Roman"/>
          <w:sz w:val="32"/>
          <w:szCs w:val="32"/>
          <w:lang w:bidi="en-US"/>
        </w:rPr>
        <w:t>年健康服务的人才培训、质量控制、督导考核和科学研究等相关工作，组织形式多样的老年健康宣传教育活动等。</w:t>
      </w:r>
    </w:p>
    <w:p>
      <w:pPr>
        <w:spacing w:line="520" w:lineRule="exact"/>
        <w:ind w:firstLine="640" w:firstLineChars="200"/>
        <w:rPr>
          <w:rFonts w:ascii="仿宋_GB2312" w:hAnsi="华文中宋" w:eastAsia="仿宋_GB2312" w:cs="仿宋_GB2312"/>
          <w:color w:val="auto"/>
          <w:kern w:val="2"/>
          <w:sz w:val="32"/>
          <w:szCs w:val="32"/>
          <w:lang w:eastAsia="zh-CN" w:bidi="ar-SA"/>
        </w:rPr>
      </w:pPr>
      <w:r>
        <w:rPr>
          <w:rFonts w:ascii="仿宋_GB2312" w:hAnsi="华文中宋" w:eastAsia="仿宋_GB2312" w:cs="仿宋_GB2312"/>
          <w:color w:val="auto"/>
          <w:kern w:val="2"/>
          <w:sz w:val="32"/>
          <w:szCs w:val="32"/>
          <w:lang w:eastAsia="zh-CN" w:bidi="ar-SA"/>
        </w:rPr>
        <w:t>（1）</w:t>
      </w:r>
      <w:r>
        <w:rPr>
          <w:rFonts w:hint="eastAsia" w:ascii="仿宋_GB2312" w:hAnsi="华文中宋" w:eastAsia="仿宋_GB2312" w:cs="仿宋_GB2312"/>
          <w:color w:val="auto"/>
          <w:kern w:val="2"/>
          <w:sz w:val="32"/>
          <w:szCs w:val="32"/>
          <w:lang w:eastAsia="zh-CN" w:bidi="ar-SA"/>
        </w:rPr>
        <w:t>全市</w:t>
      </w:r>
      <w:r>
        <w:rPr>
          <w:rFonts w:ascii="仿宋_GB2312" w:hAnsi="华文中宋" w:eastAsia="仿宋_GB2312" w:cs="仿宋_GB2312"/>
          <w:color w:val="auto"/>
          <w:kern w:val="2"/>
          <w:sz w:val="32"/>
          <w:szCs w:val="32"/>
          <w:lang w:eastAsia="zh-CN" w:bidi="ar-SA"/>
        </w:rPr>
        <w:t>老年健康基线调查</w:t>
      </w:r>
      <w:r>
        <w:rPr>
          <w:rFonts w:hint="eastAsia" w:ascii="仿宋_GB2312" w:hAnsi="华文中宋" w:eastAsia="仿宋_GB2312" w:cs="仿宋_GB2312"/>
          <w:color w:val="auto"/>
          <w:kern w:val="2"/>
          <w:sz w:val="32"/>
          <w:szCs w:val="32"/>
          <w:lang w:eastAsia="zh-CN" w:bidi="ar-SA"/>
        </w:rPr>
        <w:t>。</w:t>
      </w:r>
      <w:r>
        <w:rPr>
          <w:rFonts w:ascii="仿宋_GB2312" w:hAnsi="华文中宋" w:eastAsia="仿宋_GB2312" w:cs="仿宋_GB2312"/>
          <w:color w:val="auto"/>
          <w:kern w:val="2"/>
          <w:sz w:val="32"/>
          <w:szCs w:val="32"/>
          <w:lang w:eastAsia="zh-CN" w:bidi="ar-SA"/>
        </w:rPr>
        <w:t>联合社区</w:t>
      </w:r>
      <w:r>
        <w:rPr>
          <w:rFonts w:hint="eastAsia" w:ascii="仿宋_GB2312" w:hAnsi="华文中宋" w:eastAsia="仿宋_GB2312" w:cs="仿宋_GB2312"/>
          <w:color w:val="auto"/>
          <w:kern w:val="2"/>
          <w:sz w:val="32"/>
          <w:szCs w:val="32"/>
          <w:lang w:eastAsia="zh-CN" w:bidi="ar-SA"/>
        </w:rPr>
        <w:t>、</w:t>
      </w:r>
      <w:r>
        <w:rPr>
          <w:rFonts w:ascii="仿宋_GB2312" w:hAnsi="华文中宋" w:eastAsia="仿宋_GB2312" w:cs="仿宋_GB2312"/>
          <w:color w:val="auto"/>
          <w:kern w:val="2"/>
          <w:sz w:val="32"/>
          <w:szCs w:val="32"/>
          <w:lang w:eastAsia="zh-CN" w:bidi="ar-SA"/>
        </w:rPr>
        <w:t>基层</w:t>
      </w:r>
      <w:r>
        <w:rPr>
          <w:rFonts w:hint="eastAsia" w:ascii="仿宋_GB2312" w:hAnsi="华文中宋" w:eastAsia="仿宋_GB2312" w:cs="仿宋_GB2312"/>
          <w:color w:val="auto"/>
          <w:kern w:val="2"/>
          <w:sz w:val="32"/>
          <w:szCs w:val="32"/>
          <w:lang w:eastAsia="zh-CN" w:bidi="ar-SA"/>
        </w:rPr>
        <w:t>医疗机构等</w:t>
      </w:r>
      <w:r>
        <w:rPr>
          <w:rFonts w:ascii="仿宋_GB2312" w:hAnsi="华文中宋" w:eastAsia="仿宋_GB2312" w:cs="仿宋_GB2312"/>
          <w:color w:val="auto"/>
          <w:kern w:val="2"/>
          <w:sz w:val="32"/>
          <w:szCs w:val="32"/>
          <w:lang w:eastAsia="zh-CN" w:bidi="ar-SA"/>
        </w:rPr>
        <w:t>，对老年人身心健康状况、疾病谱及健康危险因素水平进行</w:t>
      </w:r>
      <w:r>
        <w:rPr>
          <w:rFonts w:hint="eastAsia" w:ascii="仿宋_GB2312" w:hAnsi="华文中宋" w:eastAsia="仿宋_GB2312" w:cs="仿宋_GB2312"/>
          <w:color w:val="auto"/>
          <w:kern w:val="2"/>
          <w:sz w:val="32"/>
          <w:szCs w:val="32"/>
          <w:lang w:eastAsia="zh-CN" w:bidi="ar-SA"/>
        </w:rPr>
        <w:t>调查</w:t>
      </w:r>
      <w:r>
        <w:rPr>
          <w:rFonts w:ascii="仿宋_GB2312" w:hAnsi="华文中宋" w:eastAsia="仿宋_GB2312" w:cs="仿宋_GB2312"/>
          <w:color w:val="auto"/>
          <w:kern w:val="2"/>
          <w:sz w:val="32"/>
          <w:szCs w:val="32"/>
          <w:lang w:eastAsia="zh-CN" w:bidi="ar-SA"/>
        </w:rPr>
        <w:t xml:space="preserve">，也包括认知水平、家庭构成、医疗需求等。建立健全老年健康危险因素干预、疾病早发现早诊断早治疗、失能预防三级预防体系。 </w:t>
      </w:r>
    </w:p>
    <w:p>
      <w:pPr>
        <w:spacing w:line="520" w:lineRule="exact"/>
        <w:ind w:firstLine="640" w:firstLineChars="200"/>
        <w:rPr>
          <w:rFonts w:ascii="微软雅黑" w:hAnsi="微软雅黑" w:eastAsia="微软雅黑"/>
          <w:color w:val="auto"/>
          <w:sz w:val="22"/>
          <w:szCs w:val="22"/>
          <w:shd w:val="clear" w:color="auto" w:fill="FFFFFF"/>
          <w:lang w:eastAsia="zh-CN"/>
        </w:rPr>
      </w:pPr>
      <w:r>
        <w:rPr>
          <w:rFonts w:ascii="仿宋_GB2312" w:hAnsi="华文中宋" w:eastAsia="仿宋_GB2312" w:cs="仿宋_GB2312"/>
          <w:color w:val="auto"/>
          <w:kern w:val="2"/>
          <w:sz w:val="32"/>
          <w:szCs w:val="32"/>
          <w:lang w:eastAsia="zh-CN" w:bidi="ar-SA"/>
        </w:rPr>
        <w:t>（2）</w:t>
      </w:r>
      <w:r>
        <w:rPr>
          <w:rFonts w:hint="eastAsia" w:ascii="仿宋_GB2312" w:hAnsi="华文中宋" w:eastAsia="仿宋_GB2312" w:cs="仿宋_GB2312"/>
          <w:color w:val="auto"/>
          <w:kern w:val="2"/>
          <w:sz w:val="32"/>
          <w:szCs w:val="32"/>
          <w:lang w:eastAsia="zh-CN" w:bidi="ar-SA"/>
        </w:rPr>
        <w:t>强化老年健康教育与健康促进。大力推进老年健康教育与健康促进，广泛开展老年人健康生活方式行动，倡导自主、自律健康行为。加快老年健康教育资料和科普素材的制作开发，为签约医生、社工和志愿者等基层主要健康教育队伍提供技术支撑和业务指导。</w:t>
      </w:r>
      <w:r>
        <w:rPr>
          <w:rFonts w:ascii="仿宋_GB2312" w:hAnsi="华文中宋" w:eastAsia="仿宋_GB2312" w:cs="仿宋_GB2312"/>
          <w:color w:val="auto"/>
          <w:kern w:val="2"/>
          <w:sz w:val="32"/>
          <w:szCs w:val="32"/>
          <w:lang w:eastAsia="zh-CN" w:bidi="ar-SA"/>
        </w:rPr>
        <w:t>每年</w:t>
      </w:r>
      <w:r>
        <w:rPr>
          <w:rFonts w:hint="eastAsia" w:ascii="仿宋_GB2312" w:hAnsi="华文中宋" w:eastAsia="仿宋_GB2312" w:cs="仿宋_GB2312"/>
          <w:color w:val="auto"/>
          <w:kern w:val="2"/>
          <w:sz w:val="32"/>
          <w:szCs w:val="32"/>
          <w:lang w:eastAsia="zh-CN" w:bidi="ar-SA"/>
        </w:rPr>
        <w:t>开展</w:t>
      </w:r>
      <w:r>
        <w:rPr>
          <w:rFonts w:ascii="仿宋_GB2312" w:hAnsi="华文中宋" w:eastAsia="仿宋_GB2312" w:cs="仿宋_GB2312"/>
          <w:color w:val="auto"/>
          <w:kern w:val="2"/>
          <w:sz w:val="32"/>
          <w:szCs w:val="32"/>
          <w:lang w:eastAsia="zh-CN" w:bidi="ar-SA"/>
        </w:rPr>
        <w:t>健康宣教10次</w:t>
      </w:r>
      <w:r>
        <w:rPr>
          <w:rFonts w:hint="eastAsia" w:ascii="仿宋_GB2312" w:hAnsi="华文中宋" w:eastAsia="仿宋_GB2312" w:cs="仿宋_GB2312"/>
          <w:color w:val="auto"/>
          <w:kern w:val="2"/>
          <w:sz w:val="32"/>
          <w:szCs w:val="32"/>
          <w:lang w:eastAsia="zh-CN" w:bidi="ar-SA"/>
        </w:rPr>
        <w:t>以上</w:t>
      </w:r>
      <w:r>
        <w:rPr>
          <w:rFonts w:ascii="仿宋_GB2312" w:hAnsi="华文中宋" w:eastAsia="仿宋_GB2312" w:cs="仿宋_GB2312"/>
          <w:color w:val="auto"/>
          <w:kern w:val="2"/>
          <w:sz w:val="32"/>
          <w:szCs w:val="32"/>
          <w:lang w:eastAsia="zh-CN" w:bidi="ar-SA"/>
        </w:rPr>
        <w:t>，</w:t>
      </w:r>
      <w:r>
        <w:rPr>
          <w:rFonts w:hint="eastAsia" w:ascii="仿宋_GB2312" w:hAnsi="华文中宋" w:eastAsia="仿宋_GB2312" w:cs="仿宋_GB2312"/>
          <w:color w:val="auto"/>
          <w:kern w:val="2"/>
          <w:sz w:val="32"/>
          <w:szCs w:val="32"/>
          <w:lang w:eastAsia="zh-CN" w:bidi="ar-SA"/>
        </w:rPr>
        <w:t>每年宣教不少于1000人次</w:t>
      </w:r>
      <w:r>
        <w:rPr>
          <w:rFonts w:ascii="仿宋_GB2312" w:hAnsi="华文中宋" w:eastAsia="仿宋_GB2312" w:cs="仿宋_GB2312"/>
          <w:color w:val="auto"/>
          <w:kern w:val="2"/>
          <w:sz w:val="32"/>
          <w:szCs w:val="32"/>
          <w:lang w:eastAsia="zh-CN" w:bidi="ar-SA"/>
        </w:rPr>
        <w:t>。</w:t>
      </w:r>
    </w:p>
    <w:p>
      <w:pPr>
        <w:spacing w:line="520" w:lineRule="exact"/>
        <w:ind w:firstLine="640" w:firstLineChars="200"/>
        <w:rPr>
          <w:rFonts w:ascii="仿宋_GB2312" w:hAnsi="华文中宋" w:eastAsia="仿宋_GB2312" w:cs="仿宋_GB2312"/>
          <w:color w:val="auto"/>
          <w:kern w:val="2"/>
          <w:sz w:val="32"/>
          <w:szCs w:val="32"/>
          <w:lang w:eastAsia="zh-CN" w:bidi="ar-SA"/>
        </w:rPr>
      </w:pPr>
      <w:r>
        <w:rPr>
          <w:rFonts w:ascii="仿宋_GB2312" w:hAnsi="仿宋" w:eastAsia="仿宋_GB2312"/>
          <w:color w:val="auto"/>
          <w:sz w:val="32"/>
          <w:szCs w:val="32"/>
          <w:lang w:eastAsia="zh-CN"/>
        </w:rPr>
        <w:t>（3）</w:t>
      </w:r>
      <w:r>
        <w:rPr>
          <w:rFonts w:ascii="仿宋_GB2312" w:hAnsi="华文中宋" w:eastAsia="仿宋_GB2312" w:cs="仿宋_GB2312"/>
          <w:color w:val="auto"/>
          <w:kern w:val="2"/>
          <w:sz w:val="32"/>
          <w:szCs w:val="32"/>
          <w:lang w:eastAsia="zh-CN" w:bidi="ar-SA"/>
        </w:rPr>
        <w:t>老年健康</w:t>
      </w:r>
      <w:r>
        <w:rPr>
          <w:rFonts w:hint="eastAsia" w:ascii="仿宋_GB2312" w:hAnsi="华文中宋" w:eastAsia="仿宋_GB2312" w:cs="仿宋_GB2312"/>
          <w:color w:val="auto"/>
          <w:kern w:val="2"/>
          <w:sz w:val="32"/>
          <w:szCs w:val="32"/>
          <w:lang w:eastAsia="zh-CN" w:bidi="ar-SA"/>
        </w:rPr>
        <w:t>人才培训</w:t>
      </w:r>
      <w:r>
        <w:rPr>
          <w:rFonts w:ascii="仿宋_GB2312" w:hAnsi="华文中宋" w:eastAsia="仿宋_GB2312" w:cs="仿宋_GB2312"/>
          <w:color w:val="auto"/>
          <w:kern w:val="2"/>
          <w:sz w:val="32"/>
          <w:szCs w:val="32"/>
          <w:lang w:eastAsia="zh-CN" w:bidi="ar-SA"/>
        </w:rPr>
        <w:t>。</w:t>
      </w:r>
      <w:r>
        <w:rPr>
          <w:rFonts w:hint="eastAsia" w:ascii="仿宋_GB2312" w:hAnsi="华文中宋" w:eastAsia="仿宋_GB2312" w:cs="仿宋_GB2312"/>
          <w:color w:val="auto"/>
          <w:kern w:val="2"/>
          <w:sz w:val="32"/>
          <w:szCs w:val="32"/>
          <w:lang w:eastAsia="zh-CN" w:bidi="ar-SA"/>
        </w:rPr>
        <w:t>加强老年医学</w:t>
      </w:r>
      <w:r>
        <w:rPr>
          <w:rFonts w:ascii="仿宋_GB2312" w:hAnsi="华文中宋" w:eastAsia="仿宋_GB2312" w:cs="仿宋_GB2312"/>
          <w:color w:val="auto"/>
          <w:kern w:val="2"/>
          <w:sz w:val="32"/>
          <w:szCs w:val="32"/>
          <w:lang w:eastAsia="zh-CN" w:bidi="ar-SA"/>
        </w:rPr>
        <w:t>、药学、护理、康复、心理、安宁疗护</w:t>
      </w:r>
      <w:r>
        <w:rPr>
          <w:rFonts w:hint="eastAsia" w:ascii="仿宋_GB2312" w:hAnsi="华文中宋" w:eastAsia="仿宋_GB2312" w:cs="仿宋_GB2312"/>
          <w:color w:val="auto"/>
          <w:kern w:val="2"/>
          <w:sz w:val="32"/>
          <w:szCs w:val="32"/>
          <w:lang w:eastAsia="zh-CN" w:bidi="ar-SA"/>
        </w:rPr>
        <w:t>等急需人才培养。分人群开展培训指导，对</w:t>
      </w:r>
      <w:r>
        <w:rPr>
          <w:rFonts w:ascii="仿宋_GB2312" w:hAnsi="华文中宋" w:eastAsia="仿宋_GB2312" w:cs="仿宋_GB2312"/>
          <w:color w:val="auto"/>
          <w:kern w:val="2"/>
          <w:sz w:val="32"/>
          <w:szCs w:val="32"/>
          <w:lang w:eastAsia="zh-CN" w:bidi="ar-SA"/>
        </w:rPr>
        <w:t>相关医护人员</w:t>
      </w:r>
      <w:r>
        <w:rPr>
          <w:rFonts w:hint="eastAsia" w:ascii="仿宋_GB2312" w:hAnsi="华文中宋" w:eastAsia="仿宋_GB2312" w:cs="仿宋_GB2312"/>
          <w:color w:val="auto"/>
          <w:kern w:val="2"/>
          <w:sz w:val="32"/>
          <w:szCs w:val="32"/>
          <w:lang w:eastAsia="zh-CN" w:bidi="ar-SA"/>
        </w:rPr>
        <w:t>开展</w:t>
      </w:r>
      <w:r>
        <w:rPr>
          <w:rFonts w:ascii="仿宋_GB2312" w:hAnsi="华文中宋" w:eastAsia="仿宋_GB2312" w:cs="仿宋_GB2312"/>
          <w:color w:val="auto"/>
          <w:kern w:val="2"/>
          <w:sz w:val="32"/>
          <w:szCs w:val="32"/>
          <w:lang w:eastAsia="zh-CN" w:bidi="ar-SA"/>
        </w:rPr>
        <w:t>老年医学、康复</w:t>
      </w:r>
      <w:r>
        <w:rPr>
          <w:rFonts w:hint="eastAsia" w:ascii="仿宋_GB2312" w:hAnsi="华文中宋" w:eastAsia="仿宋_GB2312" w:cs="仿宋_GB2312"/>
          <w:color w:val="auto"/>
          <w:kern w:val="2"/>
          <w:sz w:val="32"/>
          <w:szCs w:val="32"/>
          <w:lang w:eastAsia="zh-CN" w:bidi="ar-SA"/>
        </w:rPr>
        <w:t>、</w:t>
      </w:r>
      <w:r>
        <w:rPr>
          <w:rFonts w:ascii="仿宋_GB2312" w:hAnsi="华文中宋" w:eastAsia="仿宋_GB2312" w:cs="仿宋_GB2312"/>
          <w:color w:val="auto"/>
          <w:kern w:val="2"/>
          <w:sz w:val="32"/>
          <w:szCs w:val="32"/>
          <w:lang w:eastAsia="zh-CN" w:bidi="ar-SA"/>
        </w:rPr>
        <w:t>护理、安宁疗护等专业培训</w:t>
      </w:r>
      <w:r>
        <w:rPr>
          <w:rFonts w:hint="eastAsia" w:ascii="仿宋_GB2312" w:hAnsi="华文中宋" w:eastAsia="仿宋_GB2312" w:cs="仿宋_GB2312"/>
          <w:color w:val="auto"/>
          <w:kern w:val="2"/>
          <w:sz w:val="32"/>
          <w:szCs w:val="32"/>
          <w:lang w:eastAsia="zh-CN" w:bidi="ar-SA"/>
        </w:rPr>
        <w:t>；对</w:t>
      </w:r>
      <w:r>
        <w:rPr>
          <w:rFonts w:ascii="仿宋_GB2312" w:hAnsi="华文中宋" w:eastAsia="仿宋_GB2312" w:cs="仿宋_GB2312"/>
          <w:color w:val="auto"/>
          <w:kern w:val="2"/>
          <w:sz w:val="32"/>
          <w:szCs w:val="32"/>
          <w:lang w:eastAsia="zh-CN" w:bidi="ar-SA"/>
        </w:rPr>
        <w:t>以老年患者为主要服务对象的医疗</w:t>
      </w:r>
      <w:r>
        <w:rPr>
          <w:rFonts w:hint="eastAsia" w:ascii="仿宋_GB2312" w:hAnsi="华文中宋" w:eastAsia="仿宋_GB2312" w:cs="仿宋_GB2312"/>
          <w:color w:val="auto"/>
          <w:kern w:val="2"/>
          <w:sz w:val="32"/>
          <w:szCs w:val="32"/>
          <w:lang w:eastAsia="zh-CN" w:bidi="ar-SA"/>
        </w:rPr>
        <w:t>或养老</w:t>
      </w:r>
      <w:r>
        <w:rPr>
          <w:rFonts w:ascii="仿宋_GB2312" w:hAnsi="华文中宋" w:eastAsia="仿宋_GB2312" w:cs="仿宋_GB2312"/>
          <w:color w:val="auto"/>
          <w:kern w:val="2"/>
          <w:sz w:val="32"/>
          <w:szCs w:val="32"/>
          <w:lang w:eastAsia="zh-CN" w:bidi="ar-SA"/>
        </w:rPr>
        <w:t>护理员</w:t>
      </w:r>
      <w:r>
        <w:rPr>
          <w:rFonts w:hint="eastAsia" w:ascii="仿宋_GB2312" w:hAnsi="华文中宋" w:eastAsia="仿宋_GB2312" w:cs="仿宋_GB2312"/>
          <w:color w:val="auto"/>
          <w:kern w:val="2"/>
          <w:sz w:val="32"/>
          <w:szCs w:val="32"/>
          <w:lang w:eastAsia="zh-CN" w:bidi="ar-SA"/>
        </w:rPr>
        <w:t>开展老年护理知识技能培训，</w:t>
      </w:r>
      <w:r>
        <w:rPr>
          <w:rFonts w:ascii="仿宋_GB2312" w:hAnsi="华文中宋" w:eastAsia="仿宋_GB2312" w:cs="仿宋_GB2312"/>
          <w:color w:val="auto"/>
          <w:kern w:val="2"/>
          <w:sz w:val="32"/>
          <w:szCs w:val="32"/>
          <w:lang w:eastAsia="zh-CN" w:bidi="ar-SA"/>
        </w:rPr>
        <w:t>扩大老年护理服务队伍，补齐服务短板</w:t>
      </w:r>
      <w:r>
        <w:rPr>
          <w:rFonts w:hint="eastAsia" w:ascii="仿宋_GB2312" w:hAnsi="华文中宋" w:eastAsia="仿宋_GB2312" w:cs="仿宋_GB2312"/>
          <w:color w:val="auto"/>
          <w:kern w:val="2"/>
          <w:sz w:val="32"/>
          <w:szCs w:val="32"/>
          <w:lang w:eastAsia="zh-CN" w:bidi="ar-SA"/>
        </w:rPr>
        <w:t>；对基层工作人员、老年患者家属、社工、志愿者开展老年健康相关知识培训等。每年开展各类培训5次以上，每年培训不少于500人次，不断健全培训质量考评机制。探索建立“互联网+”培训管理模式。</w:t>
      </w:r>
    </w:p>
    <w:p>
      <w:pPr>
        <w:spacing w:line="520" w:lineRule="exact"/>
        <w:ind w:firstLine="640" w:firstLineChars="200"/>
        <w:rPr>
          <w:rFonts w:ascii="仿宋_GB2312" w:hAnsi="仿宋" w:eastAsia="仿宋_GB2312"/>
          <w:color w:val="auto"/>
          <w:sz w:val="32"/>
          <w:szCs w:val="32"/>
          <w:lang w:eastAsia="zh-CN"/>
        </w:rPr>
      </w:pPr>
      <w:r>
        <w:rPr>
          <w:rFonts w:ascii="仿宋_GB2312" w:hAnsi="仿宋" w:eastAsia="仿宋_GB2312"/>
          <w:color w:val="auto"/>
          <w:sz w:val="32"/>
          <w:szCs w:val="32"/>
          <w:lang w:eastAsia="zh-CN"/>
        </w:rPr>
        <w:t>（</w:t>
      </w:r>
      <w:r>
        <w:rPr>
          <w:rFonts w:hint="eastAsia" w:ascii="仿宋_GB2312" w:hAnsi="仿宋" w:eastAsia="仿宋_GB2312"/>
          <w:color w:val="auto"/>
          <w:sz w:val="32"/>
          <w:szCs w:val="32"/>
          <w:lang w:eastAsia="zh-CN"/>
        </w:rPr>
        <w:t>4</w:t>
      </w:r>
      <w:r>
        <w:rPr>
          <w:rFonts w:ascii="仿宋_GB2312" w:hAnsi="仿宋" w:eastAsia="仿宋_GB2312"/>
          <w:color w:val="auto"/>
          <w:sz w:val="32"/>
          <w:szCs w:val="32"/>
          <w:lang w:eastAsia="zh-CN"/>
        </w:rPr>
        <w:t>）基层</w:t>
      </w:r>
      <w:r>
        <w:rPr>
          <w:rFonts w:hint="eastAsia" w:ascii="仿宋_GB2312" w:hAnsi="仿宋" w:eastAsia="仿宋_GB2312"/>
          <w:color w:val="auto"/>
          <w:sz w:val="32"/>
          <w:szCs w:val="32"/>
          <w:lang w:eastAsia="zh-CN"/>
        </w:rPr>
        <w:t>指导。对基层医疗机构进行业务指导，如：</w:t>
      </w:r>
      <w:r>
        <w:rPr>
          <w:rFonts w:ascii="仿宋_GB2312" w:hAnsi="仿宋" w:eastAsia="仿宋_GB2312"/>
          <w:color w:val="auto"/>
          <w:sz w:val="32"/>
          <w:szCs w:val="32"/>
          <w:lang w:eastAsia="zh-CN"/>
        </w:rPr>
        <w:t>加强基层</w:t>
      </w:r>
      <w:r>
        <w:rPr>
          <w:rFonts w:hint="eastAsia" w:ascii="仿宋_GB2312" w:hAnsi="仿宋" w:eastAsia="仿宋_GB2312"/>
          <w:color w:val="auto"/>
          <w:sz w:val="32"/>
          <w:szCs w:val="32"/>
          <w:lang w:eastAsia="zh-CN"/>
        </w:rPr>
        <w:t>医疗机构老年人</w:t>
      </w:r>
      <w:r>
        <w:rPr>
          <w:rFonts w:ascii="仿宋_GB2312" w:hAnsi="仿宋" w:eastAsia="仿宋_GB2312"/>
          <w:color w:val="auto"/>
          <w:sz w:val="32"/>
          <w:szCs w:val="32"/>
          <w:lang w:eastAsia="zh-CN"/>
        </w:rPr>
        <w:t>慢性病的早期筛查、早期干预及分类管理</w:t>
      </w:r>
      <w:r>
        <w:rPr>
          <w:rFonts w:hint="eastAsia" w:ascii="仿宋_GB2312" w:hAnsi="仿宋" w:eastAsia="仿宋_GB2312"/>
          <w:color w:val="auto"/>
          <w:sz w:val="32"/>
          <w:szCs w:val="32"/>
          <w:lang w:eastAsia="zh-CN"/>
        </w:rPr>
        <w:t>；</w:t>
      </w:r>
      <w:r>
        <w:rPr>
          <w:rFonts w:ascii="仿宋_GB2312" w:hAnsi="华文中宋" w:eastAsia="仿宋_GB2312" w:cs="仿宋_GB2312"/>
          <w:color w:val="auto"/>
          <w:kern w:val="2"/>
          <w:sz w:val="32"/>
          <w:szCs w:val="32"/>
          <w:lang w:eastAsia="zh-CN" w:bidi="ar-SA"/>
        </w:rPr>
        <w:t>加强老年人健康管理，开展老年人营养改善行动，监测、评价和改善老年人营养状况</w:t>
      </w:r>
      <w:r>
        <w:rPr>
          <w:rFonts w:hint="eastAsia" w:ascii="仿宋_GB2312" w:hAnsi="华文中宋" w:eastAsia="仿宋_GB2312" w:cs="仿宋_GB2312"/>
          <w:color w:val="auto"/>
          <w:kern w:val="2"/>
          <w:sz w:val="32"/>
          <w:szCs w:val="32"/>
          <w:lang w:eastAsia="zh-CN" w:bidi="ar-SA"/>
        </w:rPr>
        <w:t>；</w:t>
      </w:r>
      <w:r>
        <w:rPr>
          <w:rFonts w:ascii="仿宋_GB2312" w:hAnsi="华文中宋" w:eastAsia="仿宋_GB2312" w:cs="仿宋_GB2312"/>
          <w:color w:val="auto"/>
          <w:kern w:val="2"/>
          <w:sz w:val="32"/>
          <w:szCs w:val="32"/>
          <w:lang w:eastAsia="zh-CN" w:bidi="ar-SA"/>
        </w:rPr>
        <w:t>实施失能预防项目，宣传失能预防核心信息，降低老年人失能发生率</w:t>
      </w:r>
      <w:r>
        <w:rPr>
          <w:rFonts w:hint="eastAsia" w:ascii="仿宋_GB2312" w:hAnsi="华文中宋" w:eastAsia="仿宋_GB2312" w:cs="仿宋_GB2312"/>
          <w:color w:val="auto"/>
          <w:kern w:val="2"/>
          <w:sz w:val="32"/>
          <w:szCs w:val="32"/>
          <w:lang w:eastAsia="zh-CN" w:bidi="ar-SA"/>
        </w:rPr>
        <w:t>；</w:t>
      </w:r>
      <w:r>
        <w:rPr>
          <w:rFonts w:ascii="仿宋_GB2312" w:hAnsi="仿宋" w:eastAsia="仿宋_GB2312"/>
          <w:color w:val="auto"/>
          <w:sz w:val="32"/>
          <w:szCs w:val="32"/>
          <w:lang w:eastAsia="zh-CN"/>
        </w:rPr>
        <w:t>开展阿尔茨海默病、帕金森病等神经退行性疾病的早期筛查和健康指导</w:t>
      </w:r>
      <w:r>
        <w:rPr>
          <w:rFonts w:hint="eastAsia" w:ascii="仿宋_GB2312" w:hAnsi="仿宋" w:eastAsia="仿宋_GB2312"/>
          <w:color w:val="auto"/>
          <w:sz w:val="32"/>
          <w:szCs w:val="32"/>
          <w:lang w:eastAsia="zh-CN"/>
        </w:rPr>
        <w:t>；</w:t>
      </w:r>
      <w:r>
        <w:rPr>
          <w:rFonts w:ascii="仿宋_GB2312" w:hAnsi="仿宋" w:eastAsia="仿宋_GB2312"/>
          <w:color w:val="auto"/>
          <w:sz w:val="32"/>
          <w:szCs w:val="32"/>
          <w:lang w:eastAsia="zh-CN"/>
        </w:rPr>
        <w:t>重视老年人心理健康，针对抑郁、焦虑等常见精神障碍和心理行为问题，开展心理健康状况评估和随访管理</w:t>
      </w:r>
      <w:r>
        <w:rPr>
          <w:rFonts w:hint="eastAsia" w:ascii="仿宋_GB2312" w:hAnsi="仿宋" w:eastAsia="仿宋_GB2312"/>
          <w:color w:val="auto"/>
          <w:sz w:val="32"/>
          <w:szCs w:val="32"/>
          <w:lang w:eastAsia="zh-CN"/>
        </w:rPr>
        <w:t>；</w:t>
      </w:r>
      <w:r>
        <w:rPr>
          <w:rFonts w:hint="eastAsia" w:ascii="仿宋_GB2312" w:hAnsi="华文中宋" w:eastAsia="仿宋_GB2312" w:cs="仿宋_GB2312"/>
          <w:color w:val="auto"/>
          <w:sz w:val="32"/>
          <w:szCs w:val="32"/>
          <w:lang w:eastAsia="zh-CN"/>
        </w:rPr>
        <w:t>引导基层医疗机构</w:t>
      </w:r>
      <w:r>
        <w:rPr>
          <w:rFonts w:ascii="仿宋_GB2312" w:hAnsi="华文中宋" w:eastAsia="仿宋_GB2312" w:cs="仿宋_GB2312"/>
          <w:color w:val="auto"/>
          <w:sz w:val="32"/>
          <w:szCs w:val="32"/>
          <w:lang w:eastAsia="zh-CN"/>
        </w:rPr>
        <w:t>发展老年医疗</w:t>
      </w:r>
      <w:r>
        <w:rPr>
          <w:rFonts w:hint="eastAsia" w:ascii="仿宋_GB2312" w:hAnsi="华文中宋" w:eastAsia="仿宋_GB2312" w:cs="仿宋_GB2312"/>
          <w:color w:val="auto"/>
          <w:sz w:val="32"/>
          <w:szCs w:val="32"/>
          <w:lang w:eastAsia="zh-CN"/>
        </w:rPr>
        <w:t>康复</w:t>
      </w:r>
      <w:r>
        <w:rPr>
          <w:rFonts w:ascii="仿宋_GB2312" w:hAnsi="华文中宋" w:eastAsia="仿宋_GB2312" w:cs="仿宋_GB2312"/>
          <w:color w:val="auto"/>
          <w:sz w:val="32"/>
          <w:szCs w:val="32"/>
          <w:lang w:eastAsia="zh-CN"/>
        </w:rPr>
        <w:t>护理服务特色科室</w:t>
      </w:r>
      <w:r>
        <w:rPr>
          <w:rFonts w:hint="eastAsia" w:ascii="仿宋_GB2312" w:hAnsi="华文中宋" w:eastAsia="仿宋_GB2312" w:cs="仿宋_GB2312"/>
          <w:color w:val="auto"/>
          <w:sz w:val="32"/>
          <w:szCs w:val="32"/>
          <w:lang w:eastAsia="zh-CN"/>
        </w:rPr>
        <w:t>等。</w:t>
      </w:r>
    </w:p>
    <w:p>
      <w:pPr>
        <w:pStyle w:val="9"/>
        <w:spacing w:line="520" w:lineRule="exact"/>
        <w:ind w:firstLine="640" w:firstLineChars="200"/>
        <w:jc w:val="both"/>
        <w:rPr>
          <w:rFonts w:ascii="仿宋_GB2312" w:hAnsi="仿宋" w:eastAsia="仿宋_GB2312" w:cs="Times New Roman"/>
          <w:color w:val="auto"/>
          <w:sz w:val="32"/>
          <w:szCs w:val="32"/>
          <w:lang w:val="en-US" w:eastAsia="zh-CN" w:bidi="en-US"/>
        </w:rPr>
      </w:pPr>
      <w:r>
        <w:rPr>
          <w:rFonts w:hint="eastAsia" w:ascii="仿宋_GB2312" w:hAnsi="宋体" w:eastAsia="仿宋_GB2312" w:cs="宋体"/>
          <w:color w:val="auto"/>
          <w:sz w:val="32"/>
          <w:szCs w:val="32"/>
        </w:rPr>
        <w:t>各区、县（市）</w:t>
      </w:r>
      <w:r>
        <w:rPr>
          <w:rFonts w:hint="eastAsia" w:ascii="仿宋_GB2312" w:hAnsi="宋体" w:eastAsia="仿宋_GB2312" w:cs="宋体"/>
          <w:color w:val="auto"/>
          <w:sz w:val="32"/>
          <w:szCs w:val="32"/>
          <w:lang w:eastAsia="zh-CN"/>
        </w:rPr>
        <w:t>应成立</w:t>
      </w:r>
      <w:r>
        <w:rPr>
          <w:rFonts w:hint="eastAsia" w:ascii="仿宋_GB2312" w:hAnsi="宋体" w:eastAsia="仿宋_GB2312" w:cs="宋体"/>
          <w:color w:val="auto"/>
          <w:sz w:val="32"/>
          <w:szCs w:val="32"/>
        </w:rPr>
        <w:t>1</w:t>
      </w:r>
      <w:r>
        <w:rPr>
          <w:rFonts w:hint="eastAsia" w:ascii="仿宋_GB2312" w:hAnsi="宋体" w:eastAsia="仿宋_GB2312" w:cs="宋体"/>
          <w:color w:val="auto"/>
          <w:sz w:val="32"/>
          <w:szCs w:val="32"/>
          <w:lang w:eastAsia="zh-CN"/>
        </w:rPr>
        <w:t>个本区域</w:t>
      </w:r>
      <w:r>
        <w:rPr>
          <w:rFonts w:hint="eastAsia" w:ascii="仿宋_GB2312" w:hAnsi="宋体" w:eastAsia="仿宋_GB2312" w:cs="宋体"/>
          <w:color w:val="auto"/>
          <w:sz w:val="32"/>
          <w:szCs w:val="32"/>
        </w:rPr>
        <w:t>老年健康指导中心</w:t>
      </w:r>
      <w:r>
        <w:rPr>
          <w:rFonts w:hint="eastAsia" w:ascii="仿宋_GB2312" w:hAnsi="宋体" w:eastAsia="仿宋_GB2312" w:cs="宋体"/>
          <w:color w:val="auto"/>
          <w:sz w:val="32"/>
          <w:szCs w:val="32"/>
          <w:lang w:eastAsia="zh-CN"/>
        </w:rPr>
        <w:t>。</w:t>
      </w:r>
      <w:r>
        <w:rPr>
          <w:rFonts w:hint="eastAsia" w:ascii="仿宋_GB2312" w:hAnsi="仿宋" w:eastAsia="仿宋_GB2312" w:cs="Times New Roman"/>
          <w:color w:val="auto"/>
          <w:sz w:val="32"/>
          <w:szCs w:val="32"/>
          <w:lang w:val="en-US" w:eastAsia="zh-CN" w:bidi="en-US"/>
        </w:rPr>
        <w:t>市老年健康指导中心应对各区、县（市）老年健康服务工作进行业务指导。市财政对市老年健康指导中心予以一定补助，</w:t>
      </w:r>
      <w:r>
        <w:rPr>
          <w:rFonts w:hint="eastAsia" w:ascii="仿宋_GB2312" w:hAnsi="宋体" w:eastAsia="仿宋_GB2312" w:cs="宋体"/>
          <w:color w:val="auto"/>
          <w:sz w:val="32"/>
          <w:szCs w:val="32"/>
        </w:rPr>
        <w:t>各区、县（市）</w:t>
      </w:r>
      <w:r>
        <w:rPr>
          <w:rFonts w:hint="eastAsia" w:ascii="仿宋_GB2312" w:hAnsi="宋体" w:eastAsia="仿宋_GB2312" w:cs="宋体"/>
          <w:color w:val="auto"/>
          <w:sz w:val="32"/>
          <w:szCs w:val="32"/>
          <w:lang w:eastAsia="zh-CN"/>
        </w:rPr>
        <w:t>根据实际情况参照执行</w:t>
      </w:r>
      <w:r>
        <w:rPr>
          <w:rFonts w:hint="eastAsia" w:ascii="仿宋_GB2312" w:hAnsi="仿宋" w:eastAsia="仿宋_GB2312" w:cs="Times New Roman"/>
          <w:color w:val="auto"/>
          <w:sz w:val="32"/>
          <w:szCs w:val="32"/>
          <w:lang w:val="en-US" w:eastAsia="zh-CN" w:bidi="en-US"/>
        </w:rPr>
        <w:t>。</w:t>
      </w:r>
    </w:p>
    <w:p>
      <w:pPr>
        <w:pStyle w:val="9"/>
        <w:spacing w:line="520" w:lineRule="exact"/>
        <w:ind w:firstLine="643" w:firstLineChars="200"/>
        <w:jc w:val="both"/>
        <w:rPr>
          <w:rFonts w:ascii="楷体_GB2312" w:hAnsi="仿宋" w:eastAsia="楷体_GB2312" w:cs="Times New Roman"/>
          <w:b/>
          <w:color w:val="auto"/>
          <w:sz w:val="32"/>
          <w:szCs w:val="32"/>
          <w:lang w:val="en-US" w:eastAsia="zh-CN" w:bidi="en-US"/>
        </w:rPr>
      </w:pPr>
      <w:r>
        <w:rPr>
          <w:rFonts w:hint="eastAsia" w:ascii="楷体_GB2312" w:hAnsi="仿宋" w:eastAsia="楷体_GB2312" w:cs="Times New Roman"/>
          <w:b/>
          <w:color w:val="auto"/>
          <w:sz w:val="32"/>
          <w:szCs w:val="32"/>
          <w:lang w:val="en-US" w:eastAsia="zh-CN" w:bidi="en-US"/>
        </w:rPr>
        <w:t>（二）开展紧密医养联合体试点工作。</w:t>
      </w:r>
    </w:p>
    <w:p>
      <w:pPr>
        <w:spacing w:line="520" w:lineRule="exact"/>
        <w:ind w:firstLine="640" w:firstLineChars="200"/>
        <w:jc w:val="both"/>
        <w:rPr>
          <w:rFonts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为建立健全医养结合服务网络，强化医疗服务的协同性、连续性，使老年人能够就近享受到便捷、优质、连续的同质化基本医疗服务，在主城区开展紧密医养联合体试点工作，形成</w:t>
      </w:r>
      <w:r>
        <w:rPr>
          <w:rFonts w:ascii="仿宋_GB2312" w:hAnsi="仿宋" w:eastAsia="仿宋_GB2312"/>
          <w:color w:val="auto"/>
          <w:sz w:val="32"/>
          <w:szCs w:val="32"/>
          <w:lang w:eastAsia="zh-CN"/>
        </w:rPr>
        <w:t>以</w:t>
      </w:r>
      <w:r>
        <w:rPr>
          <w:rFonts w:hint="eastAsia" w:ascii="仿宋_GB2312" w:hAnsi="仿宋" w:eastAsia="仿宋_GB2312"/>
          <w:color w:val="auto"/>
          <w:sz w:val="32"/>
          <w:szCs w:val="32"/>
          <w:lang w:eastAsia="zh-CN"/>
        </w:rPr>
        <w:t>市级</w:t>
      </w:r>
      <w:r>
        <w:rPr>
          <w:rFonts w:ascii="仿宋_GB2312" w:hAnsi="仿宋" w:eastAsia="仿宋_GB2312"/>
          <w:color w:val="auto"/>
          <w:sz w:val="32"/>
          <w:szCs w:val="32"/>
          <w:lang w:eastAsia="zh-CN"/>
        </w:rPr>
        <w:t>医院</w:t>
      </w:r>
      <w:r>
        <w:rPr>
          <w:rFonts w:hint="eastAsia" w:ascii="仿宋_GB2312" w:hAnsi="仿宋" w:eastAsia="仿宋_GB2312"/>
          <w:color w:val="auto"/>
          <w:sz w:val="32"/>
          <w:szCs w:val="32"/>
          <w:lang w:eastAsia="zh-CN"/>
        </w:rPr>
        <w:t>为牵头、社区卫生服务中心为基础、医养结合机构参加</w:t>
      </w:r>
      <w:r>
        <w:rPr>
          <w:rFonts w:ascii="仿宋_GB2312" w:hAnsi="仿宋" w:eastAsia="仿宋_GB2312"/>
          <w:color w:val="auto"/>
          <w:sz w:val="32"/>
          <w:szCs w:val="32"/>
          <w:lang w:eastAsia="zh-CN"/>
        </w:rPr>
        <w:t>的</w:t>
      </w:r>
      <w:r>
        <w:rPr>
          <w:rFonts w:hint="eastAsia" w:ascii="仿宋_GB2312" w:hAnsi="仿宋" w:eastAsia="仿宋_GB2312"/>
          <w:color w:val="auto"/>
          <w:sz w:val="32"/>
          <w:szCs w:val="32"/>
          <w:lang w:eastAsia="zh-CN"/>
        </w:rPr>
        <w:t>紧密</w:t>
      </w:r>
      <w:r>
        <w:rPr>
          <w:rFonts w:ascii="仿宋_GB2312" w:hAnsi="仿宋" w:eastAsia="仿宋_GB2312"/>
          <w:color w:val="auto"/>
          <w:sz w:val="32"/>
          <w:szCs w:val="32"/>
          <w:lang w:eastAsia="zh-CN"/>
        </w:rPr>
        <w:t>医</w:t>
      </w:r>
      <w:r>
        <w:rPr>
          <w:rFonts w:hint="eastAsia" w:ascii="仿宋_GB2312" w:hAnsi="仿宋" w:eastAsia="仿宋_GB2312"/>
          <w:color w:val="auto"/>
          <w:sz w:val="32"/>
          <w:szCs w:val="32"/>
          <w:lang w:eastAsia="zh-CN"/>
        </w:rPr>
        <w:t>养</w:t>
      </w:r>
      <w:r>
        <w:rPr>
          <w:rFonts w:ascii="仿宋_GB2312" w:hAnsi="仿宋" w:eastAsia="仿宋_GB2312"/>
          <w:color w:val="auto"/>
          <w:sz w:val="32"/>
          <w:szCs w:val="32"/>
          <w:lang w:eastAsia="zh-CN"/>
        </w:rPr>
        <w:t>联合体</w:t>
      </w:r>
      <w:r>
        <w:rPr>
          <w:rFonts w:hint="eastAsia" w:ascii="仿宋_GB2312" w:hAnsi="仿宋" w:eastAsia="仿宋_GB2312"/>
          <w:color w:val="auto"/>
          <w:sz w:val="32"/>
          <w:szCs w:val="32"/>
          <w:lang w:eastAsia="zh-CN"/>
        </w:rPr>
        <w:t>。牵头医院要主动吸引社会办医养结合机构参加</w:t>
      </w:r>
      <w:r>
        <w:rPr>
          <w:rFonts w:ascii="仿宋_GB2312" w:hAnsi="仿宋" w:eastAsia="仿宋_GB2312"/>
          <w:color w:val="auto"/>
          <w:sz w:val="32"/>
          <w:szCs w:val="32"/>
          <w:lang w:eastAsia="zh-CN"/>
        </w:rPr>
        <w:t>医</w:t>
      </w:r>
      <w:r>
        <w:rPr>
          <w:rFonts w:hint="eastAsia" w:ascii="仿宋_GB2312" w:hAnsi="仿宋" w:eastAsia="仿宋_GB2312"/>
          <w:color w:val="auto"/>
          <w:sz w:val="32"/>
          <w:szCs w:val="32"/>
          <w:lang w:eastAsia="zh-CN"/>
        </w:rPr>
        <w:t>养</w:t>
      </w:r>
      <w:r>
        <w:rPr>
          <w:rFonts w:ascii="仿宋_GB2312" w:hAnsi="仿宋" w:eastAsia="仿宋_GB2312"/>
          <w:color w:val="auto"/>
          <w:sz w:val="32"/>
          <w:szCs w:val="32"/>
          <w:lang w:eastAsia="zh-CN"/>
        </w:rPr>
        <w:t>联合体</w:t>
      </w:r>
      <w:r>
        <w:rPr>
          <w:rFonts w:hint="eastAsia" w:ascii="仿宋_GB2312" w:hAnsi="仿宋" w:eastAsia="仿宋_GB2312"/>
          <w:color w:val="auto"/>
          <w:sz w:val="32"/>
          <w:szCs w:val="32"/>
          <w:lang w:eastAsia="zh-CN"/>
        </w:rPr>
        <w:t>，鼓励社会办医养结合机构按照自愿原则参加</w:t>
      </w:r>
      <w:r>
        <w:rPr>
          <w:rFonts w:ascii="仿宋_GB2312" w:hAnsi="仿宋" w:eastAsia="仿宋_GB2312"/>
          <w:color w:val="auto"/>
          <w:sz w:val="32"/>
          <w:szCs w:val="32"/>
          <w:lang w:eastAsia="zh-CN"/>
        </w:rPr>
        <w:t>医</w:t>
      </w:r>
      <w:r>
        <w:rPr>
          <w:rFonts w:hint="eastAsia" w:ascii="仿宋_GB2312" w:hAnsi="仿宋" w:eastAsia="仿宋_GB2312"/>
          <w:color w:val="auto"/>
          <w:sz w:val="32"/>
          <w:szCs w:val="32"/>
          <w:lang w:eastAsia="zh-CN"/>
        </w:rPr>
        <w:t>养</w:t>
      </w:r>
      <w:r>
        <w:rPr>
          <w:rFonts w:ascii="仿宋_GB2312" w:hAnsi="仿宋" w:eastAsia="仿宋_GB2312"/>
          <w:color w:val="auto"/>
          <w:sz w:val="32"/>
          <w:szCs w:val="32"/>
          <w:lang w:eastAsia="zh-CN"/>
        </w:rPr>
        <w:t>联合体</w:t>
      </w:r>
      <w:r>
        <w:rPr>
          <w:rFonts w:hint="eastAsia" w:ascii="仿宋_GB2312" w:hAnsi="仿宋" w:eastAsia="仿宋_GB2312"/>
          <w:color w:val="auto"/>
          <w:sz w:val="32"/>
          <w:szCs w:val="32"/>
          <w:lang w:eastAsia="zh-CN"/>
        </w:rPr>
        <w:t>。</w:t>
      </w:r>
    </w:p>
    <w:p>
      <w:pPr>
        <w:spacing w:line="520" w:lineRule="exact"/>
        <w:ind w:firstLine="643" w:firstLineChars="200"/>
        <w:jc w:val="both"/>
        <w:rPr>
          <w:rFonts w:ascii="仿宋_GB2312" w:hAnsi="仿宋" w:eastAsia="仿宋_GB2312"/>
          <w:b/>
          <w:color w:val="auto"/>
          <w:sz w:val="32"/>
          <w:szCs w:val="32"/>
          <w:lang w:eastAsia="zh-CN"/>
        </w:rPr>
      </w:pPr>
      <w:r>
        <w:rPr>
          <w:rFonts w:hint="eastAsia" w:ascii="仿宋_GB2312" w:hAnsi="仿宋" w:eastAsia="仿宋_GB2312"/>
          <w:b/>
          <w:color w:val="auto"/>
          <w:sz w:val="32"/>
          <w:szCs w:val="32"/>
          <w:lang w:eastAsia="zh-CN"/>
        </w:rPr>
        <w:t>1、组成</w:t>
      </w:r>
    </w:p>
    <w:p>
      <w:pPr>
        <w:spacing w:line="520" w:lineRule="exact"/>
        <w:ind w:firstLine="640" w:firstLineChars="200"/>
        <w:jc w:val="both"/>
        <w:rPr>
          <w:rFonts w:ascii="仿宋_GB2312" w:hAnsi="仿宋" w:eastAsia="仿宋_GB2312"/>
          <w:color w:val="auto"/>
          <w:sz w:val="32"/>
          <w:szCs w:val="32"/>
          <w:lang w:eastAsia="zh-CN"/>
        </w:rPr>
      </w:pPr>
      <w:r>
        <w:rPr>
          <w:rFonts w:ascii="仿宋_GB2312" w:hAnsi="仿宋" w:eastAsia="仿宋_GB2312"/>
          <w:color w:val="auto"/>
          <w:sz w:val="32"/>
          <w:szCs w:val="32"/>
          <w:lang w:eastAsia="zh-CN"/>
        </w:rPr>
        <w:t>按照方便就近</w:t>
      </w:r>
      <w:r>
        <w:rPr>
          <w:rFonts w:hint="eastAsia" w:ascii="仿宋_GB2312" w:hAnsi="仿宋" w:eastAsia="仿宋_GB2312"/>
          <w:color w:val="auto"/>
          <w:sz w:val="32"/>
          <w:szCs w:val="32"/>
          <w:lang w:eastAsia="zh-CN"/>
        </w:rPr>
        <w:t>的原则，并参考主城区市级医院和社区卫生服务中心紧密合作医联体工作，建立由市级医院为牵头单位的紧密医养联合体。</w:t>
      </w:r>
    </w:p>
    <w:p>
      <w:pPr>
        <w:spacing w:line="520" w:lineRule="exact"/>
        <w:ind w:firstLine="640" w:firstLineChars="200"/>
        <w:jc w:val="both"/>
        <w:rPr>
          <w:rFonts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（1）医养结合机构（设有除护理院和医院以外</w:t>
      </w:r>
      <w:r>
        <w:rPr>
          <w:rFonts w:hint="eastAsia" w:ascii="仿宋_GB2312" w:hAnsi="Verdana" w:eastAsia="仿宋_GB2312" w:cs="宋体"/>
          <w:color w:val="auto"/>
          <w:sz w:val="32"/>
          <w:szCs w:val="32"/>
          <w:lang w:eastAsia="zh-CN"/>
        </w:rPr>
        <w:t>的医疗机构</w:t>
      </w:r>
      <w:r>
        <w:rPr>
          <w:rFonts w:hint="eastAsia" w:ascii="仿宋_GB2312" w:hAnsi="仿宋" w:eastAsia="仿宋_GB2312"/>
          <w:color w:val="auto"/>
          <w:sz w:val="32"/>
          <w:szCs w:val="32"/>
          <w:lang w:eastAsia="zh-CN"/>
        </w:rPr>
        <w:t>）应先对接城市医联体中的社区卫生服务中心，形成市级医院、社区卫生服务中心和医养结合机构纵向合作关系的三级紧密</w:t>
      </w:r>
      <w:r>
        <w:rPr>
          <w:rFonts w:ascii="仿宋_GB2312" w:hAnsi="仿宋" w:eastAsia="仿宋_GB2312"/>
          <w:color w:val="auto"/>
          <w:sz w:val="32"/>
          <w:szCs w:val="32"/>
          <w:lang w:eastAsia="zh-CN"/>
        </w:rPr>
        <w:t>医</w:t>
      </w:r>
      <w:r>
        <w:rPr>
          <w:rFonts w:hint="eastAsia" w:ascii="仿宋_GB2312" w:hAnsi="仿宋" w:eastAsia="仿宋_GB2312"/>
          <w:color w:val="auto"/>
          <w:sz w:val="32"/>
          <w:szCs w:val="32"/>
          <w:lang w:eastAsia="zh-CN"/>
        </w:rPr>
        <w:t>养</w:t>
      </w:r>
      <w:r>
        <w:rPr>
          <w:rFonts w:ascii="仿宋_GB2312" w:hAnsi="仿宋" w:eastAsia="仿宋_GB2312"/>
          <w:color w:val="auto"/>
          <w:sz w:val="32"/>
          <w:szCs w:val="32"/>
          <w:lang w:eastAsia="zh-CN"/>
        </w:rPr>
        <w:t>联合体</w:t>
      </w:r>
      <w:r>
        <w:rPr>
          <w:rFonts w:hint="eastAsia" w:ascii="仿宋_GB2312" w:hAnsi="仿宋" w:eastAsia="仿宋_GB2312"/>
          <w:color w:val="auto"/>
          <w:sz w:val="32"/>
          <w:szCs w:val="32"/>
          <w:lang w:eastAsia="zh-CN"/>
        </w:rPr>
        <w:t>。</w:t>
      </w:r>
    </w:p>
    <w:p>
      <w:pPr>
        <w:spacing w:line="520" w:lineRule="exact"/>
        <w:ind w:firstLine="640" w:firstLineChars="200"/>
        <w:jc w:val="both"/>
        <w:rPr>
          <w:rFonts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（2）医养结合机构（设有护理院或医院）可直接与市级医院建立紧密</w:t>
      </w:r>
      <w:r>
        <w:rPr>
          <w:rFonts w:ascii="仿宋_GB2312" w:hAnsi="仿宋" w:eastAsia="仿宋_GB2312"/>
          <w:color w:val="auto"/>
          <w:sz w:val="32"/>
          <w:szCs w:val="32"/>
          <w:lang w:eastAsia="zh-CN"/>
        </w:rPr>
        <w:t>医</w:t>
      </w:r>
      <w:r>
        <w:rPr>
          <w:rFonts w:hint="eastAsia" w:ascii="仿宋_GB2312" w:hAnsi="仿宋" w:eastAsia="仿宋_GB2312"/>
          <w:color w:val="auto"/>
          <w:sz w:val="32"/>
          <w:szCs w:val="32"/>
          <w:lang w:eastAsia="zh-CN"/>
        </w:rPr>
        <w:t>养</w:t>
      </w:r>
      <w:r>
        <w:rPr>
          <w:rFonts w:ascii="仿宋_GB2312" w:hAnsi="仿宋" w:eastAsia="仿宋_GB2312"/>
          <w:color w:val="auto"/>
          <w:sz w:val="32"/>
          <w:szCs w:val="32"/>
          <w:lang w:eastAsia="zh-CN"/>
        </w:rPr>
        <w:t>联合体</w:t>
      </w:r>
      <w:r>
        <w:rPr>
          <w:rFonts w:hint="eastAsia" w:ascii="仿宋_GB2312" w:hAnsi="仿宋" w:eastAsia="仿宋_GB2312"/>
          <w:color w:val="auto"/>
          <w:sz w:val="32"/>
          <w:szCs w:val="32"/>
          <w:lang w:eastAsia="zh-CN"/>
        </w:rPr>
        <w:t>，由1家市级医院作为牵头单位。</w:t>
      </w:r>
    </w:p>
    <w:p>
      <w:pPr>
        <w:spacing w:line="520" w:lineRule="exact"/>
        <w:ind w:firstLine="640" w:firstLineChars="200"/>
        <w:jc w:val="both"/>
        <w:rPr>
          <w:rFonts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各市级医院、社区卫生服务中心和医养结合机构原已签订协议并建立各种合作关系的，仍可继续开展；各市级医院、社区卫生服务中心和医养结合机构也可根据业务发展需要及辖区居民的需求，建立相应的合作关系。</w:t>
      </w:r>
    </w:p>
    <w:p>
      <w:pPr>
        <w:spacing w:line="520" w:lineRule="exact"/>
        <w:ind w:firstLine="640" w:firstLineChars="200"/>
        <w:jc w:val="both"/>
        <w:rPr>
          <w:rFonts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其他区、县（市）可根据实际情况，依托县域医共体开展紧密医养联合体工作。</w:t>
      </w:r>
    </w:p>
    <w:p>
      <w:pPr>
        <w:spacing w:line="520" w:lineRule="exact"/>
        <w:ind w:firstLine="643" w:firstLineChars="200"/>
        <w:jc w:val="both"/>
        <w:rPr>
          <w:rFonts w:ascii="仿宋_GB2312" w:hAnsi="仿宋" w:eastAsia="仿宋_GB2312"/>
          <w:b/>
          <w:sz w:val="32"/>
          <w:szCs w:val="32"/>
          <w:lang w:eastAsia="zh-CN"/>
        </w:rPr>
      </w:pPr>
      <w:r>
        <w:rPr>
          <w:rFonts w:hint="eastAsia" w:ascii="仿宋_GB2312" w:hAnsi="仿宋" w:eastAsia="仿宋_GB2312"/>
          <w:b/>
          <w:sz w:val="32"/>
          <w:szCs w:val="32"/>
          <w:lang w:eastAsia="zh-CN"/>
        </w:rPr>
        <w:t>2、运行模式</w:t>
      </w:r>
    </w:p>
    <w:p>
      <w:pPr>
        <w:spacing w:line="520" w:lineRule="exact"/>
        <w:ind w:firstLine="640" w:firstLineChars="200"/>
        <w:jc w:val="both"/>
        <w:rPr>
          <w:rFonts w:ascii="仿宋_GB2312" w:hAnsi="仿宋" w:eastAsia="仿宋_GB2312"/>
          <w:sz w:val="32"/>
          <w:szCs w:val="32"/>
          <w:lang w:eastAsia="zh-CN"/>
        </w:rPr>
      </w:pPr>
      <w:r>
        <w:rPr>
          <w:rFonts w:hint="eastAsia" w:ascii="仿宋_GB2312" w:hAnsi="仿宋" w:eastAsia="仿宋_GB2312"/>
          <w:sz w:val="32"/>
          <w:szCs w:val="32"/>
          <w:lang w:eastAsia="zh-CN"/>
        </w:rPr>
        <w:t>紧密医养联合体成员单位的产权归属、单位法人、行政隶属、职工身份、投入监管等保持不变。</w:t>
      </w:r>
    </w:p>
    <w:p>
      <w:pPr>
        <w:pStyle w:val="9"/>
        <w:spacing w:line="520" w:lineRule="exact"/>
        <w:ind w:firstLine="640" w:firstLineChars="200"/>
        <w:jc w:val="both"/>
        <w:rPr>
          <w:rFonts w:ascii="仿宋_GB2312" w:hAnsi="仿宋" w:eastAsia="仿宋_GB2312" w:cs="Times New Roman"/>
          <w:sz w:val="32"/>
          <w:szCs w:val="32"/>
          <w:lang w:val="en-US" w:eastAsia="zh-CN" w:bidi="en-US"/>
        </w:rPr>
      </w:pPr>
      <w:r>
        <w:rPr>
          <w:rFonts w:hint="eastAsia" w:ascii="仿宋_GB2312" w:hAnsi="仿宋" w:eastAsia="仿宋_GB2312" w:cs="Times New Roman"/>
          <w:sz w:val="32"/>
          <w:szCs w:val="32"/>
          <w:lang w:val="en-US" w:eastAsia="zh-CN" w:bidi="en-US"/>
        </w:rPr>
        <w:t>紧密医养联合体的运行实行管委会领导下的牵头单位（市级医院，下同）负责制，管委会由牵头单位、区级卫生健康行政部门、社区卫生服务中心和/或医养结合机构共同协商组成，统筹协调紧密医养联合体的发展规划、资源配置、专科建设、人员培训、医疗业务等重大事项的决策管理。管委会主任由牵头单位的院长担任。管委会下设办公室，挂靠在管委会主任所在单位，主要负责管委会的日常运行工作。管委会应制订紧密医养联合体工作实施方案，市级医院与区级卫生健康行政部门、社区卫生服务中心和/或医养结合机构签订紧密医养联合体协议书，明确责权利，促进共同发展。实施方案和协议书需及时报市卫生健康委备案。</w:t>
      </w:r>
    </w:p>
    <w:p>
      <w:pPr>
        <w:pStyle w:val="9"/>
        <w:spacing w:line="520" w:lineRule="exact"/>
        <w:ind w:firstLine="640" w:firstLineChars="200"/>
        <w:jc w:val="both"/>
        <w:rPr>
          <w:rFonts w:ascii="仿宋_GB2312" w:hAnsi="仿宋" w:eastAsia="仿宋_GB2312" w:cs="Times New Roman"/>
          <w:sz w:val="32"/>
          <w:szCs w:val="32"/>
          <w:lang w:val="en-US" w:eastAsia="zh-CN" w:bidi="en-US"/>
        </w:rPr>
      </w:pPr>
      <w:r>
        <w:rPr>
          <w:rFonts w:hint="eastAsia" w:ascii="仿宋_GB2312" w:hAnsi="仿宋" w:eastAsia="仿宋_GB2312" w:cs="Times New Roman"/>
          <w:sz w:val="32"/>
          <w:szCs w:val="32"/>
          <w:lang w:val="en-US" w:eastAsia="zh-CN" w:bidi="en-US"/>
        </w:rPr>
        <w:t>紧密医养联合体之间要建立机构之间的业务协作、双向转诊机制。联合体牵头单位及各下级</w:t>
      </w:r>
      <w:r>
        <w:rPr>
          <w:rFonts w:hint="eastAsia" w:ascii="仿宋_GB2312" w:hAnsi="仿宋" w:eastAsia="仿宋_GB2312" w:cs="Times New Roman"/>
          <w:color w:val="auto"/>
          <w:sz w:val="32"/>
          <w:szCs w:val="32"/>
          <w:lang w:val="en-US" w:eastAsia="zh-CN" w:bidi="en-US"/>
        </w:rPr>
        <w:t>成员单位</w:t>
      </w:r>
      <w:r>
        <w:rPr>
          <w:rFonts w:hint="eastAsia" w:ascii="仿宋_GB2312" w:hAnsi="仿宋" w:eastAsia="仿宋_GB2312" w:cs="Times New Roman"/>
          <w:sz w:val="32"/>
          <w:szCs w:val="32"/>
          <w:lang w:val="en-US" w:eastAsia="zh-CN" w:bidi="en-US"/>
        </w:rPr>
        <w:t>要落实专门机构和人员负责双向转诊工作，制定和落实入、出院标准与双向转诊制度。牵头</w:t>
      </w:r>
      <w:r>
        <w:rPr>
          <w:rFonts w:ascii="仿宋_GB2312" w:hAnsi="仿宋" w:eastAsia="仿宋_GB2312" w:cs="Times New Roman"/>
          <w:sz w:val="32"/>
          <w:szCs w:val="32"/>
          <w:lang w:val="en-US" w:eastAsia="zh-CN" w:bidi="en-US"/>
        </w:rPr>
        <w:t>单位</w:t>
      </w:r>
      <w:r>
        <w:rPr>
          <w:rFonts w:hint="eastAsia" w:ascii="仿宋_GB2312" w:hAnsi="仿宋" w:eastAsia="仿宋_GB2312" w:cs="Times New Roman"/>
          <w:sz w:val="32"/>
          <w:szCs w:val="32"/>
          <w:lang w:val="en-US" w:eastAsia="zh-CN" w:bidi="en-US"/>
        </w:rPr>
        <w:t>根据协议</w:t>
      </w:r>
      <w:r>
        <w:rPr>
          <w:rFonts w:ascii="仿宋_GB2312" w:hAnsi="仿宋" w:eastAsia="仿宋_GB2312" w:cs="Times New Roman"/>
          <w:sz w:val="32"/>
          <w:szCs w:val="32"/>
          <w:lang w:val="en-US" w:eastAsia="zh-CN" w:bidi="en-US"/>
        </w:rPr>
        <w:t>到成员单位</w:t>
      </w:r>
      <w:r>
        <w:rPr>
          <w:rFonts w:hint="eastAsia" w:ascii="仿宋_GB2312" w:hAnsi="仿宋" w:eastAsia="仿宋_GB2312" w:cs="Times New Roman"/>
          <w:sz w:val="32"/>
          <w:szCs w:val="32"/>
          <w:lang w:val="en-US" w:eastAsia="zh-CN" w:bidi="en-US"/>
        </w:rPr>
        <w:t>开展</w:t>
      </w:r>
      <w:r>
        <w:rPr>
          <w:rFonts w:ascii="仿宋_GB2312" w:hAnsi="仿宋" w:eastAsia="仿宋_GB2312" w:cs="Times New Roman"/>
          <w:sz w:val="32"/>
          <w:szCs w:val="32"/>
          <w:lang w:val="en-US" w:eastAsia="zh-CN" w:bidi="en-US"/>
        </w:rPr>
        <w:t>会诊、</w:t>
      </w:r>
      <w:r>
        <w:rPr>
          <w:rFonts w:hint="eastAsia" w:ascii="仿宋_GB2312" w:hAnsi="仿宋" w:eastAsia="仿宋_GB2312" w:cs="Times New Roman"/>
          <w:sz w:val="32"/>
          <w:szCs w:val="32"/>
          <w:lang w:val="en-US" w:eastAsia="zh-CN" w:bidi="en-US"/>
        </w:rPr>
        <w:t>讲座、带教、培训</w:t>
      </w:r>
      <w:r>
        <w:rPr>
          <w:rFonts w:ascii="仿宋_GB2312" w:hAnsi="仿宋" w:eastAsia="仿宋_GB2312" w:cs="Times New Roman"/>
          <w:sz w:val="32"/>
          <w:szCs w:val="32"/>
          <w:lang w:val="en-US" w:eastAsia="zh-CN" w:bidi="en-US"/>
        </w:rPr>
        <w:t>等</w:t>
      </w:r>
      <w:r>
        <w:rPr>
          <w:rFonts w:hint="eastAsia" w:ascii="仿宋_GB2312" w:hAnsi="仿宋" w:eastAsia="仿宋_GB2312" w:cs="Times New Roman"/>
          <w:sz w:val="32"/>
          <w:szCs w:val="32"/>
          <w:lang w:val="en-US" w:eastAsia="zh-CN" w:bidi="en-US"/>
        </w:rPr>
        <w:t>，</w:t>
      </w:r>
      <w:r>
        <w:rPr>
          <w:rFonts w:ascii="仿宋_GB2312" w:hAnsi="仿宋" w:eastAsia="仿宋_GB2312" w:cs="Times New Roman"/>
          <w:sz w:val="32"/>
          <w:szCs w:val="32"/>
          <w:lang w:val="en-US" w:eastAsia="zh-CN" w:bidi="en-US"/>
        </w:rPr>
        <w:t>成员单位</w:t>
      </w:r>
      <w:r>
        <w:rPr>
          <w:rFonts w:hint="eastAsia" w:ascii="仿宋_GB2312" w:hAnsi="仿宋" w:eastAsia="仿宋_GB2312" w:cs="Times New Roman"/>
          <w:sz w:val="32"/>
          <w:szCs w:val="32"/>
          <w:lang w:val="en-US" w:eastAsia="zh-CN" w:bidi="en-US"/>
        </w:rPr>
        <w:t>可</w:t>
      </w:r>
      <w:r>
        <w:rPr>
          <w:rFonts w:ascii="仿宋_GB2312" w:hAnsi="仿宋" w:eastAsia="仿宋_GB2312" w:cs="Times New Roman"/>
          <w:sz w:val="32"/>
          <w:szCs w:val="32"/>
          <w:lang w:val="en-US" w:eastAsia="zh-CN" w:bidi="en-US"/>
        </w:rPr>
        <w:t>安排医务人员参加</w:t>
      </w:r>
      <w:r>
        <w:rPr>
          <w:rFonts w:hint="eastAsia" w:ascii="仿宋_GB2312" w:hAnsi="仿宋" w:eastAsia="仿宋_GB2312" w:cs="Times New Roman"/>
          <w:sz w:val="32"/>
          <w:szCs w:val="32"/>
          <w:lang w:val="en-US" w:eastAsia="zh-CN" w:bidi="en-US"/>
        </w:rPr>
        <w:t>上级医院进修</w:t>
      </w:r>
      <w:r>
        <w:rPr>
          <w:rFonts w:ascii="仿宋_GB2312" w:hAnsi="仿宋" w:eastAsia="仿宋_GB2312" w:cs="Times New Roman"/>
          <w:sz w:val="32"/>
          <w:szCs w:val="32"/>
          <w:lang w:val="en-US" w:eastAsia="zh-CN" w:bidi="en-US"/>
        </w:rPr>
        <w:t>，不断</w:t>
      </w:r>
      <w:r>
        <w:rPr>
          <w:rFonts w:hint="eastAsia" w:ascii="仿宋_GB2312" w:hAnsi="仿宋" w:eastAsia="仿宋_GB2312" w:cs="Times New Roman"/>
          <w:sz w:val="32"/>
          <w:szCs w:val="32"/>
          <w:lang w:val="en-US" w:eastAsia="zh-CN" w:bidi="en-US"/>
        </w:rPr>
        <w:t>提升医疗服务能力</w:t>
      </w:r>
      <w:r>
        <w:rPr>
          <w:rFonts w:ascii="仿宋_GB2312" w:hAnsi="仿宋" w:eastAsia="仿宋_GB2312" w:cs="Times New Roman"/>
          <w:sz w:val="32"/>
          <w:szCs w:val="32"/>
          <w:lang w:val="en-US" w:eastAsia="zh-CN" w:bidi="en-US"/>
        </w:rPr>
        <w:t>。</w:t>
      </w:r>
    </w:p>
    <w:p>
      <w:pPr>
        <w:pStyle w:val="9"/>
        <w:spacing w:line="520" w:lineRule="exact"/>
        <w:ind w:firstLine="640" w:firstLineChars="200"/>
        <w:jc w:val="both"/>
        <w:rPr>
          <w:rFonts w:ascii="仿宋_GB2312" w:hAnsi="仿宋" w:eastAsia="仿宋_GB2312" w:cs="Times New Roman"/>
          <w:sz w:val="32"/>
          <w:szCs w:val="32"/>
          <w:lang w:val="en-US" w:eastAsia="zh-CN" w:bidi="en-US"/>
        </w:rPr>
      </w:pPr>
      <w:r>
        <w:rPr>
          <w:rFonts w:hint="eastAsia" w:ascii="仿宋_GB2312" w:hAnsi="仿宋" w:eastAsia="仿宋_GB2312" w:cs="Times New Roman"/>
          <w:sz w:val="32"/>
          <w:szCs w:val="32"/>
          <w:lang w:val="en-US" w:eastAsia="zh-CN" w:bidi="en-US"/>
        </w:rPr>
        <w:t>联合体</w:t>
      </w:r>
      <w:r>
        <w:rPr>
          <w:rFonts w:hint="eastAsia" w:ascii="仿宋_GB2312" w:hAnsi="仿宋" w:eastAsia="仿宋_GB2312" w:cs="Times New Roman"/>
          <w:color w:val="auto"/>
          <w:sz w:val="32"/>
          <w:szCs w:val="32"/>
          <w:lang w:val="en-US" w:eastAsia="zh-CN" w:bidi="en-US"/>
        </w:rPr>
        <w:t>下级成员单位</w:t>
      </w:r>
      <w:r>
        <w:rPr>
          <w:rFonts w:hint="eastAsia" w:ascii="仿宋_GB2312" w:hAnsi="仿宋" w:eastAsia="仿宋_GB2312" w:cs="Times New Roman"/>
          <w:sz w:val="32"/>
          <w:szCs w:val="32"/>
          <w:lang w:val="en-US" w:eastAsia="zh-CN" w:bidi="en-US"/>
        </w:rPr>
        <w:t>确需转诊的患者，优先转至联合体内的牵头单位，牵头单位对上转患者提供优先服务，优先预约专家、专科门诊，优先安排检查，优先安排住院的“三优先”服务。畅通向下转诊通道，保障急性病恢复期、术后恢复期及危重症稳定期患者转往联合体内下级成员单位继续治疗与康复。上级医疗机构要提供患者住院期间的诊治信息和后续治疗方案，有效做好指导，确保治疗的延续性，鼓励市级医院医生到社区和医养结合机构进行随访。</w:t>
      </w:r>
    </w:p>
    <w:p>
      <w:pPr>
        <w:pStyle w:val="9"/>
        <w:spacing w:line="520" w:lineRule="exact"/>
        <w:ind w:firstLine="640" w:firstLineChars="200"/>
        <w:jc w:val="both"/>
        <w:rPr>
          <w:rFonts w:ascii="仿宋_GB2312" w:hAnsi="仿宋" w:eastAsia="仿宋_GB2312" w:cs="Times New Roman"/>
          <w:sz w:val="32"/>
          <w:szCs w:val="32"/>
          <w:lang w:val="en-US" w:eastAsia="zh-CN" w:bidi="en-US"/>
        </w:rPr>
      </w:pPr>
      <w:r>
        <w:rPr>
          <w:rFonts w:hint="eastAsia" w:ascii="仿宋_GB2312" w:hAnsi="仿宋" w:eastAsia="仿宋_GB2312" w:cs="Times New Roman"/>
          <w:sz w:val="32"/>
          <w:szCs w:val="32"/>
          <w:lang w:val="en-US" w:eastAsia="zh-CN" w:bidi="en-US"/>
        </w:rPr>
        <w:t>加强紧密医养联合体信息化建设，完善杭州市双向转诊平台，平台功能可延伸至联合体内的医养结合机构。</w:t>
      </w:r>
    </w:p>
    <w:p>
      <w:pPr>
        <w:spacing w:line="520" w:lineRule="exact"/>
        <w:ind w:firstLine="643" w:firstLineChars="200"/>
        <w:jc w:val="both"/>
        <w:rPr>
          <w:rFonts w:ascii="仿宋_GB2312" w:hAnsi="仿宋" w:eastAsia="仿宋_GB2312"/>
          <w:b/>
          <w:sz w:val="32"/>
          <w:szCs w:val="32"/>
          <w:lang w:eastAsia="zh-CN"/>
        </w:rPr>
      </w:pPr>
      <w:r>
        <w:rPr>
          <w:rFonts w:hint="eastAsia" w:ascii="仿宋_GB2312" w:hAnsi="仿宋" w:eastAsia="仿宋_GB2312"/>
          <w:b/>
          <w:sz w:val="32"/>
          <w:szCs w:val="32"/>
          <w:lang w:eastAsia="zh-CN"/>
        </w:rPr>
        <w:t>3、职责分工</w:t>
      </w:r>
    </w:p>
    <w:p>
      <w:pPr>
        <w:spacing w:line="520" w:lineRule="exact"/>
        <w:ind w:firstLine="640" w:firstLineChars="200"/>
        <w:jc w:val="both"/>
        <w:rPr>
          <w:rFonts w:ascii="仿宋_GB2312" w:hAnsi="仿宋" w:eastAsia="仿宋_GB2312"/>
          <w:sz w:val="32"/>
          <w:szCs w:val="32"/>
          <w:lang w:eastAsia="zh-CN"/>
        </w:rPr>
      </w:pPr>
      <w:r>
        <w:rPr>
          <w:rFonts w:hint="eastAsia" w:ascii="仿宋_GB2312" w:hAnsi="仿宋" w:eastAsia="仿宋_GB2312"/>
          <w:sz w:val="32"/>
          <w:szCs w:val="32"/>
          <w:lang w:eastAsia="zh-CN"/>
        </w:rPr>
        <w:t>市级医院：承担管委会牵头单位相应工作和管委会办公室的日常工作；承担对社区卫生服务中心、医养结合机构的管理指导、业务指导、技术扶植、质量控制、人员培训以及疑难会诊、上转患者接收、下转患者延续服务等工作；做好联合体工作信息收集和汇总。</w:t>
      </w:r>
    </w:p>
    <w:p>
      <w:pPr>
        <w:spacing w:line="520" w:lineRule="exact"/>
        <w:ind w:firstLine="640" w:firstLineChars="200"/>
        <w:jc w:val="both"/>
        <w:rPr>
          <w:rFonts w:ascii="仿宋_GB2312" w:hAnsi="仿宋" w:eastAsia="仿宋_GB2312"/>
          <w:sz w:val="32"/>
          <w:szCs w:val="32"/>
          <w:lang w:eastAsia="zh-CN"/>
        </w:rPr>
      </w:pPr>
      <w:r>
        <w:rPr>
          <w:rFonts w:hint="eastAsia" w:ascii="仿宋_GB2312" w:hAnsi="仿宋" w:eastAsia="仿宋_GB2312"/>
          <w:sz w:val="32"/>
          <w:szCs w:val="32"/>
          <w:lang w:eastAsia="zh-CN"/>
        </w:rPr>
        <w:t>社区卫生服务中心：做好医养护一体化签约服务工作，规范开展老年人常见病、多发病的诊疗和慢性病管理工作，开展常规诊疗技术和康复、护理、中医药适宜技术推广应用等工作；负责上级医院稳定期和康复期患者的下转接收工作；做好向上级医院转诊工作；与附近医养结合机构开展合作，协助做好医养结合机构内老年人健康管理、双向转诊等工作；承担管委会规定的其他工作。</w:t>
      </w:r>
    </w:p>
    <w:p>
      <w:pPr>
        <w:spacing w:line="520" w:lineRule="exact"/>
        <w:ind w:firstLine="640" w:firstLineChars="200"/>
        <w:jc w:val="both"/>
        <w:rPr>
          <w:rFonts w:ascii="仿宋_GB2312" w:hAnsi="仿宋" w:eastAsia="仿宋_GB2312"/>
          <w:sz w:val="32"/>
          <w:szCs w:val="32"/>
          <w:lang w:eastAsia="zh-CN"/>
        </w:rPr>
      </w:pPr>
      <w:r>
        <w:rPr>
          <w:rFonts w:hint="eastAsia" w:ascii="仿宋_GB2312" w:hAnsi="仿宋" w:eastAsia="仿宋_GB2312"/>
          <w:sz w:val="32"/>
          <w:szCs w:val="32"/>
          <w:lang w:eastAsia="zh-CN"/>
        </w:rPr>
        <w:t>医养结合机构：规范开展机构内老年人常见病、多发病的诊疗和慢性病管理工作，开展常规诊疗技术和康复、护理等工作；负责上级医院稳定期和康复期患者的下转接收工作；做好向上级医院转诊工作；与附近社区卫生服务机构开展合作，做好本机构内老年人健康管理、双向转诊等工作；承担管委会规定的其他工作。</w:t>
      </w:r>
    </w:p>
    <w:p>
      <w:pPr>
        <w:spacing w:line="520" w:lineRule="exact"/>
        <w:ind w:firstLine="640" w:firstLineChars="200"/>
        <w:jc w:val="both"/>
        <w:rPr>
          <w:rFonts w:ascii="仿宋_GB2312" w:hAnsi="仿宋" w:eastAsia="仿宋_GB2312"/>
          <w:sz w:val="32"/>
          <w:szCs w:val="32"/>
          <w:lang w:eastAsia="zh-CN"/>
        </w:rPr>
      </w:pPr>
      <w:r>
        <w:rPr>
          <w:rFonts w:hint="eastAsia" w:ascii="仿宋_GB2312" w:hAnsi="仿宋" w:eastAsia="仿宋_GB2312"/>
          <w:sz w:val="32"/>
          <w:szCs w:val="32"/>
          <w:lang w:eastAsia="zh-CN"/>
        </w:rPr>
        <w:t>市、区级卫生健康行政部门：履行监管职责，做好组织、协调、支持紧密医养联合体等工作。</w:t>
      </w:r>
    </w:p>
    <w:p>
      <w:pPr>
        <w:pStyle w:val="9"/>
        <w:spacing w:line="520" w:lineRule="exact"/>
        <w:ind w:firstLine="640" w:firstLineChars="200"/>
        <w:jc w:val="both"/>
        <w:rPr>
          <w:rFonts w:ascii="仿宋_GB2312" w:hAnsi="仿宋" w:eastAsia="仿宋_GB2312" w:cs="Times New Roman"/>
          <w:sz w:val="32"/>
          <w:szCs w:val="32"/>
          <w:lang w:val="en-US" w:eastAsia="zh-CN" w:bidi="en-US"/>
        </w:rPr>
      </w:pPr>
      <w:r>
        <w:rPr>
          <w:rFonts w:hint="eastAsia" w:ascii="仿宋_GB2312" w:hAnsi="仿宋" w:eastAsia="仿宋_GB2312" w:cs="Times New Roman"/>
          <w:sz w:val="32"/>
          <w:szCs w:val="32"/>
          <w:lang w:val="en-US" w:eastAsia="zh-CN" w:bidi="en-US"/>
        </w:rPr>
        <w:t>作为试点牵头单位的市级医院每年每联合1家医养结合机构</w:t>
      </w:r>
      <w:r>
        <w:rPr>
          <w:rFonts w:hint="eastAsia" w:ascii="仿宋_GB2312" w:hAnsi="仿宋" w:eastAsia="仿宋_GB2312"/>
          <w:sz w:val="32"/>
          <w:szCs w:val="32"/>
          <w:lang w:eastAsia="zh-CN"/>
        </w:rPr>
        <w:t>（设置护理院或医院）</w:t>
      </w:r>
      <w:r>
        <w:rPr>
          <w:rFonts w:hint="eastAsia" w:ascii="仿宋_GB2312" w:hAnsi="仿宋" w:eastAsia="仿宋_GB2312" w:cs="Times New Roman"/>
          <w:sz w:val="32"/>
          <w:szCs w:val="32"/>
          <w:lang w:val="en-US" w:eastAsia="zh-CN" w:bidi="en-US"/>
        </w:rPr>
        <w:t>按社区卫生服务中心医联体形式予以补助。</w:t>
      </w:r>
      <w:r>
        <w:rPr>
          <w:rFonts w:hint="eastAsia" w:ascii="仿宋_GB2312" w:hAnsi="宋体" w:eastAsia="仿宋_GB2312" w:cs="宋体"/>
          <w:sz w:val="32"/>
          <w:szCs w:val="32"/>
        </w:rPr>
        <w:t>各区、县（市）</w:t>
      </w:r>
      <w:r>
        <w:rPr>
          <w:rFonts w:hint="eastAsia" w:ascii="仿宋_GB2312" w:hAnsi="宋体" w:eastAsia="仿宋_GB2312" w:cs="宋体"/>
          <w:sz w:val="32"/>
          <w:szCs w:val="32"/>
          <w:lang w:eastAsia="zh-CN"/>
        </w:rPr>
        <w:t>根据实际情况参照执行</w:t>
      </w:r>
      <w:r>
        <w:rPr>
          <w:rFonts w:hint="eastAsia" w:ascii="仿宋_GB2312" w:hAnsi="仿宋" w:eastAsia="仿宋_GB2312" w:cs="Times New Roman"/>
          <w:sz w:val="32"/>
          <w:szCs w:val="32"/>
          <w:lang w:val="en-US" w:eastAsia="zh-CN" w:bidi="en-US"/>
        </w:rPr>
        <w:t>。</w:t>
      </w:r>
    </w:p>
    <w:p>
      <w:pPr>
        <w:pStyle w:val="9"/>
        <w:spacing w:line="520" w:lineRule="exact"/>
        <w:ind w:firstLine="640" w:firstLineChars="200"/>
        <w:jc w:val="both"/>
        <w:rPr>
          <w:rFonts w:ascii="仿宋_GB2312" w:hAnsi="仿宋" w:eastAsia="仿宋_GB2312" w:cs="Times New Roman"/>
          <w:color w:val="auto"/>
          <w:sz w:val="32"/>
          <w:szCs w:val="32"/>
          <w:lang w:val="en-US" w:eastAsia="zh-CN" w:bidi="en-US"/>
        </w:rPr>
      </w:pPr>
      <w:r>
        <w:rPr>
          <w:rFonts w:hint="eastAsia" w:ascii="仿宋_GB2312" w:hAnsi="仿宋" w:eastAsia="仿宋_GB2312" w:cs="Times New Roman"/>
          <w:color w:val="auto"/>
          <w:sz w:val="32"/>
          <w:szCs w:val="32"/>
          <w:lang w:val="en-US" w:eastAsia="zh-CN" w:bidi="en-US"/>
        </w:rPr>
        <w:t>紧密医养联合体如符合城市医联体相关工作实施方案，则按城市医联体相关工作实施方案执行。</w:t>
      </w:r>
    </w:p>
    <w:p>
      <w:pPr>
        <w:pStyle w:val="9"/>
        <w:spacing w:line="520" w:lineRule="exact"/>
        <w:ind w:firstLine="640" w:firstLineChars="200"/>
        <w:jc w:val="both"/>
        <w:rPr>
          <w:rFonts w:ascii="黑体" w:hAnsi="黑体" w:eastAsia="黑体" w:cs="Times New Roman"/>
          <w:sz w:val="32"/>
          <w:szCs w:val="32"/>
          <w:lang w:val="en-US" w:eastAsia="zh-CN" w:bidi="en-US"/>
        </w:rPr>
      </w:pPr>
      <w:r>
        <w:rPr>
          <w:rFonts w:hint="eastAsia" w:ascii="黑体" w:hAnsi="黑体" w:eastAsia="黑体" w:cs="Times New Roman"/>
          <w:sz w:val="32"/>
          <w:szCs w:val="32"/>
          <w:lang w:val="en-US" w:eastAsia="zh-CN" w:bidi="en-US"/>
        </w:rPr>
        <w:t>三、实施步骤</w:t>
      </w:r>
    </w:p>
    <w:p>
      <w:pPr>
        <w:pStyle w:val="4"/>
        <w:shd w:val="clear" w:color="auto" w:fill="FFFFFF"/>
        <w:spacing w:before="0" w:beforeAutospacing="0" w:after="0" w:afterAutospacing="0" w:line="520" w:lineRule="exact"/>
        <w:ind w:firstLine="643" w:firstLineChars="200"/>
        <w:jc w:val="both"/>
        <w:rPr>
          <w:rFonts w:ascii="仿宋_GB2312" w:hAnsi="仿宋" w:eastAsia="仿宋_GB2312" w:cs="Times New Roman"/>
          <w:color w:val="000000"/>
          <w:sz w:val="32"/>
          <w:szCs w:val="32"/>
          <w:lang w:bidi="en-US"/>
        </w:rPr>
      </w:pPr>
      <w:r>
        <w:rPr>
          <w:rFonts w:hint="eastAsia" w:ascii="楷体_GB2312" w:hAnsi="仿宋" w:eastAsia="楷体_GB2312" w:cs="Times New Roman"/>
          <w:b/>
          <w:color w:val="000000"/>
          <w:sz w:val="32"/>
          <w:szCs w:val="32"/>
          <w:lang w:bidi="en-US"/>
        </w:rPr>
        <w:t>（一）启动阶段。</w:t>
      </w:r>
      <w:r>
        <w:rPr>
          <w:rFonts w:hint="eastAsia" w:ascii="仿宋_GB2312" w:hAnsi="仿宋" w:eastAsia="仿宋_GB2312" w:cs="Times New Roman"/>
          <w:color w:val="000000"/>
          <w:sz w:val="32"/>
          <w:szCs w:val="32"/>
          <w:lang w:bidi="en-US"/>
        </w:rPr>
        <w:t>市老年病医院建立杭州市老年健康指导中心。确定紧密医养联合体试点地区和试点项目单位。（2020年2-3月）</w:t>
      </w:r>
    </w:p>
    <w:p>
      <w:pPr>
        <w:pStyle w:val="4"/>
        <w:shd w:val="clear" w:color="auto" w:fill="FFFFFF"/>
        <w:spacing w:before="0" w:beforeAutospacing="0" w:after="0" w:afterAutospacing="0" w:line="520" w:lineRule="exact"/>
        <w:ind w:firstLine="643" w:firstLineChars="200"/>
        <w:jc w:val="both"/>
        <w:rPr>
          <w:rFonts w:ascii="仿宋_GB2312" w:hAnsi="仿宋" w:eastAsia="仿宋_GB2312" w:cs="Times New Roman"/>
          <w:color w:val="000000"/>
          <w:sz w:val="32"/>
          <w:szCs w:val="32"/>
          <w:lang w:bidi="en-US"/>
        </w:rPr>
      </w:pPr>
      <w:r>
        <w:rPr>
          <w:rFonts w:hint="eastAsia" w:ascii="楷体_GB2312" w:hAnsi="仿宋" w:eastAsia="楷体_GB2312" w:cs="Times New Roman"/>
          <w:b/>
          <w:color w:val="000000"/>
          <w:sz w:val="32"/>
          <w:szCs w:val="32"/>
          <w:lang w:bidi="en-US"/>
        </w:rPr>
        <w:t>（二）实践阶段。</w:t>
      </w:r>
      <w:r>
        <w:rPr>
          <w:rFonts w:hint="eastAsia" w:ascii="仿宋_GB2312" w:hAnsi="仿宋" w:eastAsia="仿宋_GB2312" w:cs="Times New Roman"/>
          <w:color w:val="000000"/>
          <w:sz w:val="32"/>
          <w:szCs w:val="32"/>
          <w:lang w:bidi="en-US"/>
        </w:rPr>
        <w:t>建立相关工作小组，结合实际，制定试点工作的具体实施方案报送市卫生健康委，并认真开展项目试点工作。（2020年4月-2021年4月）</w:t>
      </w:r>
    </w:p>
    <w:p>
      <w:pPr>
        <w:pStyle w:val="4"/>
        <w:shd w:val="clear" w:color="auto" w:fill="FFFFFF"/>
        <w:spacing w:before="0" w:beforeAutospacing="0" w:after="0" w:afterAutospacing="0" w:line="520" w:lineRule="exact"/>
        <w:ind w:firstLine="643" w:firstLineChars="200"/>
        <w:jc w:val="both"/>
        <w:rPr>
          <w:rFonts w:ascii="仿宋_GB2312" w:hAnsi="仿宋" w:eastAsia="仿宋_GB2312" w:cs="Times New Roman"/>
          <w:color w:val="000000"/>
          <w:sz w:val="32"/>
          <w:szCs w:val="32"/>
          <w:lang w:bidi="en-US"/>
        </w:rPr>
      </w:pPr>
      <w:r>
        <w:rPr>
          <w:rFonts w:hint="eastAsia" w:ascii="楷体_GB2312" w:hAnsi="仿宋" w:eastAsia="楷体_GB2312" w:cs="Times New Roman"/>
          <w:b/>
          <w:color w:val="000000"/>
          <w:sz w:val="32"/>
          <w:szCs w:val="32"/>
          <w:lang w:bidi="en-US"/>
        </w:rPr>
        <w:t>（三）总结推广阶段。</w:t>
      </w:r>
      <w:r>
        <w:rPr>
          <w:rFonts w:hint="eastAsia" w:ascii="仿宋_GB2312" w:hAnsi="仿宋" w:eastAsia="仿宋_GB2312" w:cs="Times New Roman"/>
          <w:color w:val="000000"/>
          <w:sz w:val="32"/>
          <w:szCs w:val="32"/>
          <w:lang w:bidi="en-US"/>
        </w:rPr>
        <w:t>认真总结试点工作，形成总结报告上报市卫生健康委。市卫生健康委会同市财政局组织对试点工作的评估，召开试点工作总结交流会。对工作推进有力且取得显著成效的试点地区工作经验进行推广。（2021年5月-2022年12月）</w:t>
      </w:r>
    </w:p>
    <w:p>
      <w:pPr>
        <w:pStyle w:val="9"/>
        <w:spacing w:line="520" w:lineRule="exact"/>
        <w:ind w:firstLine="640" w:firstLineChars="200"/>
        <w:jc w:val="both"/>
        <w:rPr>
          <w:rFonts w:ascii="黑体" w:hAnsi="黑体" w:eastAsia="黑体" w:cs="Times New Roman"/>
          <w:sz w:val="32"/>
          <w:szCs w:val="32"/>
          <w:lang w:val="en-US" w:eastAsia="zh-CN" w:bidi="en-US"/>
        </w:rPr>
      </w:pPr>
      <w:r>
        <w:rPr>
          <w:rFonts w:hint="eastAsia" w:ascii="黑体" w:hAnsi="黑体" w:eastAsia="黑体" w:cs="Times New Roman"/>
          <w:sz w:val="32"/>
          <w:szCs w:val="32"/>
          <w:lang w:val="en-US" w:eastAsia="zh-CN" w:bidi="en-US"/>
        </w:rPr>
        <w:t>四、有关要求</w:t>
      </w:r>
    </w:p>
    <w:p>
      <w:pPr>
        <w:spacing w:line="520" w:lineRule="exact"/>
        <w:ind w:firstLine="643" w:firstLineChars="200"/>
        <w:jc w:val="both"/>
        <w:rPr>
          <w:rFonts w:ascii="仿宋_GB2312" w:hAnsi="仿宋" w:eastAsia="仿宋_GB2312"/>
          <w:sz w:val="32"/>
          <w:szCs w:val="32"/>
          <w:lang w:eastAsia="zh-CN"/>
        </w:rPr>
      </w:pPr>
      <w:r>
        <w:rPr>
          <w:rFonts w:hint="eastAsia" w:ascii="楷体_GB2312" w:hAnsi="仿宋" w:eastAsia="楷体_GB2312"/>
          <w:b/>
          <w:sz w:val="32"/>
          <w:szCs w:val="32"/>
          <w:lang w:eastAsia="zh-CN"/>
        </w:rPr>
        <w:t>（一）组织和政策保障。</w:t>
      </w:r>
      <w:r>
        <w:rPr>
          <w:rFonts w:hint="eastAsia" w:ascii="仿宋_GB2312" w:hAnsi="仿宋" w:eastAsia="仿宋_GB2312"/>
          <w:sz w:val="32"/>
          <w:szCs w:val="32"/>
          <w:lang w:eastAsia="zh-CN"/>
        </w:rPr>
        <w:t>试点地区和项目单位要高度重视本项工作，加强领导，明确职责，分工协作，形成合力，着力推进。主动加强部门协调，争取政策支持，加大投入，强化建立医养联合体工作的保障措施。</w:t>
      </w:r>
      <w:r>
        <w:rPr>
          <w:rFonts w:hint="eastAsia" w:ascii="仿宋_GB2312" w:hAnsi="宋体" w:eastAsia="仿宋_GB2312"/>
          <w:sz w:val="32"/>
          <w:szCs w:val="32"/>
          <w:lang w:eastAsia="zh-CN"/>
        </w:rPr>
        <w:t>市级医院医生在紧密医养联合体内社区卫生服务中心、医养结合机构的工作经历，计入职称晋升前服务基层工作时间。</w:t>
      </w:r>
    </w:p>
    <w:p>
      <w:pPr>
        <w:pStyle w:val="9"/>
        <w:spacing w:line="520" w:lineRule="exact"/>
        <w:ind w:firstLine="643" w:firstLineChars="200"/>
        <w:jc w:val="both"/>
        <w:rPr>
          <w:rFonts w:ascii="仿宋_GB2312" w:hAnsi="仿宋" w:eastAsia="仿宋_GB2312" w:cs="Times New Roman"/>
          <w:sz w:val="32"/>
          <w:szCs w:val="32"/>
          <w:lang w:val="en-US" w:eastAsia="zh-CN" w:bidi="en-US"/>
        </w:rPr>
      </w:pPr>
      <w:r>
        <w:rPr>
          <w:rFonts w:hint="eastAsia" w:ascii="楷体_GB2312" w:hAnsi="仿宋" w:eastAsia="楷体_GB2312" w:cs="Times New Roman"/>
          <w:b/>
          <w:sz w:val="32"/>
          <w:szCs w:val="32"/>
          <w:lang w:val="en-US" w:eastAsia="zh-CN" w:bidi="en-US"/>
        </w:rPr>
        <w:t>（二）积极探索实践。</w:t>
      </w:r>
      <w:r>
        <w:rPr>
          <w:rFonts w:hint="eastAsia" w:ascii="仿宋_GB2312" w:hAnsi="仿宋" w:eastAsia="仿宋_GB2312" w:cs="Times New Roman"/>
          <w:sz w:val="32"/>
          <w:szCs w:val="32"/>
          <w:lang w:val="en-US" w:eastAsia="zh-CN" w:bidi="en-US"/>
        </w:rPr>
        <w:t>试点地区和项目单位，要以项目实施为契机，进一步转变观念，拓宽思路，围绕老年人最迫切、最现实的服务需求，集中力量，攻坚克难，先行先试，努力在提升老年健康和医养结合服务能力方面探索出一套行之有效的办法，及时总结典型经验和特色做法，为推进我市老年健康工作提供示范和样板。</w:t>
      </w:r>
    </w:p>
    <w:p>
      <w:pPr>
        <w:pStyle w:val="9"/>
        <w:spacing w:line="520" w:lineRule="exact"/>
        <w:ind w:firstLine="643" w:firstLineChars="200"/>
        <w:jc w:val="both"/>
        <w:rPr>
          <w:rFonts w:ascii="仿宋_GB2312" w:hAnsi="仿宋" w:eastAsia="仿宋_GB2312" w:cs="Times New Roman"/>
          <w:sz w:val="32"/>
          <w:szCs w:val="32"/>
          <w:lang w:val="en-US" w:eastAsia="zh-CN" w:bidi="en-US"/>
        </w:rPr>
      </w:pPr>
      <w:r>
        <w:rPr>
          <w:rFonts w:hint="eastAsia" w:ascii="楷体_GB2312" w:hAnsi="仿宋" w:eastAsia="楷体_GB2312" w:cs="Times New Roman"/>
          <w:b/>
          <w:sz w:val="32"/>
          <w:szCs w:val="32"/>
          <w:lang w:val="en-US" w:eastAsia="zh-CN" w:bidi="en-US"/>
        </w:rPr>
        <w:t>（三）提高项目绩效。</w:t>
      </w:r>
      <w:r>
        <w:rPr>
          <w:rFonts w:hint="eastAsia" w:ascii="仿宋_GB2312" w:hAnsi="仿宋" w:eastAsia="仿宋_GB2312" w:cs="Times New Roman"/>
          <w:sz w:val="32"/>
          <w:szCs w:val="32"/>
          <w:lang w:val="en-US" w:eastAsia="zh-CN" w:bidi="en-US"/>
        </w:rPr>
        <w:t>市财政安排专项经费对试点工作给予支持。专项经费应专款专用，确保资金合理使用，提高项目绩效。</w:t>
      </w:r>
    </w:p>
    <w:p>
      <w:pPr>
        <w:jc w:val="both"/>
        <w:rPr>
          <w:rFonts w:ascii="仿宋_GB2312" w:hAnsi="仿宋" w:eastAsia="仿宋_GB2312"/>
          <w:sz w:val="32"/>
          <w:szCs w:val="32"/>
          <w:lang w:eastAsia="zh-CN"/>
        </w:rPr>
      </w:pPr>
    </w:p>
    <w:p>
      <w:pPr>
        <w:ind w:firstLine="640" w:firstLineChars="200"/>
        <w:jc w:val="both"/>
        <w:rPr>
          <w:rFonts w:ascii="仿宋_GB2312" w:hAnsi="仿宋" w:eastAsia="仿宋_GB2312"/>
          <w:sz w:val="32"/>
          <w:szCs w:val="32"/>
          <w:lang w:eastAsia="zh-CN"/>
        </w:rPr>
      </w:pPr>
      <w:r>
        <w:rPr>
          <w:rFonts w:hint="eastAsia" w:ascii="仿宋_GB2312" w:hAnsi="仿宋" w:eastAsia="仿宋_GB2312"/>
          <w:sz w:val="32"/>
          <w:szCs w:val="32"/>
          <w:lang w:eastAsia="zh-CN"/>
        </w:rPr>
        <w:t>附件：“紧密医养联合体”试点项目绩效评价表</w:t>
      </w:r>
    </w:p>
    <w:p>
      <w:pPr>
        <w:pStyle w:val="9"/>
        <w:spacing w:line="520" w:lineRule="exact"/>
        <w:ind w:firstLine="640" w:firstLineChars="200"/>
        <w:jc w:val="both"/>
        <w:rPr>
          <w:rFonts w:ascii="仿宋_GB2312" w:hAnsi="仿宋" w:eastAsia="仿宋_GB2312" w:cs="Times New Roman"/>
          <w:sz w:val="32"/>
          <w:szCs w:val="32"/>
          <w:lang w:val="en-US" w:eastAsia="zh-CN" w:bidi="en-US"/>
        </w:rPr>
      </w:pPr>
    </w:p>
    <w:p>
      <w:pPr>
        <w:pStyle w:val="9"/>
        <w:spacing w:line="520" w:lineRule="exact"/>
        <w:ind w:firstLineChars="125"/>
        <w:jc w:val="both"/>
        <w:rPr>
          <w:rFonts w:ascii="仿宋_GB2312" w:hAnsi="仿宋" w:eastAsia="仿宋_GB2312" w:cs="Times New Roman"/>
          <w:sz w:val="32"/>
          <w:szCs w:val="32"/>
          <w:lang w:val="en-US" w:eastAsia="zh-CN" w:bidi="en-US"/>
        </w:rPr>
        <w:sectPr>
          <w:footerReference r:id="rId5" w:type="default"/>
          <w:pgSz w:w="11907" w:h="16839"/>
          <w:pgMar w:top="1440" w:right="1800" w:bottom="1440" w:left="1800" w:header="1401" w:footer="1134" w:gutter="0"/>
          <w:pgNumType w:start="1"/>
          <w:cols w:space="720" w:num="1"/>
          <w:docGrid w:linePitch="360" w:charSpace="0"/>
        </w:sectPr>
      </w:pPr>
    </w:p>
    <w:p>
      <w:pPr>
        <w:rPr>
          <w:rFonts w:ascii="黑体" w:hAnsi="黑体" w:eastAsia="黑体" w:cs="宋体"/>
          <w:bCs/>
          <w:sz w:val="32"/>
          <w:szCs w:val="32"/>
          <w:lang w:eastAsia="zh-CN"/>
        </w:rPr>
      </w:pPr>
      <w:r>
        <w:rPr>
          <w:rFonts w:hint="eastAsia" w:ascii="黑体" w:hAnsi="黑体" w:eastAsia="黑体" w:cs="宋体"/>
          <w:bCs/>
          <w:sz w:val="32"/>
          <w:szCs w:val="32"/>
          <w:lang w:eastAsia="zh-CN"/>
        </w:rPr>
        <w:t>附件</w:t>
      </w:r>
    </w:p>
    <w:p>
      <w:pPr>
        <w:jc w:val="center"/>
        <w:rPr>
          <w:rFonts w:ascii="文鼎小标宋简" w:hAnsi="华文中宋" w:eastAsia="文鼎小标宋简"/>
          <w:sz w:val="30"/>
          <w:szCs w:val="30"/>
          <w:lang w:eastAsia="zh-CN"/>
        </w:rPr>
      </w:pPr>
      <w:r>
        <w:rPr>
          <w:rFonts w:hint="eastAsia" w:ascii="文鼎小标宋简" w:hAnsi="宋体" w:eastAsia="文鼎小标宋简" w:cs="宋体"/>
          <w:bCs/>
          <w:sz w:val="44"/>
          <w:szCs w:val="44"/>
          <w:lang w:eastAsia="zh-CN"/>
        </w:rPr>
        <w:t>“紧密医养联合体”试点项目绩效评价表</w:t>
      </w:r>
    </w:p>
    <w:p>
      <w:pPr>
        <w:jc w:val="center"/>
        <w:rPr>
          <w:rFonts w:ascii="文鼎小标宋简" w:hAnsi="华文中宋" w:eastAsia="文鼎小标宋简"/>
          <w:sz w:val="30"/>
          <w:szCs w:val="30"/>
          <w:lang w:eastAsia="zh-CN"/>
        </w:rPr>
      </w:pP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852"/>
        <w:gridCol w:w="1228"/>
        <w:gridCol w:w="2835"/>
        <w:gridCol w:w="709"/>
        <w:gridCol w:w="6237"/>
        <w:gridCol w:w="709"/>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438" w:type="dxa"/>
            <w:shd w:val="clear" w:color="auto" w:fill="auto"/>
            <w:noWrap/>
            <w:vAlign w:val="center"/>
          </w:tcPr>
          <w:p>
            <w:pPr>
              <w:widowControl/>
              <w:jc w:val="center"/>
              <w:rPr>
                <w:rFonts w:ascii="黑体" w:hAnsi="黑体" w:eastAsia="黑体" w:cs="宋体"/>
                <w:b/>
                <w:bCs/>
                <w:sz w:val="22"/>
              </w:rPr>
            </w:pPr>
            <w:r>
              <w:rPr>
                <w:rFonts w:hint="eastAsia" w:ascii="黑体" w:hAnsi="黑体" w:eastAsia="黑体" w:cs="宋体"/>
                <w:b/>
                <w:bCs/>
                <w:sz w:val="22"/>
              </w:rPr>
              <w:t>序号</w:t>
            </w:r>
          </w:p>
        </w:tc>
        <w:tc>
          <w:tcPr>
            <w:tcW w:w="852" w:type="dxa"/>
            <w:shd w:val="clear" w:color="auto" w:fill="auto"/>
            <w:noWrap/>
            <w:vAlign w:val="center"/>
          </w:tcPr>
          <w:p>
            <w:pPr>
              <w:widowControl/>
              <w:jc w:val="center"/>
              <w:rPr>
                <w:rFonts w:ascii="黑体" w:hAnsi="黑体" w:eastAsia="黑体" w:cs="宋体"/>
                <w:b/>
                <w:bCs/>
                <w:sz w:val="22"/>
              </w:rPr>
            </w:pPr>
            <w:r>
              <w:rPr>
                <w:rFonts w:hint="eastAsia" w:ascii="黑体" w:hAnsi="黑体" w:eastAsia="黑体" w:cs="宋体"/>
                <w:b/>
                <w:bCs/>
                <w:sz w:val="22"/>
              </w:rPr>
              <w:t>基本指标</w:t>
            </w:r>
          </w:p>
        </w:tc>
        <w:tc>
          <w:tcPr>
            <w:tcW w:w="1228" w:type="dxa"/>
            <w:shd w:val="clear" w:color="auto" w:fill="auto"/>
            <w:noWrap/>
            <w:vAlign w:val="center"/>
          </w:tcPr>
          <w:p>
            <w:pPr>
              <w:widowControl/>
              <w:jc w:val="center"/>
              <w:rPr>
                <w:rFonts w:ascii="黑体" w:hAnsi="黑体" w:eastAsia="黑体" w:cs="宋体"/>
                <w:b/>
                <w:bCs/>
                <w:sz w:val="22"/>
              </w:rPr>
            </w:pPr>
            <w:r>
              <w:rPr>
                <w:rFonts w:hint="eastAsia" w:ascii="黑体" w:hAnsi="黑体" w:eastAsia="黑体" w:cs="宋体"/>
                <w:b/>
                <w:bCs/>
                <w:sz w:val="22"/>
              </w:rPr>
              <w:t>具体指标</w:t>
            </w:r>
          </w:p>
        </w:tc>
        <w:tc>
          <w:tcPr>
            <w:tcW w:w="2835" w:type="dxa"/>
            <w:shd w:val="clear" w:color="auto" w:fill="auto"/>
            <w:noWrap/>
            <w:vAlign w:val="center"/>
          </w:tcPr>
          <w:p>
            <w:pPr>
              <w:widowControl/>
              <w:jc w:val="center"/>
              <w:rPr>
                <w:rFonts w:ascii="黑体" w:hAnsi="黑体" w:eastAsia="黑体" w:cs="宋体"/>
                <w:b/>
                <w:bCs/>
                <w:sz w:val="22"/>
              </w:rPr>
            </w:pPr>
            <w:r>
              <w:rPr>
                <w:rFonts w:hint="eastAsia" w:ascii="黑体" w:hAnsi="黑体" w:eastAsia="黑体" w:cs="宋体"/>
                <w:b/>
                <w:bCs/>
                <w:sz w:val="22"/>
              </w:rPr>
              <w:t>计分项目</w:t>
            </w:r>
          </w:p>
        </w:tc>
        <w:tc>
          <w:tcPr>
            <w:tcW w:w="709" w:type="dxa"/>
            <w:shd w:val="clear" w:color="auto" w:fill="auto"/>
            <w:noWrap/>
            <w:vAlign w:val="center"/>
          </w:tcPr>
          <w:p>
            <w:pPr>
              <w:widowControl/>
              <w:jc w:val="center"/>
              <w:rPr>
                <w:rFonts w:ascii="黑体" w:hAnsi="黑体" w:eastAsia="黑体" w:cs="宋体"/>
                <w:b/>
                <w:bCs/>
                <w:sz w:val="22"/>
              </w:rPr>
            </w:pPr>
            <w:r>
              <w:rPr>
                <w:rFonts w:hint="eastAsia" w:ascii="黑体" w:hAnsi="黑体" w:eastAsia="黑体" w:cs="宋体"/>
                <w:b/>
                <w:bCs/>
                <w:sz w:val="22"/>
              </w:rPr>
              <w:t>分值</w:t>
            </w:r>
          </w:p>
        </w:tc>
        <w:tc>
          <w:tcPr>
            <w:tcW w:w="6237" w:type="dxa"/>
            <w:shd w:val="clear" w:color="auto" w:fill="auto"/>
            <w:vAlign w:val="center"/>
          </w:tcPr>
          <w:p>
            <w:pPr>
              <w:widowControl/>
              <w:jc w:val="center"/>
              <w:rPr>
                <w:rFonts w:ascii="黑体" w:hAnsi="黑体" w:eastAsia="黑体" w:cs="宋体"/>
                <w:b/>
                <w:bCs/>
                <w:sz w:val="22"/>
              </w:rPr>
            </w:pPr>
            <w:r>
              <w:rPr>
                <w:rFonts w:hint="eastAsia" w:ascii="黑体" w:hAnsi="黑体" w:eastAsia="黑体" w:cs="宋体"/>
                <w:b/>
                <w:bCs/>
                <w:sz w:val="22"/>
              </w:rPr>
              <w:t>计分标准</w:t>
            </w:r>
          </w:p>
        </w:tc>
        <w:tc>
          <w:tcPr>
            <w:tcW w:w="709" w:type="dxa"/>
            <w:shd w:val="clear" w:color="auto" w:fill="auto"/>
            <w:noWrap/>
            <w:vAlign w:val="center"/>
          </w:tcPr>
          <w:p>
            <w:pPr>
              <w:widowControl/>
              <w:jc w:val="center"/>
              <w:rPr>
                <w:rFonts w:ascii="黑体" w:hAnsi="黑体" w:eastAsia="黑体" w:cs="宋体"/>
                <w:b/>
                <w:bCs/>
                <w:sz w:val="22"/>
              </w:rPr>
            </w:pPr>
            <w:r>
              <w:rPr>
                <w:rFonts w:hint="eastAsia" w:ascii="黑体" w:hAnsi="黑体" w:eastAsia="黑体" w:cs="宋体"/>
                <w:b/>
                <w:bCs/>
                <w:sz w:val="22"/>
              </w:rPr>
              <w:t>考评</w:t>
            </w:r>
          </w:p>
          <w:p>
            <w:pPr>
              <w:widowControl/>
              <w:jc w:val="center"/>
              <w:rPr>
                <w:rFonts w:ascii="黑体" w:hAnsi="黑体" w:eastAsia="黑体" w:cs="宋体"/>
                <w:b/>
                <w:bCs/>
                <w:sz w:val="22"/>
              </w:rPr>
            </w:pPr>
            <w:r>
              <w:rPr>
                <w:rFonts w:hint="eastAsia" w:ascii="黑体" w:hAnsi="黑体" w:eastAsia="黑体" w:cs="宋体"/>
                <w:b/>
                <w:bCs/>
                <w:sz w:val="22"/>
              </w:rPr>
              <w:t>得分</w:t>
            </w:r>
          </w:p>
        </w:tc>
        <w:tc>
          <w:tcPr>
            <w:tcW w:w="1166" w:type="dxa"/>
          </w:tcPr>
          <w:p>
            <w:pPr>
              <w:widowControl/>
              <w:jc w:val="center"/>
              <w:rPr>
                <w:rFonts w:ascii="黑体" w:hAnsi="黑体" w:eastAsia="黑体" w:cs="宋体"/>
                <w:b/>
                <w:bCs/>
                <w:sz w:val="22"/>
              </w:rPr>
            </w:pPr>
            <w:r>
              <w:rPr>
                <w:rFonts w:hint="eastAsia" w:ascii="黑体" w:hAnsi="黑体" w:eastAsia="黑体" w:cs="宋体"/>
                <w:b/>
                <w:bCs/>
                <w:sz w:val="22"/>
              </w:rPr>
              <w:t>扣分</w:t>
            </w:r>
          </w:p>
          <w:p>
            <w:pPr>
              <w:widowControl/>
              <w:jc w:val="center"/>
              <w:rPr>
                <w:rFonts w:ascii="黑体" w:hAnsi="黑体" w:eastAsia="黑体" w:cs="宋体"/>
                <w:b/>
                <w:bCs/>
                <w:sz w:val="22"/>
              </w:rPr>
            </w:pPr>
            <w:r>
              <w:rPr>
                <w:rFonts w:hint="eastAsia" w:ascii="黑体" w:hAnsi="黑体" w:eastAsia="黑体" w:cs="宋体"/>
                <w:b/>
                <w:bCs/>
                <w:sz w:val="22"/>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1</w:t>
            </w:r>
          </w:p>
        </w:tc>
        <w:tc>
          <w:tcPr>
            <w:tcW w:w="852" w:type="dxa"/>
            <w:vMerge w:val="restart"/>
            <w:shd w:val="clear" w:color="auto" w:fill="auto"/>
            <w:noWrap/>
            <w:vAlign w:val="center"/>
          </w:tcPr>
          <w:p>
            <w:pPr>
              <w:widowControl/>
              <w:jc w:val="center"/>
              <w:rPr>
                <w:rFonts w:ascii="宋体" w:hAnsi="宋体" w:cs="宋体" w:eastAsiaTheme="minorEastAsia"/>
                <w:sz w:val="22"/>
                <w:lang w:eastAsia="zh-CN"/>
              </w:rPr>
            </w:pPr>
            <w:r>
              <w:rPr>
                <w:rFonts w:hint="eastAsia" w:ascii="宋体" w:hAnsi="宋体" w:cs="宋体"/>
                <w:sz w:val="22"/>
              </w:rPr>
              <w:t>工作组织</w:t>
            </w:r>
          </w:p>
          <w:p>
            <w:pPr>
              <w:widowControl/>
              <w:jc w:val="center"/>
              <w:rPr>
                <w:rFonts w:ascii="宋体" w:hAnsi="宋体" w:cs="宋体" w:eastAsiaTheme="minorEastAsia"/>
                <w:sz w:val="22"/>
                <w:lang w:eastAsia="zh-CN"/>
              </w:rPr>
            </w:pPr>
            <w:r>
              <w:rPr>
                <w:rFonts w:hint="eastAsia" w:ascii="宋体" w:hAnsi="宋体" w:cs="宋体" w:eastAsiaTheme="minorEastAsia"/>
                <w:sz w:val="22"/>
                <w:lang w:eastAsia="zh-CN"/>
              </w:rPr>
              <w:t>（16分）</w:t>
            </w:r>
          </w:p>
        </w:tc>
        <w:tc>
          <w:tcPr>
            <w:tcW w:w="1228" w:type="dxa"/>
            <w:shd w:val="clear" w:color="auto" w:fill="auto"/>
            <w:noWrap/>
            <w:vAlign w:val="center"/>
          </w:tcPr>
          <w:p>
            <w:pPr>
              <w:widowControl/>
              <w:jc w:val="center"/>
              <w:rPr>
                <w:rFonts w:ascii="宋体" w:hAnsi="宋体" w:cs="宋体"/>
                <w:sz w:val="22"/>
              </w:rPr>
            </w:pPr>
            <w:r>
              <w:rPr>
                <w:rFonts w:hint="eastAsia" w:ascii="宋体" w:hAnsi="宋体" w:cs="宋体"/>
                <w:sz w:val="22"/>
              </w:rPr>
              <w:t>协议签订</w:t>
            </w:r>
          </w:p>
        </w:tc>
        <w:tc>
          <w:tcPr>
            <w:tcW w:w="2835" w:type="dxa"/>
            <w:shd w:val="clear" w:color="auto" w:fill="auto"/>
            <w:noWrap/>
            <w:vAlign w:val="center"/>
          </w:tcPr>
          <w:p>
            <w:pPr>
              <w:widowControl/>
              <w:jc w:val="center"/>
              <w:rPr>
                <w:rFonts w:ascii="宋体" w:hAnsi="宋体" w:cs="宋体"/>
                <w:sz w:val="22"/>
              </w:rPr>
            </w:pPr>
            <w:r>
              <w:rPr>
                <w:rFonts w:hint="eastAsia" w:ascii="宋体" w:hAnsi="宋体" w:cs="宋体"/>
                <w:sz w:val="22"/>
              </w:rPr>
              <w:t>协议签订</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5</w:t>
            </w:r>
          </w:p>
        </w:tc>
        <w:tc>
          <w:tcPr>
            <w:tcW w:w="6237" w:type="dxa"/>
            <w:shd w:val="clear" w:color="auto" w:fill="auto"/>
            <w:vAlign w:val="center"/>
          </w:tcPr>
          <w:p>
            <w:pPr>
              <w:widowControl/>
              <w:rPr>
                <w:rFonts w:ascii="宋体" w:hAnsi="宋体" w:cs="宋体" w:eastAsiaTheme="minorEastAsia"/>
                <w:sz w:val="22"/>
                <w:lang w:eastAsia="zh-CN"/>
              </w:rPr>
            </w:pPr>
            <w:r>
              <w:rPr>
                <w:rFonts w:hint="eastAsia" w:ascii="宋体" w:hAnsi="宋体" w:cs="宋体"/>
                <w:sz w:val="22"/>
                <w:lang w:eastAsia="zh-CN"/>
              </w:rPr>
              <w:t>1.签订的合作协议（含补充协议），各成员单位责、权、利明确，目标明确、操作性强，得5分；</w:t>
            </w:r>
          </w:p>
          <w:p>
            <w:pPr>
              <w:widowControl/>
              <w:rPr>
                <w:rFonts w:ascii="宋体" w:hAnsi="宋体" w:cs="宋体"/>
                <w:sz w:val="22"/>
                <w:lang w:eastAsia="zh-CN"/>
              </w:rPr>
            </w:pPr>
            <w:r>
              <w:rPr>
                <w:rFonts w:hint="eastAsia" w:ascii="宋体" w:hAnsi="宋体" w:cs="宋体"/>
                <w:sz w:val="22"/>
                <w:lang w:eastAsia="zh-CN"/>
              </w:rPr>
              <w:t>2.责、权、利不明确，目标不明确、操作性差，不得分</w:t>
            </w:r>
          </w:p>
        </w:tc>
        <w:tc>
          <w:tcPr>
            <w:tcW w:w="709" w:type="dxa"/>
            <w:shd w:val="clear" w:color="auto" w:fill="auto"/>
            <w:noWrap/>
            <w:vAlign w:val="center"/>
          </w:tcPr>
          <w:p>
            <w:pPr>
              <w:widowControl/>
              <w:rPr>
                <w:rFonts w:ascii="宋体" w:hAnsi="宋体" w:cs="宋体"/>
                <w:sz w:val="22"/>
                <w:lang w:eastAsia="zh-CN"/>
              </w:rPr>
            </w:pPr>
            <w:r>
              <w:rPr>
                <w:rFonts w:hint="eastAsia" w:ascii="宋体" w:hAnsi="宋体" w:cs="宋体"/>
                <w:sz w:val="22"/>
                <w:lang w:eastAsia="zh-CN"/>
              </w:rPr>
              <w:t>　</w:t>
            </w: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2</w:t>
            </w:r>
          </w:p>
        </w:tc>
        <w:tc>
          <w:tcPr>
            <w:tcW w:w="852" w:type="dxa"/>
            <w:vMerge w:val="continue"/>
            <w:vAlign w:val="center"/>
          </w:tcPr>
          <w:p>
            <w:pPr>
              <w:widowControl/>
              <w:rPr>
                <w:rFonts w:ascii="宋体" w:hAnsi="宋体" w:cs="宋体"/>
                <w:sz w:val="22"/>
              </w:rPr>
            </w:pPr>
          </w:p>
        </w:tc>
        <w:tc>
          <w:tcPr>
            <w:tcW w:w="1228" w:type="dxa"/>
            <w:shd w:val="clear" w:color="auto" w:fill="auto"/>
            <w:noWrap/>
            <w:vAlign w:val="center"/>
          </w:tcPr>
          <w:p>
            <w:pPr>
              <w:widowControl/>
              <w:jc w:val="center"/>
              <w:rPr>
                <w:rFonts w:ascii="宋体" w:hAnsi="宋体" w:cs="宋体"/>
                <w:sz w:val="22"/>
              </w:rPr>
            </w:pPr>
            <w:r>
              <w:rPr>
                <w:rFonts w:hint="eastAsia" w:ascii="宋体" w:hAnsi="宋体" w:cs="宋体"/>
                <w:sz w:val="22"/>
              </w:rPr>
              <w:t>年度计划</w:t>
            </w:r>
          </w:p>
        </w:tc>
        <w:tc>
          <w:tcPr>
            <w:tcW w:w="2835" w:type="dxa"/>
            <w:shd w:val="clear" w:color="auto" w:fill="auto"/>
            <w:noWrap/>
            <w:vAlign w:val="center"/>
          </w:tcPr>
          <w:p>
            <w:pPr>
              <w:widowControl/>
              <w:jc w:val="center"/>
              <w:rPr>
                <w:rFonts w:ascii="宋体" w:hAnsi="宋体" w:cs="宋体"/>
                <w:sz w:val="22"/>
              </w:rPr>
            </w:pPr>
            <w:r>
              <w:rPr>
                <w:rFonts w:hint="eastAsia" w:ascii="宋体" w:hAnsi="宋体" w:cs="宋体"/>
                <w:sz w:val="22"/>
              </w:rPr>
              <w:t>计划制定</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5</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1.双方协商制定年度工作计划，目标任务明确具体，得5分；                                                          2.年度计划目标任务不明确、不具体或未制定，不得分</w:t>
            </w:r>
          </w:p>
        </w:tc>
        <w:tc>
          <w:tcPr>
            <w:tcW w:w="709" w:type="dxa"/>
            <w:shd w:val="clear" w:color="auto" w:fill="auto"/>
            <w:noWrap/>
            <w:vAlign w:val="center"/>
          </w:tcPr>
          <w:p>
            <w:pPr>
              <w:widowControl/>
              <w:rPr>
                <w:rFonts w:ascii="宋体" w:hAnsi="宋体" w:cs="宋体"/>
                <w:sz w:val="22"/>
                <w:lang w:eastAsia="zh-CN"/>
              </w:rPr>
            </w:pPr>
            <w:r>
              <w:rPr>
                <w:rFonts w:hint="eastAsia" w:ascii="宋体" w:hAnsi="宋体" w:cs="宋体"/>
                <w:sz w:val="22"/>
                <w:lang w:eastAsia="zh-CN"/>
              </w:rPr>
              <w:t>　</w:t>
            </w: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4</w:t>
            </w:r>
          </w:p>
        </w:tc>
        <w:tc>
          <w:tcPr>
            <w:tcW w:w="852" w:type="dxa"/>
            <w:vMerge w:val="continue"/>
            <w:vAlign w:val="center"/>
          </w:tcPr>
          <w:p>
            <w:pPr>
              <w:widowControl/>
              <w:rPr>
                <w:rFonts w:ascii="宋体" w:hAnsi="宋体" w:cs="宋体"/>
                <w:sz w:val="22"/>
              </w:rPr>
            </w:pPr>
          </w:p>
        </w:tc>
        <w:tc>
          <w:tcPr>
            <w:tcW w:w="1228" w:type="dxa"/>
            <w:shd w:val="clear" w:color="auto" w:fill="auto"/>
            <w:noWrap/>
            <w:vAlign w:val="center"/>
          </w:tcPr>
          <w:p>
            <w:pPr>
              <w:widowControl/>
              <w:jc w:val="center"/>
              <w:rPr>
                <w:rFonts w:ascii="宋体" w:hAnsi="宋体" w:cs="宋体"/>
                <w:sz w:val="22"/>
              </w:rPr>
            </w:pPr>
            <w:r>
              <w:rPr>
                <w:rFonts w:hint="eastAsia" w:ascii="宋体" w:hAnsi="宋体" w:cs="宋体"/>
                <w:sz w:val="22"/>
              </w:rPr>
              <w:t>考核激励</w:t>
            </w:r>
          </w:p>
        </w:tc>
        <w:tc>
          <w:tcPr>
            <w:tcW w:w="2835"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紧密医养联合体内促进医疗资源整合和下沉的考核和激励机制建立情况</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6</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出台相关文件并执行得6分，出台相关文件但未有效执行得3分，未出台相关文件不得分</w:t>
            </w:r>
          </w:p>
        </w:tc>
        <w:tc>
          <w:tcPr>
            <w:tcW w:w="709" w:type="dxa"/>
            <w:shd w:val="clear" w:color="auto" w:fill="auto"/>
            <w:noWrap/>
            <w:vAlign w:val="center"/>
          </w:tcPr>
          <w:p>
            <w:pPr>
              <w:widowControl/>
              <w:rPr>
                <w:rFonts w:ascii="宋体" w:hAnsi="宋体" w:cs="宋体"/>
                <w:sz w:val="22"/>
                <w:lang w:eastAsia="zh-CN"/>
              </w:rPr>
            </w:pP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5</w:t>
            </w:r>
          </w:p>
        </w:tc>
        <w:tc>
          <w:tcPr>
            <w:tcW w:w="852" w:type="dxa"/>
            <w:vMerge w:val="restart"/>
            <w:vAlign w:val="center"/>
          </w:tcPr>
          <w:p>
            <w:pPr>
              <w:jc w:val="center"/>
              <w:rPr>
                <w:rFonts w:ascii="宋体" w:hAnsi="宋体" w:cs="宋体" w:eastAsiaTheme="minorEastAsia"/>
                <w:sz w:val="22"/>
                <w:lang w:eastAsia="zh-CN"/>
              </w:rPr>
            </w:pPr>
            <w:r>
              <w:rPr>
                <w:rFonts w:hint="eastAsia" w:ascii="宋体" w:hAnsi="宋体" w:cs="宋体"/>
                <w:sz w:val="22"/>
              </w:rPr>
              <w:t>工作举措</w:t>
            </w:r>
          </w:p>
          <w:p>
            <w:pPr>
              <w:jc w:val="center"/>
              <w:rPr>
                <w:rFonts w:ascii="宋体" w:hAnsi="宋体" w:cs="宋体"/>
                <w:sz w:val="22"/>
              </w:rPr>
            </w:pPr>
            <w:r>
              <w:rPr>
                <w:rFonts w:hint="eastAsia" w:ascii="宋体" w:hAnsi="宋体" w:cs="宋体" w:eastAsiaTheme="minorEastAsia"/>
                <w:sz w:val="22"/>
                <w:lang w:eastAsia="zh-CN"/>
              </w:rPr>
              <w:t>（43分）</w:t>
            </w:r>
          </w:p>
        </w:tc>
        <w:tc>
          <w:tcPr>
            <w:tcW w:w="1228" w:type="dxa"/>
            <w:vMerge w:val="restart"/>
            <w:shd w:val="clear" w:color="auto" w:fill="auto"/>
            <w:noWrap/>
            <w:vAlign w:val="center"/>
          </w:tcPr>
          <w:p>
            <w:pPr>
              <w:widowControl/>
              <w:jc w:val="center"/>
              <w:rPr>
                <w:rFonts w:ascii="宋体" w:hAnsi="宋体" w:cs="宋体"/>
                <w:sz w:val="22"/>
              </w:rPr>
            </w:pPr>
            <w:r>
              <w:rPr>
                <w:rFonts w:hint="eastAsia" w:ascii="宋体" w:hAnsi="宋体" w:cs="宋体"/>
                <w:sz w:val="22"/>
              </w:rPr>
              <w:t>协作制度</w:t>
            </w:r>
          </w:p>
        </w:tc>
        <w:tc>
          <w:tcPr>
            <w:tcW w:w="2835"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建立医疗质量同质化管理制度</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5</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建立医疗质量同质化管理制度，得5分；未建立，不得分</w:t>
            </w:r>
          </w:p>
        </w:tc>
        <w:tc>
          <w:tcPr>
            <w:tcW w:w="709" w:type="dxa"/>
            <w:shd w:val="clear" w:color="auto" w:fill="auto"/>
            <w:noWrap/>
            <w:vAlign w:val="center"/>
          </w:tcPr>
          <w:p>
            <w:pPr>
              <w:widowControl/>
              <w:rPr>
                <w:rFonts w:ascii="宋体" w:hAnsi="宋体" w:cs="宋体"/>
                <w:sz w:val="22"/>
                <w:lang w:eastAsia="zh-CN"/>
              </w:rPr>
            </w:pP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6</w:t>
            </w:r>
          </w:p>
        </w:tc>
        <w:tc>
          <w:tcPr>
            <w:tcW w:w="852" w:type="dxa"/>
            <w:vMerge w:val="continue"/>
            <w:vAlign w:val="center"/>
          </w:tcPr>
          <w:p>
            <w:pPr>
              <w:jc w:val="center"/>
              <w:rPr>
                <w:rFonts w:ascii="宋体" w:hAnsi="宋体" w:cs="宋体"/>
                <w:sz w:val="22"/>
              </w:rPr>
            </w:pPr>
          </w:p>
        </w:tc>
        <w:tc>
          <w:tcPr>
            <w:tcW w:w="1228" w:type="dxa"/>
            <w:vMerge w:val="continue"/>
            <w:shd w:val="clear" w:color="auto" w:fill="auto"/>
            <w:noWrap/>
            <w:vAlign w:val="center"/>
          </w:tcPr>
          <w:p>
            <w:pPr>
              <w:widowControl/>
              <w:jc w:val="center"/>
              <w:rPr>
                <w:rFonts w:ascii="宋体" w:hAnsi="宋体" w:cs="宋体"/>
                <w:sz w:val="22"/>
              </w:rPr>
            </w:pPr>
          </w:p>
        </w:tc>
        <w:tc>
          <w:tcPr>
            <w:tcW w:w="2835"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建立双向转诊制度、标准和流程</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5</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与下级医养结合机构建立双向转诊制度，得5分；未建立，不得分</w:t>
            </w:r>
          </w:p>
        </w:tc>
        <w:tc>
          <w:tcPr>
            <w:tcW w:w="709" w:type="dxa"/>
            <w:shd w:val="clear" w:color="auto" w:fill="auto"/>
            <w:noWrap/>
            <w:vAlign w:val="center"/>
          </w:tcPr>
          <w:p>
            <w:pPr>
              <w:widowControl/>
              <w:rPr>
                <w:rFonts w:ascii="宋体" w:hAnsi="宋体" w:cs="宋体"/>
                <w:sz w:val="22"/>
                <w:lang w:eastAsia="zh-CN"/>
              </w:rPr>
            </w:pP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7</w:t>
            </w:r>
          </w:p>
        </w:tc>
        <w:tc>
          <w:tcPr>
            <w:tcW w:w="852" w:type="dxa"/>
            <w:vMerge w:val="continue"/>
            <w:vAlign w:val="center"/>
          </w:tcPr>
          <w:p>
            <w:pPr>
              <w:jc w:val="center"/>
              <w:rPr>
                <w:rFonts w:ascii="宋体" w:hAnsi="宋体" w:cs="宋体"/>
                <w:sz w:val="22"/>
              </w:rPr>
            </w:pPr>
          </w:p>
        </w:tc>
        <w:tc>
          <w:tcPr>
            <w:tcW w:w="1228" w:type="dxa"/>
            <w:shd w:val="clear" w:color="auto" w:fill="auto"/>
            <w:noWrap/>
            <w:vAlign w:val="center"/>
          </w:tcPr>
          <w:p>
            <w:pPr>
              <w:widowControl/>
              <w:jc w:val="center"/>
              <w:rPr>
                <w:rFonts w:ascii="宋体" w:hAnsi="宋体" w:cs="宋体"/>
                <w:sz w:val="22"/>
              </w:rPr>
            </w:pPr>
            <w:r>
              <w:rPr>
                <w:rFonts w:hint="eastAsia" w:ascii="宋体" w:hAnsi="宋体" w:cs="宋体"/>
                <w:sz w:val="22"/>
              </w:rPr>
              <w:t>双向转诊</w:t>
            </w:r>
          </w:p>
        </w:tc>
        <w:tc>
          <w:tcPr>
            <w:tcW w:w="2835"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开展双向转诊情况，为患者提供诊疗-康复-长护连续性服务</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6</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1.上级医院对转诊患者提供优先接诊、优先检查、优先住院等服务的，得3分，否则不得分2.</w:t>
            </w:r>
            <w:r>
              <w:rPr>
                <w:rFonts w:hint="eastAsia" w:ascii="宋体" w:hAnsi="宋体" w:cs="宋体"/>
                <w:spacing w:val="-6"/>
                <w:sz w:val="22"/>
                <w:lang w:eastAsia="zh-CN"/>
              </w:rPr>
              <w:t>住院患者向下级医养结合机构下转的，得3分，无下转，不得分</w:t>
            </w:r>
          </w:p>
        </w:tc>
        <w:tc>
          <w:tcPr>
            <w:tcW w:w="709" w:type="dxa"/>
            <w:shd w:val="clear" w:color="auto" w:fill="auto"/>
            <w:noWrap/>
            <w:vAlign w:val="center"/>
          </w:tcPr>
          <w:p>
            <w:pPr>
              <w:widowControl/>
              <w:rPr>
                <w:rFonts w:ascii="宋体" w:hAnsi="宋体" w:cs="宋体"/>
                <w:sz w:val="22"/>
                <w:lang w:eastAsia="zh-CN"/>
              </w:rPr>
            </w:pP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8</w:t>
            </w:r>
          </w:p>
        </w:tc>
        <w:tc>
          <w:tcPr>
            <w:tcW w:w="852" w:type="dxa"/>
            <w:vMerge w:val="continue"/>
            <w:shd w:val="clear" w:color="auto" w:fill="auto"/>
            <w:vAlign w:val="center"/>
          </w:tcPr>
          <w:p>
            <w:pPr>
              <w:widowControl/>
              <w:jc w:val="center"/>
              <w:rPr>
                <w:rFonts w:ascii="宋体" w:hAnsi="宋体" w:cs="宋体"/>
                <w:sz w:val="22"/>
              </w:rPr>
            </w:pPr>
          </w:p>
        </w:tc>
        <w:tc>
          <w:tcPr>
            <w:tcW w:w="1228" w:type="dxa"/>
            <w:vMerge w:val="restart"/>
            <w:shd w:val="clear" w:color="auto" w:fill="auto"/>
            <w:noWrap/>
            <w:vAlign w:val="center"/>
          </w:tcPr>
          <w:p>
            <w:pPr>
              <w:widowControl/>
              <w:jc w:val="center"/>
              <w:rPr>
                <w:rFonts w:ascii="宋体" w:hAnsi="宋体" w:cs="宋体"/>
                <w:sz w:val="22"/>
              </w:rPr>
            </w:pPr>
            <w:r>
              <w:rPr>
                <w:rFonts w:hint="eastAsia" w:ascii="宋体" w:hAnsi="宋体" w:cs="宋体"/>
                <w:sz w:val="22"/>
              </w:rPr>
              <w:t>基层帮扶</w:t>
            </w:r>
          </w:p>
        </w:tc>
        <w:tc>
          <w:tcPr>
            <w:tcW w:w="2835"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紧密医养联合体内上级医院派医务人员开展专科共建、临床带教、业务指导、教学查房、会诊等业务情况</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10</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查看相关文件和资料，出台相关文件并执行到位得10分，出台相关文件但未有效执行得5分，未出台相关文件不得分</w:t>
            </w:r>
          </w:p>
        </w:tc>
        <w:tc>
          <w:tcPr>
            <w:tcW w:w="709" w:type="dxa"/>
            <w:shd w:val="clear" w:color="auto" w:fill="auto"/>
            <w:noWrap/>
            <w:vAlign w:val="center"/>
          </w:tcPr>
          <w:p>
            <w:pPr>
              <w:widowControl/>
              <w:rPr>
                <w:rFonts w:ascii="宋体" w:hAnsi="宋体" w:cs="宋体"/>
                <w:sz w:val="22"/>
                <w:lang w:eastAsia="zh-CN"/>
              </w:rPr>
            </w:pPr>
            <w:r>
              <w:rPr>
                <w:rFonts w:hint="eastAsia" w:ascii="宋体" w:hAnsi="宋体" w:cs="宋体"/>
                <w:sz w:val="22"/>
                <w:lang w:eastAsia="zh-CN"/>
              </w:rPr>
              <w:t>　</w:t>
            </w: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9</w:t>
            </w:r>
          </w:p>
        </w:tc>
        <w:tc>
          <w:tcPr>
            <w:tcW w:w="852" w:type="dxa"/>
            <w:vMerge w:val="continue"/>
            <w:vAlign w:val="center"/>
          </w:tcPr>
          <w:p>
            <w:pPr>
              <w:widowControl/>
              <w:rPr>
                <w:rFonts w:ascii="宋体" w:hAnsi="宋体" w:cs="宋体"/>
                <w:sz w:val="22"/>
              </w:rPr>
            </w:pPr>
          </w:p>
        </w:tc>
        <w:tc>
          <w:tcPr>
            <w:tcW w:w="1228" w:type="dxa"/>
            <w:vMerge w:val="continue"/>
            <w:vAlign w:val="center"/>
          </w:tcPr>
          <w:p>
            <w:pPr>
              <w:widowControl/>
              <w:rPr>
                <w:rFonts w:ascii="宋体" w:hAnsi="宋体" w:cs="宋体"/>
                <w:sz w:val="22"/>
              </w:rPr>
            </w:pPr>
          </w:p>
        </w:tc>
        <w:tc>
          <w:tcPr>
            <w:tcW w:w="2835"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紧密医养联合体内上级医院向医养结合机构派出专业技术/管理人才的人次数</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5</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各牵头单位汇总提供派出人员数量、名单、人次数及相关佐证资料，有2人次以上，得5分，1人次，得2分，否则不得分</w:t>
            </w:r>
          </w:p>
        </w:tc>
        <w:tc>
          <w:tcPr>
            <w:tcW w:w="709" w:type="dxa"/>
            <w:shd w:val="clear" w:color="auto" w:fill="auto"/>
            <w:noWrap/>
            <w:vAlign w:val="center"/>
          </w:tcPr>
          <w:p>
            <w:pPr>
              <w:widowControl/>
              <w:rPr>
                <w:rFonts w:ascii="宋体" w:hAnsi="宋体" w:cs="宋体"/>
                <w:sz w:val="22"/>
                <w:lang w:eastAsia="zh-CN"/>
              </w:rPr>
            </w:pP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10</w:t>
            </w:r>
          </w:p>
        </w:tc>
        <w:tc>
          <w:tcPr>
            <w:tcW w:w="852" w:type="dxa"/>
            <w:vMerge w:val="continue"/>
            <w:vAlign w:val="center"/>
          </w:tcPr>
          <w:p>
            <w:pPr>
              <w:widowControl/>
              <w:rPr>
                <w:rFonts w:ascii="宋体" w:hAnsi="宋体" w:cs="宋体"/>
                <w:sz w:val="22"/>
              </w:rPr>
            </w:pPr>
          </w:p>
        </w:tc>
        <w:tc>
          <w:tcPr>
            <w:tcW w:w="1228" w:type="dxa"/>
            <w:vMerge w:val="restart"/>
            <w:shd w:val="clear" w:color="auto" w:fill="auto"/>
            <w:noWrap/>
            <w:vAlign w:val="center"/>
          </w:tcPr>
          <w:p>
            <w:pPr>
              <w:widowControl/>
              <w:jc w:val="center"/>
              <w:rPr>
                <w:rFonts w:ascii="宋体" w:hAnsi="宋体" w:cs="宋体"/>
                <w:sz w:val="22"/>
              </w:rPr>
            </w:pPr>
            <w:r>
              <w:rPr>
                <w:rFonts w:hint="eastAsia" w:ascii="宋体" w:hAnsi="宋体" w:cs="宋体"/>
                <w:sz w:val="22"/>
              </w:rPr>
              <w:t>学科、专科建设</w:t>
            </w:r>
          </w:p>
        </w:tc>
        <w:tc>
          <w:tcPr>
            <w:tcW w:w="2835" w:type="dxa"/>
            <w:shd w:val="clear" w:color="auto" w:fill="auto"/>
            <w:noWrap/>
            <w:vAlign w:val="center"/>
          </w:tcPr>
          <w:p>
            <w:pPr>
              <w:widowControl/>
              <w:jc w:val="center"/>
              <w:rPr>
                <w:rFonts w:ascii="宋体" w:hAnsi="宋体" w:cs="宋体"/>
                <w:sz w:val="22"/>
              </w:rPr>
            </w:pPr>
            <w:r>
              <w:rPr>
                <w:rFonts w:hint="eastAsia" w:ascii="宋体" w:hAnsi="宋体" w:cs="宋体"/>
                <w:sz w:val="22"/>
              </w:rPr>
              <w:t>扶持数量</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2</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扶持至少1个与老年医学、康复、护理和安宁疗护等相关的学科或专科，没有则不得分</w:t>
            </w:r>
          </w:p>
        </w:tc>
        <w:tc>
          <w:tcPr>
            <w:tcW w:w="709" w:type="dxa"/>
            <w:shd w:val="clear" w:color="auto" w:fill="auto"/>
            <w:noWrap/>
            <w:vAlign w:val="center"/>
          </w:tcPr>
          <w:p>
            <w:pPr>
              <w:widowControl/>
              <w:rPr>
                <w:rFonts w:ascii="宋体" w:hAnsi="宋体" w:cs="宋体"/>
                <w:sz w:val="22"/>
                <w:lang w:eastAsia="zh-CN"/>
              </w:rPr>
            </w:pPr>
            <w:r>
              <w:rPr>
                <w:rFonts w:hint="eastAsia" w:ascii="宋体" w:hAnsi="宋体" w:cs="宋体"/>
                <w:sz w:val="22"/>
                <w:lang w:eastAsia="zh-CN"/>
              </w:rPr>
              <w:t>　</w:t>
            </w: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11</w:t>
            </w:r>
          </w:p>
        </w:tc>
        <w:tc>
          <w:tcPr>
            <w:tcW w:w="852" w:type="dxa"/>
            <w:vMerge w:val="continue"/>
            <w:vAlign w:val="center"/>
          </w:tcPr>
          <w:p>
            <w:pPr>
              <w:widowControl/>
              <w:rPr>
                <w:rFonts w:ascii="宋体" w:hAnsi="宋体" w:cs="宋体"/>
                <w:sz w:val="22"/>
              </w:rPr>
            </w:pPr>
          </w:p>
        </w:tc>
        <w:tc>
          <w:tcPr>
            <w:tcW w:w="1228" w:type="dxa"/>
            <w:vMerge w:val="continue"/>
            <w:vAlign w:val="center"/>
          </w:tcPr>
          <w:p>
            <w:pPr>
              <w:widowControl/>
              <w:rPr>
                <w:rFonts w:ascii="宋体" w:hAnsi="宋体" w:cs="宋体"/>
                <w:sz w:val="22"/>
              </w:rPr>
            </w:pPr>
          </w:p>
        </w:tc>
        <w:tc>
          <w:tcPr>
            <w:tcW w:w="2835" w:type="dxa"/>
            <w:shd w:val="clear" w:color="auto" w:fill="auto"/>
            <w:noWrap/>
            <w:vAlign w:val="center"/>
          </w:tcPr>
          <w:p>
            <w:pPr>
              <w:widowControl/>
              <w:jc w:val="center"/>
              <w:rPr>
                <w:rFonts w:ascii="宋体" w:hAnsi="宋体" w:cs="宋体"/>
                <w:sz w:val="22"/>
              </w:rPr>
            </w:pPr>
            <w:r>
              <w:rPr>
                <w:rFonts w:hint="eastAsia" w:ascii="宋体" w:hAnsi="宋体" w:cs="宋体"/>
                <w:sz w:val="22"/>
              </w:rPr>
              <w:t>目标规划</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2</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1.学科、专科建设规划目标明确，制定人才培养计划并实施的，得2 分；                                            2.制定建设目标规划，年度计划未完成的，得1分</w:t>
            </w:r>
            <w:r>
              <w:rPr>
                <w:rFonts w:hint="eastAsia" w:ascii="宋体" w:hAnsi="宋体" w:cs="宋体" w:eastAsiaTheme="minorEastAsia"/>
                <w:sz w:val="22"/>
                <w:lang w:eastAsia="zh-CN"/>
              </w:rPr>
              <w:t>；</w:t>
            </w:r>
            <w:r>
              <w:rPr>
                <w:rFonts w:hint="eastAsia" w:ascii="宋体" w:hAnsi="宋体" w:cs="宋体"/>
                <w:sz w:val="22"/>
                <w:lang w:eastAsia="zh-CN"/>
              </w:rPr>
              <w:t xml:space="preserve">            3.建设目标不明确或未实施的，不得分</w:t>
            </w:r>
          </w:p>
        </w:tc>
        <w:tc>
          <w:tcPr>
            <w:tcW w:w="709" w:type="dxa"/>
            <w:shd w:val="clear" w:color="auto" w:fill="auto"/>
            <w:noWrap/>
            <w:vAlign w:val="center"/>
          </w:tcPr>
          <w:p>
            <w:pPr>
              <w:widowControl/>
              <w:rPr>
                <w:rFonts w:ascii="宋体" w:hAnsi="宋体" w:cs="宋体"/>
                <w:sz w:val="22"/>
                <w:lang w:eastAsia="zh-CN"/>
              </w:rPr>
            </w:pPr>
            <w:r>
              <w:rPr>
                <w:rFonts w:hint="eastAsia" w:ascii="宋体" w:hAnsi="宋体" w:cs="宋体"/>
                <w:sz w:val="22"/>
                <w:lang w:eastAsia="zh-CN"/>
              </w:rPr>
              <w:t>　</w:t>
            </w: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8"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12</w:t>
            </w:r>
          </w:p>
        </w:tc>
        <w:tc>
          <w:tcPr>
            <w:tcW w:w="852" w:type="dxa"/>
            <w:vMerge w:val="continue"/>
            <w:vAlign w:val="center"/>
          </w:tcPr>
          <w:p>
            <w:pPr>
              <w:widowControl/>
              <w:rPr>
                <w:rFonts w:ascii="宋体" w:hAnsi="宋体" w:cs="宋体"/>
                <w:sz w:val="22"/>
                <w:lang w:eastAsia="zh-CN"/>
              </w:rPr>
            </w:pPr>
          </w:p>
        </w:tc>
        <w:tc>
          <w:tcPr>
            <w:tcW w:w="1228" w:type="dxa"/>
            <w:vMerge w:val="continue"/>
            <w:vAlign w:val="center"/>
          </w:tcPr>
          <w:p>
            <w:pPr>
              <w:widowControl/>
              <w:rPr>
                <w:rFonts w:ascii="宋体" w:hAnsi="宋体" w:cs="宋体"/>
                <w:sz w:val="22"/>
                <w:lang w:eastAsia="zh-CN"/>
              </w:rPr>
            </w:pPr>
          </w:p>
        </w:tc>
        <w:tc>
          <w:tcPr>
            <w:tcW w:w="2835"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带头人培养</w:t>
            </w:r>
          </w:p>
        </w:tc>
        <w:tc>
          <w:tcPr>
            <w:tcW w:w="709"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2</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1.</w:t>
            </w:r>
            <w:r>
              <w:rPr>
                <w:rFonts w:hint="eastAsia" w:ascii="宋体" w:hAnsi="宋体" w:cs="宋体"/>
                <w:spacing w:val="-8"/>
                <w:sz w:val="22"/>
                <w:lang w:eastAsia="zh-CN"/>
              </w:rPr>
              <w:t>明确学科或专科带头人并组织实施的，得2分；</w:t>
            </w:r>
            <w:r>
              <w:rPr>
                <w:rFonts w:hint="eastAsia" w:ascii="宋体" w:hAnsi="宋体" w:cs="宋体"/>
                <w:sz w:val="22"/>
                <w:lang w:eastAsia="zh-CN"/>
              </w:rPr>
              <w:br w:type="textWrapping"/>
            </w:r>
            <w:r>
              <w:rPr>
                <w:rFonts w:hint="eastAsia" w:ascii="宋体" w:hAnsi="宋体" w:cs="宋体"/>
                <w:sz w:val="22"/>
                <w:lang w:eastAsia="zh-CN"/>
              </w:rPr>
              <w:t>2.有但少于规定要求的，得1分；</w:t>
            </w:r>
            <w:r>
              <w:rPr>
                <w:rFonts w:hint="eastAsia" w:ascii="宋体" w:hAnsi="宋体" w:cs="宋体"/>
                <w:sz w:val="22"/>
                <w:lang w:eastAsia="zh-CN"/>
              </w:rPr>
              <w:br w:type="textWrapping"/>
            </w:r>
            <w:r>
              <w:rPr>
                <w:rFonts w:hint="eastAsia" w:ascii="宋体" w:hAnsi="宋体" w:cs="宋体"/>
                <w:sz w:val="22"/>
                <w:lang w:eastAsia="zh-CN"/>
              </w:rPr>
              <w:t>3.未制定并实施学科带头人计划的，不得分</w:t>
            </w:r>
          </w:p>
        </w:tc>
        <w:tc>
          <w:tcPr>
            <w:tcW w:w="709" w:type="dxa"/>
            <w:shd w:val="clear" w:color="auto" w:fill="auto"/>
            <w:noWrap/>
            <w:vAlign w:val="center"/>
          </w:tcPr>
          <w:p>
            <w:pPr>
              <w:widowControl/>
              <w:rPr>
                <w:rFonts w:ascii="宋体" w:hAnsi="宋体" w:cs="宋体"/>
                <w:sz w:val="22"/>
                <w:lang w:eastAsia="zh-CN"/>
              </w:rPr>
            </w:pPr>
            <w:r>
              <w:rPr>
                <w:rFonts w:hint="eastAsia" w:ascii="宋体" w:hAnsi="宋体" w:cs="宋体"/>
                <w:sz w:val="22"/>
                <w:lang w:eastAsia="zh-CN"/>
              </w:rPr>
              <w:t>　</w:t>
            </w: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438"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13</w:t>
            </w:r>
          </w:p>
        </w:tc>
        <w:tc>
          <w:tcPr>
            <w:tcW w:w="852" w:type="dxa"/>
            <w:vMerge w:val="continue"/>
            <w:vAlign w:val="center"/>
          </w:tcPr>
          <w:p>
            <w:pPr>
              <w:widowControl/>
              <w:rPr>
                <w:rFonts w:ascii="宋体" w:hAnsi="宋体" w:cs="宋体"/>
                <w:sz w:val="22"/>
                <w:lang w:eastAsia="zh-CN"/>
              </w:rPr>
            </w:pPr>
          </w:p>
        </w:tc>
        <w:tc>
          <w:tcPr>
            <w:tcW w:w="1228" w:type="dxa"/>
            <w:vMerge w:val="continue"/>
            <w:vAlign w:val="center"/>
          </w:tcPr>
          <w:p>
            <w:pPr>
              <w:widowControl/>
              <w:rPr>
                <w:rFonts w:ascii="宋体" w:hAnsi="宋体" w:cs="宋体"/>
                <w:sz w:val="22"/>
                <w:lang w:eastAsia="zh-CN"/>
              </w:rPr>
            </w:pPr>
          </w:p>
        </w:tc>
        <w:tc>
          <w:tcPr>
            <w:tcW w:w="2835"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接受人员培训</w:t>
            </w:r>
          </w:p>
        </w:tc>
        <w:tc>
          <w:tcPr>
            <w:tcW w:w="709"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4</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1.每年接受下级医疗机构单个人员进修时间大于</w:t>
            </w:r>
            <w:r>
              <w:rPr>
                <w:rFonts w:hint="eastAsia" w:ascii="宋体" w:hAnsi="宋体" w:cs="宋体" w:eastAsiaTheme="minorEastAsia"/>
                <w:sz w:val="22"/>
                <w:lang w:eastAsia="zh-CN"/>
              </w:rPr>
              <w:t>2</w:t>
            </w:r>
            <w:r>
              <w:rPr>
                <w:rFonts w:hint="eastAsia" w:ascii="宋体" w:hAnsi="宋体" w:cs="宋体"/>
                <w:sz w:val="22"/>
                <w:lang w:eastAsia="zh-CN"/>
              </w:rPr>
              <w:t>个月（连续），且人数不低于1人，得4分；</w:t>
            </w:r>
          </w:p>
          <w:p>
            <w:pPr>
              <w:widowControl/>
              <w:rPr>
                <w:rFonts w:ascii="宋体" w:hAnsi="宋体" w:cs="宋体"/>
                <w:sz w:val="22"/>
                <w:lang w:eastAsia="zh-CN"/>
              </w:rPr>
            </w:pPr>
            <w:r>
              <w:rPr>
                <w:rFonts w:hint="eastAsia" w:ascii="宋体" w:hAnsi="宋体" w:cs="宋体"/>
                <w:sz w:val="22"/>
                <w:lang w:eastAsia="zh-CN"/>
              </w:rPr>
              <w:t>2.人数不低于1人，且连续时间不低于1个月的，得2分；</w:t>
            </w:r>
          </w:p>
          <w:p>
            <w:pPr>
              <w:widowControl/>
              <w:rPr>
                <w:rFonts w:ascii="宋体" w:hAnsi="宋体" w:cs="宋体"/>
                <w:sz w:val="22"/>
                <w:lang w:eastAsia="zh-CN"/>
              </w:rPr>
            </w:pPr>
            <w:r>
              <w:rPr>
                <w:rFonts w:hint="eastAsia" w:ascii="宋体" w:hAnsi="宋体" w:cs="宋体"/>
                <w:sz w:val="22"/>
                <w:lang w:eastAsia="zh-CN"/>
              </w:rPr>
              <w:t>3.人数低于1人，或连续时间低于1个月的，不得分</w:t>
            </w:r>
          </w:p>
        </w:tc>
        <w:tc>
          <w:tcPr>
            <w:tcW w:w="709" w:type="dxa"/>
            <w:shd w:val="clear" w:color="auto" w:fill="auto"/>
            <w:noWrap/>
            <w:vAlign w:val="center"/>
          </w:tcPr>
          <w:p>
            <w:pPr>
              <w:widowControl/>
              <w:rPr>
                <w:rFonts w:ascii="宋体" w:hAnsi="宋体" w:cs="宋体"/>
                <w:sz w:val="22"/>
                <w:lang w:eastAsia="zh-CN"/>
              </w:rPr>
            </w:pPr>
            <w:r>
              <w:rPr>
                <w:rFonts w:hint="eastAsia" w:ascii="宋体" w:hAnsi="宋体" w:cs="宋体"/>
                <w:sz w:val="22"/>
                <w:lang w:eastAsia="zh-CN"/>
              </w:rPr>
              <w:t>　</w:t>
            </w: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14</w:t>
            </w:r>
          </w:p>
        </w:tc>
        <w:tc>
          <w:tcPr>
            <w:tcW w:w="852" w:type="dxa"/>
            <w:vMerge w:val="continue"/>
            <w:vAlign w:val="center"/>
          </w:tcPr>
          <w:p>
            <w:pPr>
              <w:widowControl/>
              <w:rPr>
                <w:rFonts w:ascii="宋体" w:hAnsi="宋体" w:cs="宋体"/>
                <w:sz w:val="22"/>
              </w:rPr>
            </w:pPr>
          </w:p>
        </w:tc>
        <w:tc>
          <w:tcPr>
            <w:tcW w:w="1228" w:type="dxa"/>
            <w:vMerge w:val="continue"/>
            <w:vAlign w:val="center"/>
          </w:tcPr>
          <w:p>
            <w:pPr>
              <w:widowControl/>
              <w:rPr>
                <w:rFonts w:ascii="宋体" w:hAnsi="宋体" w:cs="宋体"/>
                <w:sz w:val="22"/>
              </w:rPr>
            </w:pPr>
          </w:p>
        </w:tc>
        <w:tc>
          <w:tcPr>
            <w:tcW w:w="2835" w:type="dxa"/>
            <w:shd w:val="clear" w:color="auto" w:fill="auto"/>
            <w:noWrap/>
            <w:vAlign w:val="center"/>
          </w:tcPr>
          <w:p>
            <w:pPr>
              <w:widowControl/>
              <w:jc w:val="center"/>
              <w:rPr>
                <w:rFonts w:ascii="宋体" w:hAnsi="宋体" w:cs="宋体"/>
                <w:sz w:val="22"/>
              </w:rPr>
            </w:pPr>
            <w:r>
              <w:rPr>
                <w:rFonts w:hint="eastAsia" w:ascii="宋体" w:hAnsi="宋体" w:cs="宋体"/>
                <w:sz w:val="22"/>
              </w:rPr>
              <w:t>学术讲座</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2</w:t>
            </w:r>
          </w:p>
        </w:tc>
        <w:tc>
          <w:tcPr>
            <w:tcW w:w="6237" w:type="dxa"/>
            <w:shd w:val="clear" w:color="auto" w:fill="auto"/>
            <w:vAlign w:val="center"/>
          </w:tcPr>
          <w:p>
            <w:pPr>
              <w:widowControl/>
              <w:rPr>
                <w:rFonts w:ascii="宋体" w:hAnsi="宋体" w:cs="宋体" w:eastAsiaTheme="minorEastAsia"/>
                <w:sz w:val="22"/>
                <w:lang w:eastAsia="zh-CN"/>
              </w:rPr>
            </w:pPr>
            <w:r>
              <w:rPr>
                <w:rFonts w:hint="eastAsia" w:ascii="宋体" w:hAnsi="宋体" w:cs="宋体"/>
                <w:sz w:val="22"/>
                <w:lang w:eastAsia="zh-CN"/>
              </w:rPr>
              <w:t>1.在下级医养结合机构或所在地举办与扶持学科</w:t>
            </w:r>
            <w:r>
              <w:rPr>
                <w:rFonts w:hint="eastAsia" w:ascii="宋体" w:hAnsi="宋体" w:cs="宋体" w:eastAsiaTheme="minorEastAsia"/>
                <w:sz w:val="22"/>
                <w:lang w:eastAsia="zh-CN"/>
              </w:rPr>
              <w:t>专科有关的学术</w:t>
            </w:r>
            <w:r>
              <w:rPr>
                <w:rFonts w:hint="eastAsia" w:ascii="宋体" w:hAnsi="宋体" w:cs="宋体"/>
                <w:sz w:val="22"/>
                <w:lang w:eastAsia="zh-CN"/>
              </w:rPr>
              <w:t>会议、学术讲座不少于2次/年，得2分；</w:t>
            </w:r>
          </w:p>
          <w:p>
            <w:pPr>
              <w:widowControl/>
              <w:rPr>
                <w:rFonts w:ascii="宋体" w:hAnsi="宋体" w:cs="宋体"/>
                <w:sz w:val="22"/>
                <w:lang w:eastAsia="zh-CN"/>
              </w:rPr>
            </w:pPr>
            <w:r>
              <w:rPr>
                <w:rFonts w:hint="eastAsia" w:ascii="宋体" w:hAnsi="宋体" w:cs="宋体"/>
                <w:sz w:val="22"/>
                <w:lang w:eastAsia="zh-CN"/>
              </w:rPr>
              <w:t>2.未开展或次数少于规定次数的，不得分</w:t>
            </w:r>
          </w:p>
        </w:tc>
        <w:tc>
          <w:tcPr>
            <w:tcW w:w="709" w:type="dxa"/>
            <w:shd w:val="clear" w:color="auto" w:fill="auto"/>
            <w:noWrap/>
            <w:vAlign w:val="center"/>
          </w:tcPr>
          <w:p>
            <w:pPr>
              <w:widowControl/>
              <w:rPr>
                <w:rFonts w:ascii="宋体" w:hAnsi="宋体" w:cs="宋体"/>
                <w:sz w:val="22"/>
                <w:lang w:eastAsia="zh-CN"/>
              </w:rPr>
            </w:pPr>
            <w:r>
              <w:rPr>
                <w:rFonts w:hint="eastAsia" w:ascii="宋体" w:hAnsi="宋体" w:cs="宋体"/>
                <w:sz w:val="22"/>
                <w:lang w:eastAsia="zh-CN"/>
              </w:rPr>
              <w:t>　</w:t>
            </w: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15</w:t>
            </w:r>
          </w:p>
        </w:tc>
        <w:tc>
          <w:tcPr>
            <w:tcW w:w="852" w:type="dxa"/>
            <w:vMerge w:val="restart"/>
            <w:shd w:val="clear" w:color="auto" w:fill="auto"/>
            <w:noWrap/>
            <w:vAlign w:val="center"/>
          </w:tcPr>
          <w:p>
            <w:pPr>
              <w:widowControl/>
              <w:jc w:val="center"/>
              <w:rPr>
                <w:rFonts w:ascii="宋体" w:hAnsi="宋体" w:cs="宋体" w:eastAsiaTheme="minorEastAsia"/>
                <w:sz w:val="22"/>
                <w:lang w:eastAsia="zh-CN"/>
              </w:rPr>
            </w:pPr>
            <w:r>
              <w:rPr>
                <w:rFonts w:hint="eastAsia" w:ascii="宋体" w:hAnsi="宋体" w:cs="宋体"/>
                <w:sz w:val="22"/>
              </w:rPr>
              <w:t>工作成效</w:t>
            </w:r>
          </w:p>
          <w:p>
            <w:pPr>
              <w:widowControl/>
              <w:jc w:val="center"/>
              <w:rPr>
                <w:rFonts w:ascii="宋体" w:hAnsi="宋体" w:cs="宋体" w:eastAsiaTheme="minorEastAsia"/>
                <w:sz w:val="22"/>
                <w:lang w:eastAsia="zh-CN"/>
              </w:rPr>
            </w:pPr>
            <w:r>
              <w:rPr>
                <w:rFonts w:hint="eastAsia" w:ascii="宋体" w:hAnsi="宋体" w:cs="宋体" w:eastAsiaTheme="minorEastAsia"/>
                <w:sz w:val="22"/>
                <w:lang w:eastAsia="zh-CN"/>
              </w:rPr>
              <w:t>（31分）</w:t>
            </w:r>
          </w:p>
        </w:tc>
        <w:tc>
          <w:tcPr>
            <w:tcW w:w="1228" w:type="dxa"/>
            <w:vMerge w:val="restart"/>
            <w:shd w:val="clear" w:color="auto" w:fill="auto"/>
            <w:noWrap/>
            <w:vAlign w:val="center"/>
          </w:tcPr>
          <w:p>
            <w:pPr>
              <w:widowControl/>
              <w:jc w:val="center"/>
              <w:rPr>
                <w:rFonts w:ascii="宋体" w:hAnsi="宋体" w:cs="宋体"/>
                <w:sz w:val="22"/>
              </w:rPr>
            </w:pPr>
            <w:r>
              <w:rPr>
                <w:rFonts w:hint="eastAsia" w:ascii="宋体" w:hAnsi="宋体" w:cs="宋体"/>
                <w:sz w:val="22"/>
              </w:rPr>
              <w:t>能力提升</w:t>
            </w:r>
          </w:p>
        </w:tc>
        <w:tc>
          <w:tcPr>
            <w:tcW w:w="2835"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各成员单位门诊、住院人次变化及患者病种分布</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5</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各成员单位汇总提供。相关收治情况更加接近其功能定位得5分，否则不得分。</w:t>
            </w:r>
          </w:p>
        </w:tc>
        <w:tc>
          <w:tcPr>
            <w:tcW w:w="709" w:type="dxa"/>
            <w:shd w:val="clear" w:color="auto" w:fill="auto"/>
            <w:vAlign w:val="center"/>
          </w:tcPr>
          <w:p>
            <w:pPr>
              <w:widowControl/>
              <w:rPr>
                <w:rFonts w:ascii="宋体" w:hAnsi="宋体" w:cs="宋体"/>
                <w:sz w:val="22"/>
                <w:lang w:eastAsia="zh-CN"/>
              </w:rPr>
            </w:pP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38" w:type="dxa"/>
            <w:shd w:val="clear" w:color="auto" w:fill="auto"/>
            <w:noWrap/>
            <w:vAlign w:val="center"/>
          </w:tcPr>
          <w:p>
            <w:pPr>
              <w:widowControl/>
              <w:jc w:val="center"/>
              <w:rPr>
                <w:rFonts w:ascii="宋体" w:hAnsi="宋体" w:cs="宋体"/>
                <w:sz w:val="22"/>
                <w:lang w:eastAsia="zh-CN"/>
              </w:rPr>
            </w:pPr>
          </w:p>
        </w:tc>
        <w:tc>
          <w:tcPr>
            <w:tcW w:w="852" w:type="dxa"/>
            <w:vMerge w:val="continue"/>
            <w:vAlign w:val="center"/>
          </w:tcPr>
          <w:p>
            <w:pPr>
              <w:widowControl/>
              <w:rPr>
                <w:rFonts w:ascii="宋体" w:hAnsi="宋体" w:cs="宋体"/>
                <w:sz w:val="22"/>
                <w:lang w:eastAsia="zh-CN"/>
              </w:rPr>
            </w:pPr>
          </w:p>
        </w:tc>
        <w:tc>
          <w:tcPr>
            <w:tcW w:w="1228" w:type="dxa"/>
            <w:vMerge w:val="continue"/>
            <w:vAlign w:val="center"/>
          </w:tcPr>
          <w:p>
            <w:pPr>
              <w:widowControl/>
              <w:rPr>
                <w:rFonts w:ascii="宋体" w:hAnsi="宋体" w:cs="宋体"/>
                <w:sz w:val="22"/>
                <w:lang w:eastAsia="zh-CN"/>
              </w:rPr>
            </w:pPr>
          </w:p>
        </w:tc>
        <w:tc>
          <w:tcPr>
            <w:tcW w:w="2835" w:type="dxa"/>
            <w:shd w:val="clear" w:color="auto" w:fill="auto"/>
            <w:noWrap/>
            <w:vAlign w:val="center"/>
          </w:tcPr>
          <w:p>
            <w:pPr>
              <w:widowControl/>
              <w:jc w:val="center"/>
              <w:rPr>
                <w:rFonts w:ascii="宋体" w:hAnsi="宋体" w:cs="宋体" w:eastAsiaTheme="minorEastAsia"/>
                <w:sz w:val="22"/>
                <w:lang w:eastAsia="zh-CN"/>
              </w:rPr>
            </w:pPr>
            <w:r>
              <w:rPr>
                <w:rFonts w:hint="eastAsia" w:ascii="宋体" w:hAnsi="宋体" w:cs="宋体" w:eastAsiaTheme="minorEastAsia"/>
                <w:sz w:val="22"/>
                <w:lang w:eastAsia="zh-CN"/>
              </w:rPr>
              <w:t>医养结合机构规范开展机构内老年人常见病、多发病诊疗和慢性病管理工作</w:t>
            </w:r>
          </w:p>
        </w:tc>
        <w:tc>
          <w:tcPr>
            <w:tcW w:w="709" w:type="dxa"/>
            <w:shd w:val="clear" w:color="auto" w:fill="auto"/>
            <w:noWrap/>
            <w:vAlign w:val="center"/>
          </w:tcPr>
          <w:p>
            <w:pPr>
              <w:widowControl/>
              <w:jc w:val="center"/>
              <w:rPr>
                <w:rFonts w:ascii="宋体" w:hAnsi="宋体" w:cs="宋体" w:eastAsiaTheme="minorEastAsia"/>
                <w:sz w:val="22"/>
                <w:lang w:eastAsia="zh-CN"/>
              </w:rPr>
            </w:pPr>
            <w:r>
              <w:rPr>
                <w:rFonts w:hint="eastAsia" w:ascii="宋体" w:hAnsi="宋体" w:cs="宋体" w:eastAsiaTheme="minorEastAsia"/>
                <w:sz w:val="22"/>
                <w:lang w:eastAsia="zh-CN"/>
              </w:rPr>
              <w:t>6</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1.</w:t>
            </w:r>
            <w:r>
              <w:rPr>
                <w:rFonts w:hint="eastAsia" w:ascii="宋体" w:hAnsi="宋体" w:cs="宋体" w:eastAsiaTheme="minorEastAsia"/>
                <w:sz w:val="22"/>
                <w:lang w:eastAsia="zh-CN"/>
              </w:rPr>
              <w:t>规范</w:t>
            </w:r>
            <w:r>
              <w:rPr>
                <w:rFonts w:hint="eastAsia" w:ascii="宋体" w:hAnsi="宋体" w:cs="宋体"/>
                <w:sz w:val="22"/>
                <w:lang w:eastAsia="zh-CN"/>
              </w:rPr>
              <w:t>开展</w:t>
            </w:r>
            <w:r>
              <w:rPr>
                <w:rFonts w:hint="eastAsia" w:ascii="宋体" w:hAnsi="宋体" w:cs="宋体" w:eastAsiaTheme="minorEastAsia"/>
                <w:sz w:val="22"/>
                <w:lang w:eastAsia="zh-CN"/>
              </w:rPr>
              <w:t>开展机构内老年人常见病、多发病诊疗和慢性病管理工作</w:t>
            </w:r>
            <w:r>
              <w:rPr>
                <w:rFonts w:hint="eastAsia" w:ascii="宋体" w:hAnsi="宋体" w:cs="宋体"/>
                <w:sz w:val="22"/>
                <w:lang w:eastAsia="zh-CN"/>
              </w:rPr>
              <w:t>，得</w:t>
            </w:r>
            <w:r>
              <w:rPr>
                <w:rFonts w:hint="eastAsia" w:ascii="宋体" w:hAnsi="宋体" w:cs="宋体" w:eastAsiaTheme="minorEastAsia"/>
                <w:sz w:val="22"/>
                <w:lang w:eastAsia="zh-CN"/>
              </w:rPr>
              <w:t>6</w:t>
            </w:r>
            <w:r>
              <w:rPr>
                <w:rFonts w:hint="eastAsia" w:ascii="宋体" w:hAnsi="宋体" w:cs="宋体"/>
                <w:sz w:val="22"/>
                <w:lang w:eastAsia="zh-CN"/>
              </w:rPr>
              <w:t>分；</w:t>
            </w:r>
            <w:r>
              <w:rPr>
                <w:rFonts w:hint="eastAsia" w:ascii="宋体" w:hAnsi="宋体" w:cs="宋体"/>
                <w:sz w:val="22"/>
                <w:lang w:eastAsia="zh-CN"/>
              </w:rPr>
              <w:br w:type="textWrapping"/>
            </w:r>
            <w:r>
              <w:rPr>
                <w:rFonts w:hint="eastAsia" w:ascii="宋体" w:hAnsi="宋体" w:cs="宋体"/>
                <w:sz w:val="22"/>
                <w:lang w:eastAsia="zh-CN"/>
              </w:rPr>
              <w:t>2.开展</w:t>
            </w:r>
            <w:r>
              <w:rPr>
                <w:rFonts w:hint="eastAsia" w:ascii="宋体" w:hAnsi="宋体" w:cs="宋体" w:eastAsiaTheme="minorEastAsia"/>
                <w:sz w:val="22"/>
                <w:lang w:eastAsia="zh-CN"/>
              </w:rPr>
              <w:t>但欠规范</w:t>
            </w:r>
            <w:r>
              <w:rPr>
                <w:rFonts w:hint="eastAsia" w:ascii="宋体" w:hAnsi="宋体" w:cs="宋体"/>
                <w:sz w:val="22"/>
                <w:lang w:eastAsia="zh-CN"/>
              </w:rPr>
              <w:t>，</w:t>
            </w:r>
            <w:r>
              <w:rPr>
                <w:rFonts w:hint="eastAsia" w:ascii="宋体" w:hAnsi="宋体" w:cs="宋体" w:eastAsiaTheme="minorEastAsia"/>
                <w:sz w:val="22"/>
                <w:lang w:eastAsia="zh-CN"/>
              </w:rPr>
              <w:t>酌情</w:t>
            </w:r>
            <w:r>
              <w:rPr>
                <w:rFonts w:hint="eastAsia" w:ascii="宋体" w:hAnsi="宋体" w:cs="宋体"/>
                <w:sz w:val="22"/>
                <w:lang w:eastAsia="zh-CN"/>
              </w:rPr>
              <w:t>得2</w:t>
            </w:r>
            <w:r>
              <w:rPr>
                <w:rFonts w:hint="eastAsia" w:ascii="Old English Text MT" w:hAnsi="Old English Text MT" w:cs="宋体" w:eastAsiaTheme="minorEastAsia"/>
                <w:sz w:val="22"/>
                <w:lang w:eastAsia="zh-CN"/>
              </w:rPr>
              <w:t>~</w:t>
            </w:r>
            <w:r>
              <w:rPr>
                <w:rFonts w:hint="eastAsia" w:ascii="宋体" w:hAnsi="宋体" w:cs="宋体" w:eastAsiaTheme="minorEastAsia"/>
                <w:sz w:val="22"/>
                <w:lang w:eastAsia="zh-CN"/>
              </w:rPr>
              <w:t>5</w:t>
            </w:r>
            <w:r>
              <w:rPr>
                <w:rFonts w:hint="eastAsia" w:ascii="宋体" w:hAnsi="宋体" w:cs="宋体"/>
                <w:sz w:val="22"/>
                <w:lang w:eastAsia="zh-CN"/>
              </w:rPr>
              <w:t>分；</w:t>
            </w:r>
            <w:r>
              <w:rPr>
                <w:rFonts w:hint="eastAsia" w:ascii="宋体" w:hAnsi="宋体" w:cs="宋体"/>
                <w:sz w:val="22"/>
                <w:lang w:eastAsia="zh-CN"/>
              </w:rPr>
              <w:br w:type="textWrapping"/>
            </w:r>
            <w:r>
              <w:rPr>
                <w:rFonts w:hint="eastAsia" w:ascii="宋体" w:hAnsi="宋体" w:cs="宋体"/>
                <w:sz w:val="22"/>
                <w:lang w:eastAsia="zh-CN"/>
              </w:rPr>
              <w:t>3.未开展的，不得分</w:t>
            </w:r>
          </w:p>
        </w:tc>
        <w:tc>
          <w:tcPr>
            <w:tcW w:w="709" w:type="dxa"/>
            <w:shd w:val="clear" w:color="auto" w:fill="auto"/>
            <w:vAlign w:val="center"/>
          </w:tcPr>
          <w:p>
            <w:pPr>
              <w:widowControl/>
              <w:rPr>
                <w:rFonts w:ascii="宋体" w:hAnsi="宋体" w:cs="宋体"/>
                <w:sz w:val="22"/>
                <w:lang w:eastAsia="zh-CN"/>
              </w:rPr>
            </w:pP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16</w:t>
            </w:r>
          </w:p>
        </w:tc>
        <w:tc>
          <w:tcPr>
            <w:tcW w:w="852" w:type="dxa"/>
            <w:vMerge w:val="continue"/>
            <w:vAlign w:val="center"/>
          </w:tcPr>
          <w:p>
            <w:pPr>
              <w:widowControl/>
              <w:rPr>
                <w:rFonts w:ascii="宋体" w:hAnsi="宋体" w:cs="宋体"/>
                <w:sz w:val="22"/>
              </w:rPr>
            </w:pPr>
          </w:p>
        </w:tc>
        <w:tc>
          <w:tcPr>
            <w:tcW w:w="1228" w:type="dxa"/>
            <w:vMerge w:val="continue"/>
            <w:vAlign w:val="center"/>
          </w:tcPr>
          <w:p>
            <w:pPr>
              <w:widowControl/>
              <w:rPr>
                <w:rFonts w:ascii="宋体" w:hAnsi="宋体" w:cs="宋体"/>
                <w:sz w:val="22"/>
              </w:rPr>
            </w:pPr>
          </w:p>
        </w:tc>
        <w:tc>
          <w:tcPr>
            <w:tcW w:w="2835"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医</w:t>
            </w:r>
            <w:r>
              <w:rPr>
                <w:rFonts w:hint="eastAsia" w:ascii="宋体" w:hAnsi="宋体" w:cs="宋体" w:eastAsiaTheme="minorEastAsia"/>
                <w:sz w:val="22"/>
                <w:lang w:eastAsia="zh-CN"/>
              </w:rPr>
              <w:t>养结合机构开展新技术、新项目数量</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5</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1.开展新技术、新项目2项（含）以上，得5分；</w:t>
            </w:r>
            <w:r>
              <w:rPr>
                <w:rFonts w:hint="eastAsia" w:ascii="宋体" w:hAnsi="宋体" w:cs="宋体"/>
                <w:sz w:val="22"/>
                <w:lang w:eastAsia="zh-CN"/>
              </w:rPr>
              <w:br w:type="textWrapping"/>
            </w:r>
            <w:r>
              <w:rPr>
                <w:rFonts w:hint="eastAsia" w:ascii="宋体" w:hAnsi="宋体" w:cs="宋体"/>
                <w:sz w:val="22"/>
                <w:lang w:eastAsia="zh-CN"/>
              </w:rPr>
              <w:t>2.开展少于2项的，得2分；</w:t>
            </w:r>
            <w:r>
              <w:rPr>
                <w:rFonts w:hint="eastAsia" w:ascii="宋体" w:hAnsi="宋体" w:cs="宋体"/>
                <w:sz w:val="22"/>
                <w:lang w:eastAsia="zh-CN"/>
              </w:rPr>
              <w:br w:type="textWrapping"/>
            </w:r>
            <w:r>
              <w:rPr>
                <w:rFonts w:hint="eastAsia" w:ascii="宋体" w:hAnsi="宋体" w:cs="宋体"/>
                <w:sz w:val="22"/>
                <w:lang w:eastAsia="zh-CN"/>
              </w:rPr>
              <w:t>3.未开展的，不得分</w:t>
            </w:r>
          </w:p>
        </w:tc>
        <w:tc>
          <w:tcPr>
            <w:tcW w:w="709" w:type="dxa"/>
            <w:shd w:val="clear" w:color="auto" w:fill="auto"/>
            <w:vAlign w:val="center"/>
          </w:tcPr>
          <w:p>
            <w:pPr>
              <w:widowControl/>
              <w:rPr>
                <w:rFonts w:ascii="宋体" w:hAnsi="宋体" w:cs="宋体"/>
                <w:sz w:val="22"/>
                <w:lang w:eastAsia="zh-CN"/>
              </w:rPr>
            </w:pP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17</w:t>
            </w:r>
          </w:p>
        </w:tc>
        <w:tc>
          <w:tcPr>
            <w:tcW w:w="852" w:type="dxa"/>
            <w:vMerge w:val="continue"/>
            <w:vAlign w:val="center"/>
          </w:tcPr>
          <w:p>
            <w:pPr>
              <w:widowControl/>
              <w:rPr>
                <w:rFonts w:ascii="宋体" w:hAnsi="宋体" w:cs="宋体"/>
                <w:sz w:val="22"/>
              </w:rPr>
            </w:pPr>
          </w:p>
        </w:tc>
        <w:tc>
          <w:tcPr>
            <w:tcW w:w="1228" w:type="dxa"/>
            <w:vMerge w:val="restart"/>
            <w:shd w:val="clear" w:color="auto" w:fill="auto"/>
            <w:noWrap/>
            <w:vAlign w:val="center"/>
          </w:tcPr>
          <w:p>
            <w:pPr>
              <w:widowControl/>
              <w:jc w:val="center"/>
              <w:rPr>
                <w:rFonts w:ascii="宋体" w:hAnsi="宋体" w:cs="宋体"/>
                <w:sz w:val="22"/>
              </w:rPr>
            </w:pPr>
            <w:r>
              <w:rPr>
                <w:rFonts w:hint="eastAsia" w:ascii="宋体" w:hAnsi="宋体" w:cs="宋体"/>
                <w:sz w:val="22"/>
              </w:rPr>
              <w:t>医疗机构</w:t>
            </w:r>
          </w:p>
          <w:p>
            <w:pPr>
              <w:widowControl/>
              <w:jc w:val="center"/>
              <w:rPr>
                <w:rFonts w:ascii="宋体" w:hAnsi="宋体" w:cs="宋体"/>
                <w:sz w:val="22"/>
              </w:rPr>
            </w:pPr>
            <w:r>
              <w:rPr>
                <w:rFonts w:hint="eastAsia" w:ascii="宋体" w:hAnsi="宋体" w:cs="宋体"/>
                <w:sz w:val="22"/>
              </w:rPr>
              <w:t>管理</w:t>
            </w:r>
          </w:p>
        </w:tc>
        <w:tc>
          <w:tcPr>
            <w:tcW w:w="2835" w:type="dxa"/>
            <w:shd w:val="clear" w:color="auto" w:fill="auto"/>
            <w:noWrap/>
            <w:vAlign w:val="center"/>
          </w:tcPr>
          <w:p>
            <w:pPr>
              <w:widowControl/>
              <w:jc w:val="center"/>
              <w:rPr>
                <w:rFonts w:ascii="宋体" w:hAnsi="宋体" w:cs="宋体"/>
                <w:sz w:val="22"/>
              </w:rPr>
            </w:pPr>
            <w:r>
              <w:rPr>
                <w:rFonts w:hint="eastAsia" w:ascii="宋体" w:hAnsi="宋体" w:cs="宋体"/>
                <w:sz w:val="22"/>
              </w:rPr>
              <w:t>制度、规范等建设</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6</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1.指导医养结合机构中的医疗机构完善或更新相应的管理制度、技术规范4项（含）以上的，得6分；</w:t>
            </w:r>
            <w:r>
              <w:rPr>
                <w:rFonts w:hint="eastAsia" w:ascii="宋体" w:hAnsi="宋体" w:cs="宋体"/>
                <w:sz w:val="22"/>
                <w:lang w:eastAsia="zh-CN"/>
              </w:rPr>
              <w:br w:type="textWrapping"/>
            </w:r>
            <w:r>
              <w:rPr>
                <w:rFonts w:hint="eastAsia" w:ascii="宋体" w:hAnsi="宋体" w:cs="宋体"/>
                <w:sz w:val="22"/>
                <w:lang w:eastAsia="zh-CN"/>
              </w:rPr>
              <w:t>2.有，但少于4项的，得3分；</w:t>
            </w:r>
            <w:r>
              <w:rPr>
                <w:rFonts w:hint="eastAsia" w:ascii="宋体" w:hAnsi="宋体" w:cs="宋体"/>
                <w:sz w:val="22"/>
                <w:lang w:eastAsia="zh-CN"/>
              </w:rPr>
              <w:br w:type="textWrapping"/>
            </w:r>
            <w:r>
              <w:rPr>
                <w:rFonts w:hint="eastAsia" w:ascii="宋体" w:hAnsi="宋体" w:cs="宋体"/>
                <w:sz w:val="22"/>
                <w:lang w:eastAsia="zh-CN"/>
              </w:rPr>
              <w:t>3.未完善或未更新的，不得分</w:t>
            </w:r>
          </w:p>
        </w:tc>
        <w:tc>
          <w:tcPr>
            <w:tcW w:w="709" w:type="dxa"/>
            <w:shd w:val="clear" w:color="auto" w:fill="auto"/>
            <w:noWrap/>
            <w:vAlign w:val="center"/>
          </w:tcPr>
          <w:p>
            <w:pPr>
              <w:widowControl/>
              <w:rPr>
                <w:rFonts w:ascii="宋体" w:hAnsi="宋体" w:cs="宋体"/>
                <w:sz w:val="22"/>
                <w:lang w:eastAsia="zh-CN"/>
              </w:rPr>
            </w:pPr>
            <w:r>
              <w:rPr>
                <w:rFonts w:hint="eastAsia" w:ascii="宋体" w:hAnsi="宋体" w:cs="宋体"/>
                <w:sz w:val="22"/>
                <w:lang w:eastAsia="zh-CN"/>
              </w:rPr>
              <w:t>　</w:t>
            </w: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18</w:t>
            </w:r>
          </w:p>
        </w:tc>
        <w:tc>
          <w:tcPr>
            <w:tcW w:w="852" w:type="dxa"/>
            <w:vMerge w:val="continue"/>
            <w:vAlign w:val="center"/>
          </w:tcPr>
          <w:p>
            <w:pPr>
              <w:widowControl/>
              <w:rPr>
                <w:rFonts w:ascii="宋体" w:hAnsi="宋体" w:cs="宋体"/>
                <w:sz w:val="22"/>
              </w:rPr>
            </w:pPr>
          </w:p>
        </w:tc>
        <w:tc>
          <w:tcPr>
            <w:tcW w:w="1228" w:type="dxa"/>
            <w:vMerge w:val="continue"/>
            <w:vAlign w:val="center"/>
          </w:tcPr>
          <w:p>
            <w:pPr>
              <w:widowControl/>
              <w:rPr>
                <w:rFonts w:ascii="宋体" w:hAnsi="宋体" w:cs="宋体"/>
                <w:sz w:val="22"/>
              </w:rPr>
            </w:pPr>
          </w:p>
        </w:tc>
        <w:tc>
          <w:tcPr>
            <w:tcW w:w="2835" w:type="dxa"/>
            <w:shd w:val="clear" w:color="auto" w:fill="auto"/>
            <w:noWrap/>
            <w:vAlign w:val="center"/>
          </w:tcPr>
          <w:p>
            <w:pPr>
              <w:widowControl/>
              <w:jc w:val="center"/>
              <w:rPr>
                <w:rFonts w:ascii="宋体" w:hAnsi="宋体" w:cs="宋体"/>
                <w:sz w:val="22"/>
              </w:rPr>
            </w:pPr>
            <w:r>
              <w:rPr>
                <w:rFonts w:hint="eastAsia" w:ascii="宋体" w:hAnsi="宋体" w:cs="宋体"/>
                <w:sz w:val="22"/>
              </w:rPr>
              <w:t>信息化建设</w:t>
            </w:r>
          </w:p>
        </w:tc>
        <w:tc>
          <w:tcPr>
            <w:tcW w:w="709" w:type="dxa"/>
            <w:shd w:val="clear" w:color="auto" w:fill="auto"/>
            <w:noWrap/>
            <w:vAlign w:val="center"/>
          </w:tcPr>
          <w:p>
            <w:pPr>
              <w:widowControl/>
              <w:jc w:val="center"/>
              <w:rPr>
                <w:rFonts w:ascii="宋体" w:hAnsi="宋体" w:cs="宋体" w:eastAsiaTheme="minorEastAsia"/>
                <w:sz w:val="22"/>
                <w:lang w:eastAsia="zh-CN"/>
              </w:rPr>
            </w:pPr>
            <w:r>
              <w:rPr>
                <w:rFonts w:hint="eastAsia" w:ascii="宋体" w:hAnsi="宋体" w:cs="宋体" w:eastAsiaTheme="minorEastAsia"/>
                <w:sz w:val="22"/>
                <w:lang w:eastAsia="zh-CN"/>
              </w:rPr>
              <w:t>5</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1.</w:t>
            </w:r>
            <w:r>
              <w:rPr>
                <w:rFonts w:hint="eastAsia" w:ascii="宋体" w:hAnsi="宋体" w:cs="宋体" w:eastAsiaTheme="minorEastAsia"/>
                <w:sz w:val="22"/>
                <w:lang w:eastAsia="zh-CN"/>
              </w:rPr>
              <w:t>医养结合机构积极配合，建立信息化双向转诊通道并正常运行得5分</w:t>
            </w:r>
            <w:r>
              <w:rPr>
                <w:rFonts w:hint="eastAsia" w:ascii="宋体" w:hAnsi="宋体" w:cs="宋体"/>
                <w:sz w:val="22"/>
                <w:lang w:eastAsia="zh-CN"/>
              </w:rPr>
              <w:t>；</w:t>
            </w:r>
            <w:r>
              <w:rPr>
                <w:rFonts w:hint="eastAsia" w:ascii="宋体" w:hAnsi="宋体" w:cs="宋体"/>
                <w:sz w:val="22"/>
                <w:lang w:eastAsia="zh-CN"/>
              </w:rPr>
              <w:br w:type="textWrapping"/>
            </w:r>
            <w:r>
              <w:rPr>
                <w:rFonts w:hint="eastAsia" w:ascii="宋体" w:hAnsi="宋体" w:cs="宋体"/>
                <w:sz w:val="22"/>
                <w:lang w:eastAsia="zh-CN"/>
              </w:rPr>
              <w:t>2.建成未运行的，得3分；</w:t>
            </w:r>
            <w:r>
              <w:rPr>
                <w:rFonts w:hint="eastAsia" w:ascii="宋体" w:hAnsi="宋体" w:cs="宋体"/>
                <w:sz w:val="22"/>
                <w:lang w:eastAsia="zh-CN"/>
              </w:rPr>
              <w:br w:type="textWrapping"/>
            </w:r>
            <w:r>
              <w:rPr>
                <w:rFonts w:hint="eastAsia" w:ascii="宋体" w:hAnsi="宋体" w:cs="宋体"/>
                <w:sz w:val="22"/>
                <w:lang w:eastAsia="zh-CN"/>
              </w:rPr>
              <w:t>3.未建立，不得分</w:t>
            </w:r>
          </w:p>
        </w:tc>
        <w:tc>
          <w:tcPr>
            <w:tcW w:w="709" w:type="dxa"/>
            <w:shd w:val="clear" w:color="auto" w:fill="auto"/>
            <w:noWrap/>
            <w:vAlign w:val="center"/>
          </w:tcPr>
          <w:p>
            <w:pPr>
              <w:widowControl/>
              <w:rPr>
                <w:rFonts w:ascii="宋体" w:hAnsi="宋体" w:cs="宋体"/>
                <w:sz w:val="22"/>
                <w:lang w:eastAsia="zh-CN"/>
              </w:rPr>
            </w:pPr>
            <w:r>
              <w:rPr>
                <w:rFonts w:hint="eastAsia" w:ascii="宋体" w:hAnsi="宋体" w:cs="宋体"/>
                <w:sz w:val="22"/>
                <w:lang w:eastAsia="zh-CN"/>
              </w:rPr>
              <w:t>　</w:t>
            </w: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19</w:t>
            </w:r>
          </w:p>
        </w:tc>
        <w:tc>
          <w:tcPr>
            <w:tcW w:w="852" w:type="dxa"/>
            <w:vMerge w:val="continue"/>
            <w:vAlign w:val="center"/>
          </w:tcPr>
          <w:p>
            <w:pPr>
              <w:widowControl/>
              <w:rPr>
                <w:rFonts w:ascii="宋体" w:hAnsi="宋体" w:cs="宋体"/>
                <w:sz w:val="22"/>
              </w:rPr>
            </w:pPr>
          </w:p>
        </w:tc>
        <w:tc>
          <w:tcPr>
            <w:tcW w:w="1228" w:type="dxa"/>
            <w:vMerge w:val="continue"/>
            <w:vAlign w:val="center"/>
          </w:tcPr>
          <w:p>
            <w:pPr>
              <w:widowControl/>
              <w:rPr>
                <w:rFonts w:ascii="宋体" w:hAnsi="宋体" w:cs="宋体"/>
                <w:sz w:val="22"/>
              </w:rPr>
            </w:pPr>
          </w:p>
        </w:tc>
        <w:tc>
          <w:tcPr>
            <w:tcW w:w="2835" w:type="dxa"/>
            <w:shd w:val="clear" w:color="auto" w:fill="auto"/>
            <w:noWrap/>
            <w:vAlign w:val="center"/>
          </w:tcPr>
          <w:p>
            <w:pPr>
              <w:widowControl/>
              <w:jc w:val="center"/>
              <w:rPr>
                <w:rFonts w:ascii="宋体" w:hAnsi="宋体" w:cs="宋体"/>
                <w:sz w:val="22"/>
              </w:rPr>
            </w:pPr>
            <w:r>
              <w:rPr>
                <w:rFonts w:hint="eastAsia" w:ascii="宋体" w:hAnsi="宋体" w:cs="宋体"/>
                <w:sz w:val="22"/>
              </w:rPr>
              <w:t>资金使用</w:t>
            </w:r>
          </w:p>
        </w:tc>
        <w:tc>
          <w:tcPr>
            <w:tcW w:w="709" w:type="dxa"/>
            <w:shd w:val="clear" w:color="auto" w:fill="auto"/>
            <w:noWrap/>
            <w:vAlign w:val="center"/>
          </w:tcPr>
          <w:p>
            <w:pPr>
              <w:widowControl/>
              <w:jc w:val="center"/>
              <w:rPr>
                <w:rFonts w:ascii="宋体" w:hAnsi="宋体" w:cs="宋体" w:eastAsiaTheme="minorEastAsia"/>
                <w:sz w:val="22"/>
                <w:lang w:eastAsia="zh-CN"/>
              </w:rPr>
            </w:pPr>
            <w:r>
              <w:rPr>
                <w:rFonts w:hint="eastAsia" w:ascii="宋体" w:hAnsi="宋体" w:cs="宋体" w:eastAsiaTheme="minorEastAsia"/>
                <w:sz w:val="22"/>
                <w:lang w:eastAsia="zh-CN"/>
              </w:rPr>
              <w:t>4</w:t>
            </w:r>
          </w:p>
        </w:tc>
        <w:tc>
          <w:tcPr>
            <w:tcW w:w="6237" w:type="dxa"/>
            <w:shd w:val="clear" w:color="auto" w:fill="auto"/>
            <w:vAlign w:val="center"/>
          </w:tcPr>
          <w:p>
            <w:pPr>
              <w:widowControl/>
              <w:rPr>
                <w:rFonts w:ascii="宋体" w:cs="宋体"/>
                <w:sz w:val="22"/>
                <w:lang w:eastAsia="zh-CN"/>
              </w:rPr>
            </w:pPr>
            <w:r>
              <w:rPr>
                <w:rFonts w:ascii="宋体" w:hAnsi="宋体" w:cs="宋体"/>
                <w:sz w:val="22"/>
                <w:lang w:eastAsia="zh-CN"/>
              </w:rPr>
              <w:t>1</w:t>
            </w:r>
            <w:r>
              <w:rPr>
                <w:rFonts w:hint="eastAsia" w:ascii="宋体" w:hAnsi="宋体" w:cs="宋体"/>
                <w:sz w:val="22"/>
                <w:lang w:eastAsia="zh-CN"/>
              </w:rPr>
              <w:t>.专项资金按规定要求使用的，得</w:t>
            </w:r>
            <w:r>
              <w:rPr>
                <w:rFonts w:hint="eastAsia" w:ascii="宋体" w:hAnsi="宋体" w:cs="宋体" w:eastAsiaTheme="minorEastAsia"/>
                <w:sz w:val="22"/>
                <w:lang w:eastAsia="zh-CN"/>
              </w:rPr>
              <w:t>4</w:t>
            </w:r>
            <w:r>
              <w:rPr>
                <w:rFonts w:hint="eastAsia" w:ascii="宋体" w:hAnsi="宋体" w:cs="宋体"/>
                <w:sz w:val="22"/>
                <w:lang w:eastAsia="zh-CN"/>
              </w:rPr>
              <w:t>分；</w:t>
            </w:r>
          </w:p>
          <w:p>
            <w:pPr>
              <w:widowControl/>
              <w:rPr>
                <w:rFonts w:ascii="宋体" w:hAnsi="宋体" w:cs="宋体"/>
                <w:sz w:val="22"/>
                <w:lang w:eastAsia="zh-CN"/>
              </w:rPr>
            </w:pPr>
            <w:r>
              <w:rPr>
                <w:rFonts w:ascii="宋体" w:hAnsi="宋体" w:cs="宋体"/>
                <w:sz w:val="22"/>
                <w:lang w:eastAsia="zh-CN"/>
              </w:rPr>
              <w:t>2</w:t>
            </w:r>
            <w:r>
              <w:rPr>
                <w:rFonts w:hint="eastAsia" w:ascii="宋体" w:hAnsi="宋体" w:cs="宋体"/>
                <w:sz w:val="22"/>
                <w:lang w:eastAsia="zh-CN"/>
              </w:rPr>
              <w:t>.专项资金未使用或挪作他用，不得分</w:t>
            </w:r>
          </w:p>
        </w:tc>
        <w:tc>
          <w:tcPr>
            <w:tcW w:w="709" w:type="dxa"/>
            <w:shd w:val="clear" w:color="auto" w:fill="auto"/>
            <w:noWrap/>
            <w:vAlign w:val="center"/>
          </w:tcPr>
          <w:p>
            <w:pPr>
              <w:widowControl/>
              <w:rPr>
                <w:rFonts w:ascii="宋体" w:hAnsi="宋体" w:cs="宋体"/>
                <w:sz w:val="22"/>
                <w:lang w:eastAsia="zh-CN"/>
              </w:rPr>
            </w:pP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20</w:t>
            </w:r>
          </w:p>
        </w:tc>
        <w:tc>
          <w:tcPr>
            <w:tcW w:w="852" w:type="dxa"/>
            <w:shd w:val="clear" w:color="auto" w:fill="auto"/>
            <w:noWrap/>
            <w:vAlign w:val="center"/>
          </w:tcPr>
          <w:p>
            <w:pPr>
              <w:widowControl/>
              <w:jc w:val="center"/>
              <w:rPr>
                <w:rFonts w:ascii="宋体" w:hAnsi="宋体" w:cs="宋体" w:eastAsiaTheme="minorEastAsia"/>
                <w:sz w:val="22"/>
                <w:lang w:eastAsia="zh-CN"/>
              </w:rPr>
            </w:pPr>
            <w:r>
              <w:rPr>
                <w:rFonts w:hint="eastAsia" w:ascii="宋体" w:hAnsi="宋体" w:cs="宋体"/>
                <w:sz w:val="22"/>
              </w:rPr>
              <w:t>满意度</w:t>
            </w:r>
          </w:p>
          <w:p>
            <w:pPr>
              <w:widowControl/>
              <w:jc w:val="center"/>
              <w:rPr>
                <w:rFonts w:ascii="宋体" w:hAnsi="宋体" w:cs="宋体" w:eastAsiaTheme="minorEastAsia"/>
                <w:sz w:val="22"/>
                <w:lang w:eastAsia="zh-CN"/>
              </w:rPr>
            </w:pPr>
            <w:r>
              <w:rPr>
                <w:rFonts w:hint="eastAsia" w:ascii="宋体" w:hAnsi="宋体" w:cs="宋体" w:eastAsiaTheme="minorEastAsia"/>
                <w:sz w:val="22"/>
                <w:lang w:eastAsia="zh-CN"/>
              </w:rPr>
              <w:t>（10分）</w:t>
            </w:r>
          </w:p>
        </w:tc>
        <w:tc>
          <w:tcPr>
            <w:tcW w:w="1228" w:type="dxa"/>
            <w:shd w:val="clear" w:color="auto" w:fill="auto"/>
            <w:noWrap/>
            <w:vAlign w:val="center"/>
          </w:tcPr>
          <w:p>
            <w:pPr>
              <w:widowControl/>
              <w:jc w:val="center"/>
              <w:rPr>
                <w:rFonts w:ascii="宋体" w:hAnsi="宋体" w:cs="宋体"/>
                <w:sz w:val="22"/>
              </w:rPr>
            </w:pPr>
            <w:r>
              <w:rPr>
                <w:rFonts w:hint="eastAsia" w:ascii="宋体" w:hAnsi="宋体" w:cs="宋体"/>
                <w:sz w:val="22"/>
              </w:rPr>
              <w:t>工作满意度</w:t>
            </w:r>
          </w:p>
        </w:tc>
        <w:tc>
          <w:tcPr>
            <w:tcW w:w="2835" w:type="dxa"/>
            <w:shd w:val="clear" w:color="auto" w:fill="auto"/>
            <w:vAlign w:val="center"/>
          </w:tcPr>
          <w:p>
            <w:pPr>
              <w:widowControl/>
              <w:jc w:val="center"/>
              <w:rPr>
                <w:rFonts w:ascii="宋体" w:hAnsi="宋体" w:cs="宋体"/>
                <w:sz w:val="22"/>
                <w:lang w:eastAsia="zh-CN"/>
              </w:rPr>
            </w:pPr>
            <w:r>
              <w:rPr>
                <w:rFonts w:hint="eastAsia" w:ascii="宋体" w:hAnsi="宋体" w:cs="宋体"/>
                <w:sz w:val="22"/>
                <w:lang w:eastAsia="zh-CN"/>
              </w:rPr>
              <w:t>对试点工作的满意度调查</w:t>
            </w:r>
          </w:p>
        </w:tc>
        <w:tc>
          <w:tcPr>
            <w:tcW w:w="709" w:type="dxa"/>
            <w:shd w:val="clear" w:color="auto" w:fill="auto"/>
            <w:noWrap/>
            <w:vAlign w:val="center"/>
          </w:tcPr>
          <w:p>
            <w:pPr>
              <w:widowControl/>
              <w:jc w:val="center"/>
              <w:rPr>
                <w:rFonts w:ascii="宋体" w:hAnsi="宋体" w:cs="宋体"/>
                <w:sz w:val="22"/>
              </w:rPr>
            </w:pPr>
            <w:r>
              <w:rPr>
                <w:rFonts w:hint="eastAsia" w:ascii="宋体" w:hAnsi="宋体" w:cs="宋体"/>
                <w:sz w:val="22"/>
              </w:rPr>
              <w:t>10</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1.通过对地方卫生健康行政部门、下级医养结合机构（行政人员、患者、医务人员）调查，满意度95%以上，得10分；</w:t>
            </w:r>
            <w:r>
              <w:rPr>
                <w:rFonts w:hint="eastAsia" w:ascii="宋体" w:hAnsi="宋体" w:cs="宋体"/>
                <w:sz w:val="22"/>
                <w:lang w:eastAsia="zh-CN"/>
              </w:rPr>
              <w:br w:type="textWrapping"/>
            </w:r>
            <w:r>
              <w:rPr>
                <w:rFonts w:hint="eastAsia" w:ascii="宋体" w:hAnsi="宋体" w:cs="宋体"/>
                <w:sz w:val="22"/>
                <w:lang w:eastAsia="zh-CN"/>
              </w:rPr>
              <w:t>2.满意度每下降5个百分点，扣2分；</w:t>
            </w:r>
            <w:r>
              <w:rPr>
                <w:rFonts w:hint="eastAsia" w:ascii="宋体" w:hAnsi="宋体" w:cs="宋体"/>
                <w:sz w:val="22"/>
                <w:lang w:eastAsia="zh-CN"/>
              </w:rPr>
              <w:br w:type="textWrapping"/>
            </w:r>
            <w:r>
              <w:rPr>
                <w:rFonts w:hint="eastAsia" w:ascii="宋体" w:hAnsi="宋体" w:cs="宋体"/>
                <w:sz w:val="22"/>
                <w:lang w:eastAsia="zh-CN"/>
              </w:rPr>
              <w:t>3.满意度低于80%，不得分。</w:t>
            </w:r>
          </w:p>
          <w:p>
            <w:pPr>
              <w:widowControl/>
              <w:rPr>
                <w:rFonts w:ascii="宋体" w:hAnsi="宋体" w:cs="宋体"/>
                <w:sz w:val="22"/>
                <w:lang w:eastAsia="zh-CN"/>
              </w:rPr>
            </w:pPr>
            <w:r>
              <w:rPr>
                <w:rFonts w:hint="eastAsia" w:ascii="宋体" w:hAnsi="宋体" w:cs="宋体"/>
                <w:sz w:val="22"/>
                <w:lang w:eastAsia="zh-CN"/>
              </w:rPr>
              <w:t>注：调查表评分结果分“满意</w:t>
            </w:r>
            <w:r>
              <w:rPr>
                <w:rFonts w:ascii="宋体" w:hAnsi="宋体" w:cs="宋体"/>
                <w:sz w:val="22"/>
                <w:lang w:eastAsia="zh-CN"/>
              </w:rPr>
              <w:t>”</w:t>
            </w:r>
            <w:r>
              <w:rPr>
                <w:rFonts w:hint="eastAsia" w:ascii="宋体" w:hAnsi="宋体" w:cs="宋体"/>
                <w:sz w:val="22"/>
                <w:lang w:eastAsia="zh-CN"/>
              </w:rPr>
              <w:t>、“一般”、“不满意”三项,满意度以“满意”占比为结果</w:t>
            </w:r>
          </w:p>
        </w:tc>
        <w:tc>
          <w:tcPr>
            <w:tcW w:w="709" w:type="dxa"/>
            <w:shd w:val="clear" w:color="auto" w:fill="auto"/>
            <w:noWrap/>
            <w:vAlign w:val="center"/>
          </w:tcPr>
          <w:p>
            <w:pPr>
              <w:widowControl/>
              <w:rPr>
                <w:rFonts w:ascii="宋体" w:hAnsi="宋体" w:cs="宋体"/>
                <w:sz w:val="22"/>
                <w:lang w:eastAsia="zh-CN"/>
              </w:rPr>
            </w:pP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21</w:t>
            </w:r>
          </w:p>
        </w:tc>
        <w:tc>
          <w:tcPr>
            <w:tcW w:w="852" w:type="dxa"/>
            <w:vMerge w:val="restart"/>
            <w:shd w:val="clear" w:color="auto" w:fill="auto"/>
            <w:noWrap/>
            <w:vAlign w:val="center"/>
          </w:tcPr>
          <w:p>
            <w:pPr>
              <w:widowControl/>
              <w:jc w:val="center"/>
              <w:rPr>
                <w:rFonts w:ascii="宋体" w:hAnsi="宋体" w:cs="宋体" w:eastAsiaTheme="minorEastAsia"/>
                <w:sz w:val="22"/>
                <w:lang w:eastAsia="zh-CN"/>
              </w:rPr>
            </w:pPr>
            <w:r>
              <w:rPr>
                <w:rFonts w:hint="eastAsia" w:ascii="宋体" w:hAnsi="宋体" w:cs="宋体"/>
                <w:sz w:val="22"/>
              </w:rPr>
              <w:t>加分项</w:t>
            </w:r>
          </w:p>
          <w:p>
            <w:pPr>
              <w:widowControl/>
              <w:jc w:val="center"/>
              <w:rPr>
                <w:rFonts w:ascii="宋体" w:hAnsi="宋体" w:cs="宋体" w:eastAsiaTheme="minorEastAsia"/>
                <w:sz w:val="22"/>
                <w:lang w:eastAsia="zh-CN"/>
              </w:rPr>
            </w:pPr>
            <w:r>
              <w:rPr>
                <w:rFonts w:hint="eastAsia" w:ascii="宋体" w:hAnsi="宋体" w:cs="宋体" w:eastAsiaTheme="minorEastAsia"/>
                <w:sz w:val="22"/>
                <w:lang w:eastAsia="zh-CN"/>
              </w:rPr>
              <w:t>（6分）</w:t>
            </w:r>
          </w:p>
        </w:tc>
        <w:tc>
          <w:tcPr>
            <w:tcW w:w="1228" w:type="dxa"/>
            <w:shd w:val="clear" w:color="auto" w:fill="auto"/>
            <w:noWrap/>
            <w:vAlign w:val="center"/>
          </w:tcPr>
          <w:p>
            <w:pPr>
              <w:widowControl/>
              <w:jc w:val="center"/>
              <w:rPr>
                <w:rFonts w:ascii="宋体" w:hAnsi="宋体" w:cs="宋体"/>
                <w:sz w:val="22"/>
              </w:rPr>
            </w:pPr>
            <w:r>
              <w:rPr>
                <w:rFonts w:hint="eastAsia" w:ascii="宋体" w:hAnsi="宋体" w:cs="宋体"/>
                <w:sz w:val="22"/>
              </w:rPr>
              <w:t>典型宣传</w:t>
            </w:r>
          </w:p>
        </w:tc>
        <w:tc>
          <w:tcPr>
            <w:tcW w:w="2835" w:type="dxa"/>
            <w:shd w:val="clear" w:color="auto" w:fill="auto"/>
            <w:noWrap/>
            <w:vAlign w:val="center"/>
          </w:tcPr>
          <w:p>
            <w:pPr>
              <w:widowControl/>
              <w:jc w:val="center"/>
              <w:rPr>
                <w:rFonts w:ascii="宋体" w:hAnsi="宋体" w:cs="宋体"/>
                <w:sz w:val="22"/>
              </w:rPr>
            </w:pPr>
            <w:r>
              <w:rPr>
                <w:rFonts w:hint="eastAsia" w:ascii="宋体" w:hAnsi="宋体" w:cs="宋体"/>
                <w:sz w:val="22"/>
              </w:rPr>
              <w:t>医养紧密联合体工作</w:t>
            </w:r>
          </w:p>
        </w:tc>
        <w:tc>
          <w:tcPr>
            <w:tcW w:w="709" w:type="dxa"/>
            <w:shd w:val="clear" w:color="auto" w:fill="auto"/>
            <w:noWrap/>
            <w:vAlign w:val="center"/>
          </w:tcPr>
          <w:p>
            <w:pPr>
              <w:widowControl/>
              <w:jc w:val="center"/>
              <w:rPr>
                <w:rFonts w:ascii="宋体" w:hAnsi="宋体" w:cs="宋体" w:eastAsiaTheme="minorEastAsia"/>
                <w:sz w:val="22"/>
                <w:lang w:eastAsia="zh-CN"/>
              </w:rPr>
            </w:pPr>
            <w:r>
              <w:rPr>
                <w:rFonts w:hint="eastAsia" w:ascii="宋体" w:hAnsi="宋体" w:cs="宋体"/>
                <w:sz w:val="22"/>
              </w:rPr>
              <w:t>3</w:t>
            </w:r>
          </w:p>
        </w:tc>
        <w:tc>
          <w:tcPr>
            <w:tcW w:w="6237" w:type="dxa"/>
            <w:shd w:val="clear" w:color="auto" w:fill="auto"/>
            <w:vAlign w:val="center"/>
          </w:tcPr>
          <w:p>
            <w:pPr>
              <w:widowControl/>
              <w:rPr>
                <w:rFonts w:ascii="宋体" w:hAnsi="宋体" w:cs="宋体" w:eastAsiaTheme="minorEastAsia"/>
                <w:sz w:val="22"/>
                <w:lang w:eastAsia="zh-CN"/>
              </w:rPr>
            </w:pPr>
            <w:r>
              <w:rPr>
                <w:rFonts w:hint="eastAsia" w:ascii="宋体" w:hAnsi="宋体" w:cs="宋体"/>
                <w:sz w:val="22"/>
                <w:lang w:eastAsia="zh-CN"/>
              </w:rPr>
              <w:t>医养紧密联合体工作在市级</w:t>
            </w:r>
            <w:r>
              <w:rPr>
                <w:rFonts w:hint="eastAsia" w:ascii="宋体" w:hAnsi="宋体" w:cs="宋体" w:eastAsiaTheme="minorEastAsia"/>
                <w:sz w:val="22"/>
                <w:lang w:eastAsia="zh-CN"/>
              </w:rPr>
              <w:t>以上主要媒体上宣传报道的，或得到市级以上领导批示表扬的，加3分</w:t>
            </w:r>
          </w:p>
        </w:tc>
        <w:tc>
          <w:tcPr>
            <w:tcW w:w="709" w:type="dxa"/>
            <w:shd w:val="clear" w:color="auto" w:fill="auto"/>
            <w:noWrap/>
            <w:vAlign w:val="center"/>
          </w:tcPr>
          <w:p>
            <w:pPr>
              <w:widowControl/>
              <w:rPr>
                <w:rFonts w:ascii="宋体" w:hAnsi="宋体" w:cs="宋体"/>
                <w:sz w:val="22"/>
                <w:lang w:eastAsia="zh-CN"/>
              </w:rPr>
            </w:pPr>
          </w:p>
        </w:tc>
        <w:tc>
          <w:tcPr>
            <w:tcW w:w="1166" w:type="dxa"/>
          </w:tcPr>
          <w:p>
            <w:pPr>
              <w:widowControl/>
              <w:rPr>
                <w:rFonts w:ascii="宋体" w:hAnsi="宋体" w:cs="宋体"/>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38" w:type="dxa"/>
            <w:shd w:val="clear" w:color="auto" w:fill="auto"/>
            <w:noWrap/>
            <w:vAlign w:val="center"/>
          </w:tcPr>
          <w:p>
            <w:pPr>
              <w:widowControl/>
              <w:jc w:val="center"/>
              <w:rPr>
                <w:rFonts w:ascii="宋体" w:hAnsi="宋体" w:cs="宋体"/>
                <w:sz w:val="22"/>
              </w:rPr>
            </w:pPr>
            <w:r>
              <w:rPr>
                <w:rFonts w:hint="eastAsia" w:ascii="宋体" w:hAnsi="宋体" w:cs="宋体"/>
                <w:sz w:val="22"/>
              </w:rPr>
              <w:t>22</w:t>
            </w:r>
          </w:p>
        </w:tc>
        <w:tc>
          <w:tcPr>
            <w:tcW w:w="852" w:type="dxa"/>
            <w:vMerge w:val="continue"/>
            <w:shd w:val="clear" w:color="auto" w:fill="auto"/>
            <w:vAlign w:val="center"/>
          </w:tcPr>
          <w:p>
            <w:pPr>
              <w:widowControl/>
              <w:rPr>
                <w:rFonts w:ascii="宋体" w:hAnsi="宋体" w:cs="宋体"/>
                <w:sz w:val="22"/>
              </w:rPr>
            </w:pPr>
          </w:p>
        </w:tc>
        <w:tc>
          <w:tcPr>
            <w:tcW w:w="1228" w:type="dxa"/>
            <w:shd w:val="clear" w:color="auto" w:fill="auto"/>
            <w:noWrap/>
            <w:vAlign w:val="center"/>
          </w:tcPr>
          <w:p>
            <w:pPr>
              <w:widowControl/>
              <w:jc w:val="center"/>
              <w:rPr>
                <w:rFonts w:ascii="宋体" w:hAnsi="宋体" w:cs="宋体"/>
                <w:sz w:val="22"/>
              </w:rPr>
            </w:pPr>
            <w:r>
              <w:rPr>
                <w:rFonts w:hint="eastAsia" w:ascii="宋体" w:hAnsi="宋体" w:cs="宋体"/>
                <w:sz w:val="22"/>
              </w:rPr>
              <w:t>学科、专科建设</w:t>
            </w:r>
          </w:p>
        </w:tc>
        <w:tc>
          <w:tcPr>
            <w:tcW w:w="2835" w:type="dxa"/>
            <w:shd w:val="clear" w:color="auto" w:fill="auto"/>
            <w:noWrap/>
            <w:vAlign w:val="center"/>
          </w:tcPr>
          <w:p>
            <w:pPr>
              <w:widowControl/>
              <w:jc w:val="center"/>
              <w:rPr>
                <w:rFonts w:ascii="宋体" w:hAnsi="宋体" w:cs="宋体"/>
                <w:sz w:val="22"/>
                <w:lang w:eastAsia="zh-CN"/>
              </w:rPr>
            </w:pPr>
            <w:r>
              <w:rPr>
                <w:rFonts w:hint="eastAsia" w:ascii="宋体" w:hAnsi="宋体" w:cs="宋体"/>
                <w:sz w:val="22"/>
                <w:lang w:eastAsia="zh-CN"/>
              </w:rPr>
              <w:t>重点学科、专科和课题论文</w:t>
            </w:r>
          </w:p>
        </w:tc>
        <w:tc>
          <w:tcPr>
            <w:tcW w:w="709" w:type="dxa"/>
            <w:shd w:val="clear" w:color="auto" w:fill="auto"/>
            <w:noWrap/>
            <w:vAlign w:val="center"/>
          </w:tcPr>
          <w:p>
            <w:pPr>
              <w:widowControl/>
              <w:jc w:val="center"/>
              <w:rPr>
                <w:rFonts w:ascii="宋体" w:hAnsi="宋体" w:cs="宋体" w:eastAsiaTheme="minorEastAsia"/>
                <w:sz w:val="22"/>
                <w:lang w:eastAsia="zh-CN"/>
              </w:rPr>
            </w:pPr>
            <w:r>
              <w:rPr>
                <w:rFonts w:hint="eastAsia" w:ascii="宋体" w:hAnsi="宋体" w:cs="宋体"/>
                <w:sz w:val="22"/>
              </w:rPr>
              <w:t>3</w:t>
            </w:r>
          </w:p>
        </w:tc>
        <w:tc>
          <w:tcPr>
            <w:tcW w:w="6237" w:type="dxa"/>
            <w:shd w:val="clear" w:color="auto" w:fill="auto"/>
            <w:vAlign w:val="center"/>
          </w:tcPr>
          <w:p>
            <w:pPr>
              <w:widowControl/>
              <w:rPr>
                <w:rFonts w:ascii="宋体" w:hAnsi="宋体" w:cs="宋体"/>
                <w:sz w:val="22"/>
                <w:lang w:eastAsia="zh-CN"/>
              </w:rPr>
            </w:pPr>
            <w:r>
              <w:rPr>
                <w:rFonts w:hint="eastAsia" w:ascii="宋体" w:hAnsi="宋体" w:cs="宋体"/>
                <w:sz w:val="22"/>
                <w:lang w:eastAsia="zh-CN"/>
              </w:rPr>
              <w:t>区级及以上重点学科、专科新增1项，加1分；局级及以上科研立项1项，加1分；二级以上期刊发表论文1篇，加0.5分。</w:t>
            </w:r>
          </w:p>
        </w:tc>
        <w:tc>
          <w:tcPr>
            <w:tcW w:w="709" w:type="dxa"/>
            <w:shd w:val="clear" w:color="auto" w:fill="auto"/>
            <w:noWrap/>
            <w:vAlign w:val="center"/>
          </w:tcPr>
          <w:p>
            <w:pPr>
              <w:widowControl/>
              <w:rPr>
                <w:rFonts w:ascii="宋体" w:hAnsi="宋体" w:cs="宋体"/>
                <w:sz w:val="22"/>
                <w:lang w:eastAsia="zh-CN"/>
              </w:rPr>
            </w:pPr>
            <w:r>
              <w:rPr>
                <w:rFonts w:hint="eastAsia" w:ascii="宋体" w:hAnsi="宋体" w:cs="宋体"/>
                <w:sz w:val="22"/>
                <w:lang w:eastAsia="zh-CN"/>
              </w:rPr>
              <w:t>　</w:t>
            </w:r>
          </w:p>
        </w:tc>
        <w:tc>
          <w:tcPr>
            <w:tcW w:w="1166" w:type="dxa"/>
          </w:tcPr>
          <w:p>
            <w:pPr>
              <w:widowControl/>
              <w:rPr>
                <w:rFonts w:ascii="宋体" w:hAnsi="宋体" w:cs="宋体"/>
                <w:sz w:val="22"/>
                <w:lang w:eastAsia="zh-CN"/>
              </w:rPr>
            </w:pPr>
          </w:p>
        </w:tc>
      </w:tr>
    </w:tbl>
    <w:p>
      <w:pPr>
        <w:widowControl/>
        <w:rPr>
          <w:rFonts w:ascii="仿宋_GB2312" w:hAnsi="仿宋" w:eastAsia="仿宋_GB2312"/>
          <w:sz w:val="32"/>
          <w:szCs w:val="32"/>
          <w:lang w:eastAsia="zh-CN"/>
        </w:rPr>
      </w:pPr>
    </w:p>
    <w:sectPr>
      <w:footerReference r:id="rId6" w:type="default"/>
      <w:footerReference r:id="rId7" w:type="even"/>
      <w:pgSz w:w="16839" w:h="11907" w:orient="landscape"/>
      <w:pgMar w:top="1797" w:right="1440" w:bottom="1797" w:left="1440" w:header="1400" w:footer="1134"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文鼎小标宋简">
    <w:altName w:val="Arial Unicode MS"/>
    <w:panose1 w:val="00000000000000000000"/>
    <w:charset w:val="86"/>
    <w:family w:val="modern"/>
    <w:pitch w:val="default"/>
    <w:sig w:usb0="00000000" w:usb1="00000000" w:usb2="00000010" w:usb3="00000000" w:csb0="00040000" w:csb1="00000000"/>
  </w:font>
  <w:font w:name="Old English Text MT">
    <w:panose1 w:val="03040902040508030806"/>
    <w:charset w:val="00"/>
    <w:family w:val="script"/>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257351"/>
      <w:docPartObj>
        <w:docPartGallery w:val="AutoText"/>
      </w:docPartObj>
    </w:sdtPr>
    <w:sdtContent>
      <w:p>
        <w:pPr>
          <w:pStyle w:val="2"/>
          <w:jc w:val="right"/>
        </w:pPr>
        <w:r>
          <w:fldChar w:fldCharType="begin"/>
        </w:r>
        <w:r>
          <w:instrText xml:space="preserve">PAGE   \* MERGEFORMAT</w:instrText>
        </w:r>
        <w:r>
          <w:fldChar w:fldCharType="separate"/>
        </w:r>
        <w:r>
          <w:rPr>
            <w:lang w:val="zh-CN" w:eastAsia="zh-CN"/>
          </w:rPr>
          <w:t>1</w:t>
        </w:r>
        <w:r>
          <w:fldChar w:fldCharType="end"/>
        </w:r>
      </w:p>
    </w:sdtContent>
  </w:sdt>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eastAsia="zh-CN"/>
      </w:rPr>
      <w:t>12</w:t>
    </w:r>
    <w:r>
      <w:fldChar w:fldCharType="end"/>
    </w:r>
  </w:p>
  <w:p>
    <w:pPr>
      <w:pStyle w:val="2"/>
      <w:jc w:val="right"/>
      <w:rPr>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48" w:wrap="around" w:vAnchor="text" w:hAnchor="page" w:x="1798" w:y="61" w:anchorLock="1"/>
      <w:rPr>
        <w:rStyle w:val="7"/>
        <w:rFonts w:ascii="宋体"/>
        <w:sz w:val="28"/>
        <w:szCs w:val="28"/>
      </w:rPr>
    </w:pPr>
    <w:r>
      <w:rPr>
        <w:rStyle w:val="7"/>
        <w:rFonts w:hint="eastAsia" w:ascii="宋体" w:cs="宋体"/>
        <w:sz w:val="28"/>
        <w:szCs w:val="28"/>
      </w:rPr>
      <w:t>－</w:t>
    </w:r>
    <w:r>
      <w:rPr>
        <w:rStyle w:val="7"/>
        <w:rFonts w:ascii="宋体" w:cs="宋体"/>
        <w:sz w:val="28"/>
        <w:szCs w:val="28"/>
      </w:rPr>
      <w:fldChar w:fldCharType="begin"/>
    </w:r>
    <w:r>
      <w:rPr>
        <w:rStyle w:val="7"/>
        <w:rFonts w:ascii="宋体" w:cs="宋体"/>
        <w:sz w:val="28"/>
        <w:szCs w:val="28"/>
      </w:rPr>
      <w:instrText xml:space="preserve">PAGE  </w:instrText>
    </w:r>
    <w:r>
      <w:rPr>
        <w:rStyle w:val="7"/>
        <w:rFonts w:ascii="宋体" w:cs="宋体"/>
        <w:sz w:val="28"/>
        <w:szCs w:val="28"/>
      </w:rPr>
      <w:fldChar w:fldCharType="separate"/>
    </w:r>
    <w:r>
      <w:rPr>
        <w:rStyle w:val="7"/>
        <w:rFonts w:ascii="宋体" w:cs="宋体"/>
        <w:sz w:val="28"/>
        <w:szCs w:val="28"/>
      </w:rPr>
      <w:t>2</w:t>
    </w:r>
    <w:r>
      <w:rPr>
        <w:rStyle w:val="7"/>
        <w:rFonts w:ascii="宋体" w:cs="宋体"/>
        <w:sz w:val="28"/>
        <w:szCs w:val="28"/>
      </w:rPr>
      <w:fldChar w:fldCharType="end"/>
    </w:r>
    <w:r>
      <w:rPr>
        <w:rStyle w:val="7"/>
        <w:rFonts w:hint="eastAsia" w:ascii="宋体" w:cs="宋体"/>
        <w:sz w:val="28"/>
        <w:szCs w:val="28"/>
      </w:rPr>
      <w:t>－</w: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E5"/>
    <w:rsid w:val="0000436A"/>
    <w:rsid w:val="00004F51"/>
    <w:rsid w:val="0001089E"/>
    <w:rsid w:val="00017951"/>
    <w:rsid w:val="00040B99"/>
    <w:rsid w:val="00047AC5"/>
    <w:rsid w:val="00056983"/>
    <w:rsid w:val="00062B02"/>
    <w:rsid w:val="00083FA1"/>
    <w:rsid w:val="000913DD"/>
    <w:rsid w:val="00094489"/>
    <w:rsid w:val="00096291"/>
    <w:rsid w:val="000A16CA"/>
    <w:rsid w:val="000A72E5"/>
    <w:rsid w:val="000B101D"/>
    <w:rsid w:val="000B19CB"/>
    <w:rsid w:val="000C57CE"/>
    <w:rsid w:val="000C7D3C"/>
    <w:rsid w:val="000F3DBB"/>
    <w:rsid w:val="00100075"/>
    <w:rsid w:val="00106351"/>
    <w:rsid w:val="0011757F"/>
    <w:rsid w:val="0012471C"/>
    <w:rsid w:val="00155B7A"/>
    <w:rsid w:val="00182257"/>
    <w:rsid w:val="001844FD"/>
    <w:rsid w:val="001854F5"/>
    <w:rsid w:val="001B61B0"/>
    <w:rsid w:val="001D0416"/>
    <w:rsid w:val="001D10D7"/>
    <w:rsid w:val="001D272E"/>
    <w:rsid w:val="001E2EE4"/>
    <w:rsid w:val="001F08E7"/>
    <w:rsid w:val="00205805"/>
    <w:rsid w:val="00207CFB"/>
    <w:rsid w:val="00221FF7"/>
    <w:rsid w:val="00223A6D"/>
    <w:rsid w:val="0022507B"/>
    <w:rsid w:val="00225BCC"/>
    <w:rsid w:val="002267F0"/>
    <w:rsid w:val="00231D0C"/>
    <w:rsid w:val="0023224A"/>
    <w:rsid w:val="00244C71"/>
    <w:rsid w:val="0025111F"/>
    <w:rsid w:val="0027167E"/>
    <w:rsid w:val="0027335F"/>
    <w:rsid w:val="00287E35"/>
    <w:rsid w:val="002A29CB"/>
    <w:rsid w:val="002A3A24"/>
    <w:rsid w:val="002D2E43"/>
    <w:rsid w:val="0030054F"/>
    <w:rsid w:val="00303AE6"/>
    <w:rsid w:val="003113CC"/>
    <w:rsid w:val="00311C09"/>
    <w:rsid w:val="0032321D"/>
    <w:rsid w:val="003249B8"/>
    <w:rsid w:val="00326135"/>
    <w:rsid w:val="00344E84"/>
    <w:rsid w:val="003529CC"/>
    <w:rsid w:val="003630E9"/>
    <w:rsid w:val="00367FF6"/>
    <w:rsid w:val="003860D2"/>
    <w:rsid w:val="003870E6"/>
    <w:rsid w:val="00396AFC"/>
    <w:rsid w:val="003A4B98"/>
    <w:rsid w:val="003B6F8C"/>
    <w:rsid w:val="003D0643"/>
    <w:rsid w:val="003D611B"/>
    <w:rsid w:val="003E0E54"/>
    <w:rsid w:val="003F3A64"/>
    <w:rsid w:val="00401ACA"/>
    <w:rsid w:val="00407FCE"/>
    <w:rsid w:val="00443022"/>
    <w:rsid w:val="00444851"/>
    <w:rsid w:val="004510AA"/>
    <w:rsid w:val="00457541"/>
    <w:rsid w:val="00461DBB"/>
    <w:rsid w:val="0048766B"/>
    <w:rsid w:val="00492137"/>
    <w:rsid w:val="00492991"/>
    <w:rsid w:val="0049786F"/>
    <w:rsid w:val="004A4E2F"/>
    <w:rsid w:val="004B6199"/>
    <w:rsid w:val="004C2E97"/>
    <w:rsid w:val="004C33ED"/>
    <w:rsid w:val="004E215C"/>
    <w:rsid w:val="004F6F2F"/>
    <w:rsid w:val="00507ECC"/>
    <w:rsid w:val="00514014"/>
    <w:rsid w:val="00515170"/>
    <w:rsid w:val="00520704"/>
    <w:rsid w:val="005353EC"/>
    <w:rsid w:val="005449F2"/>
    <w:rsid w:val="00552528"/>
    <w:rsid w:val="00570B53"/>
    <w:rsid w:val="00570D83"/>
    <w:rsid w:val="00592BAE"/>
    <w:rsid w:val="00597EAC"/>
    <w:rsid w:val="005A7F57"/>
    <w:rsid w:val="005B6371"/>
    <w:rsid w:val="005C4F27"/>
    <w:rsid w:val="00601049"/>
    <w:rsid w:val="00617674"/>
    <w:rsid w:val="00636515"/>
    <w:rsid w:val="0064438D"/>
    <w:rsid w:val="006705D7"/>
    <w:rsid w:val="00691A5D"/>
    <w:rsid w:val="006A4743"/>
    <w:rsid w:val="006A5C9F"/>
    <w:rsid w:val="006A71BA"/>
    <w:rsid w:val="006B257F"/>
    <w:rsid w:val="006E4FAB"/>
    <w:rsid w:val="006F2DEF"/>
    <w:rsid w:val="006F33C5"/>
    <w:rsid w:val="007011D0"/>
    <w:rsid w:val="00701FB0"/>
    <w:rsid w:val="00712362"/>
    <w:rsid w:val="007130E5"/>
    <w:rsid w:val="00716840"/>
    <w:rsid w:val="00742A08"/>
    <w:rsid w:val="00744D0A"/>
    <w:rsid w:val="0075157E"/>
    <w:rsid w:val="007622BA"/>
    <w:rsid w:val="007664AD"/>
    <w:rsid w:val="00771396"/>
    <w:rsid w:val="00780243"/>
    <w:rsid w:val="00784B59"/>
    <w:rsid w:val="007907E4"/>
    <w:rsid w:val="00794A59"/>
    <w:rsid w:val="007A2E7A"/>
    <w:rsid w:val="007A3411"/>
    <w:rsid w:val="007B533F"/>
    <w:rsid w:val="007D605A"/>
    <w:rsid w:val="007D7FF2"/>
    <w:rsid w:val="007F449F"/>
    <w:rsid w:val="00802801"/>
    <w:rsid w:val="00820561"/>
    <w:rsid w:val="008311C1"/>
    <w:rsid w:val="0084481A"/>
    <w:rsid w:val="00853462"/>
    <w:rsid w:val="00857F4B"/>
    <w:rsid w:val="00861CA3"/>
    <w:rsid w:val="008632C1"/>
    <w:rsid w:val="00873B12"/>
    <w:rsid w:val="00886345"/>
    <w:rsid w:val="008871D1"/>
    <w:rsid w:val="008976A4"/>
    <w:rsid w:val="008C0CFE"/>
    <w:rsid w:val="008D4BF4"/>
    <w:rsid w:val="008E4723"/>
    <w:rsid w:val="008F0D1F"/>
    <w:rsid w:val="008F3C8A"/>
    <w:rsid w:val="008F4358"/>
    <w:rsid w:val="008F6C4C"/>
    <w:rsid w:val="00902224"/>
    <w:rsid w:val="00916754"/>
    <w:rsid w:val="009246DF"/>
    <w:rsid w:val="00926CF1"/>
    <w:rsid w:val="00932F32"/>
    <w:rsid w:val="0094160E"/>
    <w:rsid w:val="00960142"/>
    <w:rsid w:val="009669C6"/>
    <w:rsid w:val="00967F8F"/>
    <w:rsid w:val="00972CE8"/>
    <w:rsid w:val="009867E2"/>
    <w:rsid w:val="009919D4"/>
    <w:rsid w:val="009B168E"/>
    <w:rsid w:val="009C63D2"/>
    <w:rsid w:val="009F331F"/>
    <w:rsid w:val="00A1451C"/>
    <w:rsid w:val="00A21F42"/>
    <w:rsid w:val="00A32001"/>
    <w:rsid w:val="00A47ACB"/>
    <w:rsid w:val="00A60E60"/>
    <w:rsid w:val="00A66A38"/>
    <w:rsid w:val="00A70957"/>
    <w:rsid w:val="00A7231D"/>
    <w:rsid w:val="00A72CAD"/>
    <w:rsid w:val="00A73A88"/>
    <w:rsid w:val="00A80437"/>
    <w:rsid w:val="00A9183C"/>
    <w:rsid w:val="00AA0D8B"/>
    <w:rsid w:val="00AA1EB0"/>
    <w:rsid w:val="00AA58AD"/>
    <w:rsid w:val="00AB0F01"/>
    <w:rsid w:val="00AB5188"/>
    <w:rsid w:val="00AC4FBE"/>
    <w:rsid w:val="00AE0503"/>
    <w:rsid w:val="00AE3D89"/>
    <w:rsid w:val="00AF03D0"/>
    <w:rsid w:val="00B04676"/>
    <w:rsid w:val="00B3528F"/>
    <w:rsid w:val="00B37B93"/>
    <w:rsid w:val="00B461C2"/>
    <w:rsid w:val="00B47BD9"/>
    <w:rsid w:val="00B55C10"/>
    <w:rsid w:val="00B70485"/>
    <w:rsid w:val="00B76C4F"/>
    <w:rsid w:val="00B77537"/>
    <w:rsid w:val="00B82C40"/>
    <w:rsid w:val="00B900CD"/>
    <w:rsid w:val="00BA2DDD"/>
    <w:rsid w:val="00BA49A9"/>
    <w:rsid w:val="00BB2CF2"/>
    <w:rsid w:val="00BE058A"/>
    <w:rsid w:val="00BE2CBC"/>
    <w:rsid w:val="00BF1873"/>
    <w:rsid w:val="00BF3CFA"/>
    <w:rsid w:val="00C017E8"/>
    <w:rsid w:val="00C05D98"/>
    <w:rsid w:val="00C15DFE"/>
    <w:rsid w:val="00C16CC3"/>
    <w:rsid w:val="00C17D00"/>
    <w:rsid w:val="00C36818"/>
    <w:rsid w:val="00C44C0D"/>
    <w:rsid w:val="00C85D20"/>
    <w:rsid w:val="00CA5128"/>
    <w:rsid w:val="00CA7946"/>
    <w:rsid w:val="00CB0E90"/>
    <w:rsid w:val="00CC280E"/>
    <w:rsid w:val="00CD2385"/>
    <w:rsid w:val="00CD6408"/>
    <w:rsid w:val="00CE19E2"/>
    <w:rsid w:val="00D07538"/>
    <w:rsid w:val="00D159A9"/>
    <w:rsid w:val="00D219CE"/>
    <w:rsid w:val="00D21B7C"/>
    <w:rsid w:val="00D21D77"/>
    <w:rsid w:val="00D360E4"/>
    <w:rsid w:val="00D36978"/>
    <w:rsid w:val="00D708EE"/>
    <w:rsid w:val="00D720B8"/>
    <w:rsid w:val="00D847FA"/>
    <w:rsid w:val="00DA72E9"/>
    <w:rsid w:val="00DC0F37"/>
    <w:rsid w:val="00DD180F"/>
    <w:rsid w:val="00DD32E2"/>
    <w:rsid w:val="00DD76BA"/>
    <w:rsid w:val="00E1111C"/>
    <w:rsid w:val="00E13E0C"/>
    <w:rsid w:val="00E15F7B"/>
    <w:rsid w:val="00E43F30"/>
    <w:rsid w:val="00E4403D"/>
    <w:rsid w:val="00E44BBE"/>
    <w:rsid w:val="00E463DE"/>
    <w:rsid w:val="00E57244"/>
    <w:rsid w:val="00E728EA"/>
    <w:rsid w:val="00E83CF5"/>
    <w:rsid w:val="00E85C41"/>
    <w:rsid w:val="00EA40EC"/>
    <w:rsid w:val="00EA66F0"/>
    <w:rsid w:val="00EB4AFA"/>
    <w:rsid w:val="00ED45DC"/>
    <w:rsid w:val="00EE533B"/>
    <w:rsid w:val="00EF3707"/>
    <w:rsid w:val="00F12F95"/>
    <w:rsid w:val="00F1544A"/>
    <w:rsid w:val="00F1583A"/>
    <w:rsid w:val="00F15CB5"/>
    <w:rsid w:val="00F33008"/>
    <w:rsid w:val="00F53A49"/>
    <w:rsid w:val="00F53CCB"/>
    <w:rsid w:val="00F56DB9"/>
    <w:rsid w:val="00F63795"/>
    <w:rsid w:val="00F75388"/>
    <w:rsid w:val="00F82E73"/>
    <w:rsid w:val="00F903C1"/>
    <w:rsid w:val="00FA2507"/>
    <w:rsid w:val="00FB0B9C"/>
    <w:rsid w:val="00FB24BC"/>
    <w:rsid w:val="00FC45D8"/>
    <w:rsid w:val="00FC6CE9"/>
    <w:rsid w:val="00FD35ED"/>
    <w:rsid w:val="00FD71A4"/>
    <w:rsid w:val="00FD71F7"/>
    <w:rsid w:val="00FE0EB9"/>
    <w:rsid w:val="00FE69CA"/>
    <w:rsid w:val="00FF2F42"/>
    <w:rsid w:val="01123B2E"/>
    <w:rsid w:val="05942C3E"/>
    <w:rsid w:val="0D0A26DF"/>
    <w:rsid w:val="0D9F6D72"/>
    <w:rsid w:val="21A5068C"/>
    <w:rsid w:val="3EB97EEE"/>
    <w:rsid w:val="44630A51"/>
    <w:rsid w:val="47853971"/>
    <w:rsid w:val="648E40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Normal (Web)"/>
    <w:basedOn w:val="1"/>
    <w:unhideWhenUsed/>
    <w:qFormat/>
    <w:uiPriority w:val="99"/>
    <w:pPr>
      <w:widowControl/>
      <w:spacing w:before="100" w:beforeAutospacing="1" w:after="100" w:afterAutospacing="1"/>
    </w:pPr>
    <w:rPr>
      <w:rFonts w:ascii="宋体" w:hAnsi="宋体" w:eastAsia="宋体" w:cs="宋体"/>
      <w:color w:val="auto"/>
      <w:lang w:eastAsia="zh-CN" w:bidi="ar-SA"/>
    </w:rPr>
  </w:style>
  <w:style w:type="character" w:styleId="7">
    <w:name w:val="page number"/>
    <w:basedOn w:val="6"/>
    <w:qFormat/>
    <w:uiPriority w:val="0"/>
  </w:style>
  <w:style w:type="character" w:customStyle="1" w:styleId="8">
    <w:name w:val="Body text|1_"/>
    <w:basedOn w:val="6"/>
    <w:link w:val="9"/>
    <w:qFormat/>
    <w:uiPriority w:val="0"/>
    <w:rPr>
      <w:rFonts w:ascii="MingLiU" w:hAnsi="MingLiU" w:eastAsia="MingLiU" w:cs="MingLiU"/>
      <w:sz w:val="19"/>
      <w:szCs w:val="19"/>
      <w:u w:val="none"/>
      <w:shd w:val="clear" w:color="auto" w:fill="auto"/>
      <w:lang w:val="zh-TW" w:eastAsia="zh-TW" w:bidi="zh-TW"/>
    </w:rPr>
  </w:style>
  <w:style w:type="paragraph" w:customStyle="1" w:styleId="9">
    <w:name w:val="Body text|1"/>
    <w:basedOn w:val="1"/>
    <w:link w:val="8"/>
    <w:qFormat/>
    <w:uiPriority w:val="0"/>
    <w:pPr>
      <w:spacing w:line="398" w:lineRule="auto"/>
      <w:ind w:firstLine="400"/>
    </w:pPr>
    <w:rPr>
      <w:rFonts w:ascii="MingLiU" w:hAnsi="MingLiU" w:eastAsia="MingLiU" w:cs="MingLiU"/>
      <w:sz w:val="19"/>
      <w:szCs w:val="19"/>
      <w:lang w:val="zh-TW" w:eastAsia="zh-TW" w:bidi="zh-TW"/>
    </w:rPr>
  </w:style>
  <w:style w:type="character" w:customStyle="1" w:styleId="10">
    <w:name w:val="Header or footer|2_"/>
    <w:basedOn w:val="6"/>
    <w:link w:val="11"/>
    <w:qFormat/>
    <w:uiPriority w:val="0"/>
    <w:rPr>
      <w:sz w:val="20"/>
      <w:szCs w:val="20"/>
      <w:u w:val="none"/>
      <w:shd w:val="clear" w:color="auto" w:fill="auto"/>
      <w:lang w:val="zh-TW" w:eastAsia="zh-TW" w:bidi="zh-TW"/>
    </w:rPr>
  </w:style>
  <w:style w:type="paragraph" w:customStyle="1" w:styleId="11">
    <w:name w:val="Header or footer|2"/>
    <w:basedOn w:val="1"/>
    <w:link w:val="10"/>
    <w:qFormat/>
    <w:uiPriority w:val="0"/>
    <w:rPr>
      <w:sz w:val="20"/>
      <w:szCs w:val="20"/>
      <w:lang w:val="zh-TW" w:eastAsia="zh-TW" w:bidi="zh-TW"/>
    </w:rPr>
  </w:style>
  <w:style w:type="character" w:customStyle="1" w:styleId="12">
    <w:name w:val="页脚 Char"/>
    <w:link w:val="2"/>
    <w:qFormat/>
    <w:uiPriority w:val="99"/>
    <w:rPr>
      <w:rFonts w:eastAsia="Times New Roman"/>
      <w:color w:val="000000"/>
      <w:sz w:val="18"/>
      <w:szCs w:val="24"/>
      <w:lang w:eastAsia="en-US" w:bidi="en-US"/>
    </w:rPr>
  </w:style>
  <w:style w:type="paragraph" w:customStyle="1" w:styleId="13">
    <w:name w:val="样式1"/>
    <w:basedOn w:val="1"/>
    <w:qFormat/>
    <w:uiPriority w:val="0"/>
    <w:pPr>
      <w:adjustRightInd w:val="0"/>
      <w:spacing w:line="360" w:lineRule="auto"/>
      <w:ind w:firstLine="640" w:firstLineChars="200"/>
      <w:jc w:val="both"/>
    </w:pPr>
    <w:rPr>
      <w:rFonts w:ascii="楷体_GB2312" w:hAnsi="华文楷体" w:eastAsia="楷体_GB2312" w:cs="楷体_GB2312"/>
      <w:color w:val="auto"/>
      <w:kern w:val="2"/>
      <w:sz w:val="32"/>
      <w:szCs w:val="32"/>
      <w:lang w:eastAsia="zh-CN" w:bidi="ar-SA"/>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杭州市政府</Company>
  <Pages>12</Pages>
  <Words>962</Words>
  <Characters>5488</Characters>
  <Lines>45</Lines>
  <Paragraphs>12</Paragraphs>
  <TotalTime>1358</TotalTime>
  <ScaleCrop>false</ScaleCrop>
  <LinksUpToDate>false</LinksUpToDate>
  <CharactersWithSpaces>6438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2019-11-19T08:28:00Z</dcterms:created>
  <dc:creator>1</dc:creator>
  <cp:lastModifiedBy>raintreemm</cp:lastModifiedBy>
  <cp:lastPrinted>2020-01-09T07:03:00Z</cp:lastPrinted>
  <dcterms:modified xsi:type="dcterms:W3CDTF">2020-01-14T02:16:00Z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