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r>
        <w:rPr>
          <w:rFonts w:hint="eastAsia" w:ascii="方正小标宋简体" w:hAnsi="宋体" w:eastAsia="方正小标宋简体"/>
          <w:sz w:val="44"/>
        </w:rPr>
        <w:t>关于</w:t>
      </w:r>
      <w:r>
        <w:rPr>
          <w:rFonts w:hint="eastAsia" w:ascii="方正小标宋简体" w:hAnsi="宋体" w:eastAsia="方正小标宋简体"/>
          <w:sz w:val="44"/>
          <w:lang w:eastAsia="zh-CN"/>
        </w:rPr>
        <w:t>公布</w:t>
      </w:r>
      <w:r>
        <w:rPr>
          <w:rFonts w:hint="eastAsia" w:ascii="方正小标宋简体" w:eastAsia="方正小标宋简体"/>
          <w:sz w:val="44"/>
          <w:szCs w:val="44"/>
        </w:rPr>
        <w:t>市政府及市政府办公室文件</w:t>
      </w:r>
      <w:r>
        <w:rPr>
          <w:rFonts w:hint="eastAsia" w:ascii="方正小标宋简体" w:hAnsi="宋体" w:eastAsia="方正小标宋简体"/>
          <w:sz w:val="44"/>
          <w:lang w:eastAsia="zh-CN"/>
        </w:rPr>
        <w:t>清理结果</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szCs w:val="32"/>
          <w:lang w:eastAsia="zh-CN"/>
        </w:rPr>
      </w:pPr>
      <w:r>
        <w:rPr>
          <w:rFonts w:hint="eastAsia"/>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szCs w:val="32"/>
        </w:rPr>
      </w:pPr>
      <w:r>
        <w:rPr>
          <w:szCs w:val="32"/>
        </w:rPr>
        <w:t xml:space="preserve">各区、县（市）人民政府，市政府各部门、各单位：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s="Times New Roman"/>
          <w:szCs w:val="32"/>
          <w:lang w:val="en-US" w:eastAsia="zh-CN"/>
        </w:rPr>
      </w:pPr>
      <w:r>
        <w:rPr>
          <w:szCs w:val="32"/>
        </w:rPr>
        <w:t>根据</w:t>
      </w:r>
      <w:r>
        <w:rPr>
          <w:rFonts w:hint="eastAsia" w:ascii="仿宋_GB2312" w:hAnsi="仿宋" w:eastAsia="仿宋_GB2312" w:cs="仿宋"/>
          <w:sz w:val="32"/>
          <w:szCs w:val="32"/>
        </w:rPr>
        <w:t>《</w:t>
      </w:r>
      <w:r>
        <w:rPr>
          <w:rFonts w:hint="eastAsia" w:ascii="仿宋_GB2312" w:hAnsi="仿宋" w:cs="仿宋"/>
          <w:sz w:val="32"/>
          <w:szCs w:val="32"/>
          <w:lang w:eastAsia="zh-CN"/>
        </w:rPr>
        <w:t>浙江省行政规范性文件管理办法</w:t>
      </w:r>
      <w:r>
        <w:rPr>
          <w:rFonts w:hint="eastAsia" w:ascii="仿宋_GB2312" w:hAnsi="仿宋" w:eastAsia="仿宋_GB2312" w:cs="仿宋"/>
          <w:sz w:val="32"/>
          <w:szCs w:val="32"/>
        </w:rPr>
        <w:t>》（</w:t>
      </w:r>
      <w:r>
        <w:rPr>
          <w:rFonts w:hint="eastAsia" w:ascii="仿宋_GB2312" w:hAnsi="仿宋" w:cs="仿宋"/>
          <w:sz w:val="32"/>
          <w:szCs w:val="32"/>
          <w:lang w:eastAsia="zh-CN"/>
        </w:rPr>
        <w:t>省政府令第</w:t>
      </w:r>
      <w:r>
        <w:rPr>
          <w:rFonts w:hint="eastAsia" w:ascii="仿宋_GB2312" w:hAnsi="仿宋" w:cs="仿宋"/>
          <w:sz w:val="32"/>
          <w:szCs w:val="32"/>
          <w:lang w:val="en-US" w:eastAsia="zh-CN"/>
        </w:rPr>
        <w:t>372号</w:t>
      </w:r>
      <w:r>
        <w:rPr>
          <w:rFonts w:hint="eastAsia" w:ascii="仿宋_GB2312" w:hAnsi="仿宋" w:eastAsia="仿宋_GB2312" w:cs="仿宋"/>
          <w:sz w:val="32"/>
          <w:szCs w:val="32"/>
        </w:rPr>
        <w:t>）</w:t>
      </w:r>
      <w:r>
        <w:rPr>
          <w:rFonts w:hint="eastAsia"/>
          <w:szCs w:val="32"/>
          <w:lang w:eastAsia="zh-CN"/>
        </w:rPr>
        <w:t>有关</w:t>
      </w:r>
      <w:r>
        <w:rPr>
          <w:rFonts w:hint="eastAsia"/>
          <w:szCs w:val="32"/>
        </w:rPr>
        <w:t>文件清理工作</w:t>
      </w:r>
      <w:r>
        <w:rPr>
          <w:szCs w:val="32"/>
        </w:rPr>
        <w:t>要求，我市对</w:t>
      </w:r>
      <w:r>
        <w:rPr>
          <w:rFonts w:hint="eastAsia"/>
          <w:szCs w:val="32"/>
          <w:lang w:eastAsia="zh-CN"/>
        </w:rPr>
        <w:t>截至</w:t>
      </w:r>
      <w:r>
        <w:rPr>
          <w:rFonts w:hint="default" w:ascii="Times New Roman" w:hAnsi="Times New Roman" w:cs="Times New Roman"/>
          <w:szCs w:val="32"/>
          <w:lang w:val="en-US" w:eastAsia="zh-CN"/>
        </w:rPr>
        <w:t>2022年9月30</w:t>
      </w:r>
      <w:r>
        <w:rPr>
          <w:rFonts w:hint="eastAsia"/>
          <w:szCs w:val="32"/>
          <w:lang w:val="en-US" w:eastAsia="zh-CN"/>
        </w:rPr>
        <w:t>日</w:t>
      </w:r>
      <w:r>
        <w:rPr>
          <w:szCs w:val="32"/>
        </w:rPr>
        <w:t>现行有效的市政府及市政府办公室行政规范性文件进行了</w:t>
      </w:r>
      <w:r>
        <w:rPr>
          <w:rFonts w:hint="eastAsia"/>
          <w:szCs w:val="32"/>
          <w:lang w:eastAsia="zh-CN"/>
        </w:rPr>
        <w:t>全面</w:t>
      </w:r>
      <w:r>
        <w:rPr>
          <w:szCs w:val="32"/>
        </w:rPr>
        <w:t>清理。</w:t>
      </w:r>
      <w:r>
        <w:rPr>
          <w:kern w:val="32"/>
          <w:szCs w:val="32"/>
        </w:rPr>
        <w:t>经审定，</w:t>
      </w:r>
      <w:r>
        <w:rPr>
          <w:rFonts w:hint="eastAsia"/>
          <w:kern w:val="32"/>
          <w:szCs w:val="32"/>
          <w:lang w:eastAsia="zh-CN"/>
        </w:rPr>
        <w:t>继续有效的行政规范性文件</w:t>
      </w:r>
      <w:r>
        <w:rPr>
          <w:rFonts w:hint="eastAsia" w:ascii="Times New Roman" w:hAnsi="Times New Roman" w:cs="Times New Roman"/>
          <w:szCs w:val="32"/>
          <w:lang w:val="en-US" w:eastAsia="zh-CN"/>
        </w:rPr>
        <w:t>267件，停止执行的行政规范性文件46件，决定修改的行政规范性文件3件</w:t>
      </w:r>
      <w:bookmarkStart w:id="0" w:name="_GoBack"/>
      <w:bookmarkEnd w:id="0"/>
      <w:r>
        <w:rPr>
          <w:rFonts w:hint="eastAsia" w:ascii="Times New Roman" w:hAnsi="Times New Roman" w:cs="Times New Roman"/>
          <w:szCs w:val="32"/>
          <w:lang w:val="en-US" w:eastAsia="zh-CN"/>
        </w:rPr>
        <w:t>。现将上述清理结果予以公布。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szCs w:val="32"/>
          <w:lang w:eastAsia="zh-CN"/>
        </w:rPr>
      </w:pPr>
      <w:r>
        <w:rPr>
          <w:rFonts w:hint="eastAsia"/>
          <w:szCs w:val="32"/>
          <w:lang w:eastAsia="zh-CN"/>
        </w:rPr>
        <w:t>本通知自公布之日起施行。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szCs w:val="32"/>
          <w:lang w:eastAsia="zh-CN"/>
        </w:rPr>
      </w:pP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jc w:val="left"/>
        <w:textAlignment w:val="auto"/>
        <w:rPr>
          <w:rFonts w:hint="eastAsia" w:ascii="FangSong_GB2312" w:hAnsi="FangSong_GB2312" w:eastAsia="FangSong_GB2312"/>
          <w:sz w:val="32"/>
        </w:rPr>
      </w:pPr>
      <w:r>
        <w:rPr>
          <w:rFonts w:hint="eastAsia" w:ascii="FangSong_GB2312" w:hAnsi="FangSong_GB2312" w:eastAsia="FangSong_GB2312"/>
          <w:sz w:val="32"/>
        </w:rPr>
        <w:t>附件：</w:t>
      </w:r>
      <w:r>
        <w:rPr>
          <w:rFonts w:hint="eastAsia" w:ascii="FangSong_GB2312" w:hAnsi="FangSong_GB2312" w:eastAsia="FangSong_GB2312"/>
          <w:sz w:val="32"/>
          <w:lang w:val="en-US" w:eastAsia="zh-CN"/>
        </w:rPr>
        <w:t xml:space="preserve">1. </w:t>
      </w:r>
      <w:r>
        <w:rPr>
          <w:rFonts w:hint="eastAsia" w:ascii="FangSong_GB2312" w:hAnsi="FangSong_GB2312" w:eastAsia="FangSong_GB2312"/>
          <w:sz w:val="32"/>
        </w:rPr>
        <w:t>继续有效的行政规范性文件目录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948" w:firstLineChars="300"/>
        <w:jc w:val="both"/>
        <w:textAlignment w:val="auto"/>
        <w:outlineLvl w:val="9"/>
        <w:rPr>
          <w:rFonts w:hint="eastAsia" w:ascii="FangSong_GB2312" w:hAnsi="FangSong_GB2312" w:eastAsia="FangSong_GB2312"/>
          <w:sz w:val="32"/>
        </w:rPr>
      </w:pPr>
      <w:r>
        <w:rPr>
          <w:rFonts w:hint="eastAsia" w:ascii="FangSong_GB2312" w:hAnsi="FangSong_GB2312" w:eastAsia="FangSong_GB2312"/>
          <w:sz w:val="32"/>
          <w:lang w:eastAsia="zh-CN"/>
        </w:rPr>
        <w:t>停止执行</w:t>
      </w:r>
      <w:r>
        <w:rPr>
          <w:rFonts w:hint="eastAsia" w:ascii="FangSong_GB2312" w:hAnsi="FangSong_GB2312" w:eastAsia="FangSong_GB2312"/>
          <w:sz w:val="32"/>
        </w:rPr>
        <w:t>的行政规范性文件目录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948" w:firstLineChars="300"/>
        <w:jc w:val="both"/>
        <w:textAlignment w:val="auto"/>
        <w:outlineLvl w:val="9"/>
        <w:rPr>
          <w:rFonts w:hint="eastAsia" w:ascii="FangSong_GB2312" w:hAnsi="FangSong_GB2312" w:eastAsia="FangSong_GB2312"/>
          <w:sz w:val="32"/>
          <w:lang w:eastAsia="zh-CN"/>
        </w:rPr>
      </w:pPr>
      <w:r>
        <w:rPr>
          <w:rFonts w:hint="eastAsia" w:ascii="FangSong_GB2312" w:hAnsi="FangSong_GB2312" w:eastAsia="FangSong_GB2312"/>
          <w:sz w:val="32"/>
          <w:lang w:eastAsia="zh-CN"/>
        </w:rPr>
        <w:t>决定修改的行政规范性文件目录和修改内容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948" w:firstLineChars="3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2212" w:firstLineChars="700"/>
        <w:jc w:val="both"/>
        <w:textAlignment w:val="auto"/>
        <w:outlineLvl w:val="9"/>
        <w:rPr>
          <w:szCs w:val="32"/>
        </w:rPr>
      </w:pPr>
      <w:r>
        <w:rPr>
          <w:szCs w:val="32"/>
        </w:rPr>
        <w:t xml:space="preserve">                  </w:t>
      </w:r>
      <w:r>
        <w:rPr>
          <w:rFonts w:hint="eastAsia"/>
          <w:szCs w:val="32"/>
          <w:lang w:val="en-US" w:eastAsia="zh-CN"/>
        </w:rPr>
        <w:t xml:space="preserve">      </w:t>
      </w:r>
      <w:r>
        <w:rPr>
          <w:szCs w:val="32"/>
        </w:rPr>
        <w:t>20</w:t>
      </w:r>
      <w:r>
        <w:rPr>
          <w:rFonts w:hint="eastAsia"/>
          <w:szCs w:val="32"/>
          <w:lang w:val="en-US" w:eastAsia="zh-CN"/>
        </w:rPr>
        <w:t>22</w:t>
      </w:r>
      <w:r>
        <w:rPr>
          <w:szCs w:val="32"/>
        </w:rPr>
        <w:t>年</w:t>
      </w:r>
      <w:r>
        <w:rPr>
          <w:rFonts w:hint="eastAsia"/>
          <w:szCs w:val="32"/>
          <w:lang w:val="en-US" w:eastAsia="zh-CN"/>
        </w:rPr>
        <w:t xml:space="preserve">  </w:t>
      </w:r>
      <w:r>
        <w:rPr>
          <w:szCs w:val="32"/>
        </w:rPr>
        <w:t>月</w:t>
      </w:r>
      <w:r>
        <w:rPr>
          <w:rFonts w:hint="eastAsia"/>
          <w:szCs w:val="32"/>
          <w:lang w:val="en-US" w:eastAsia="zh-CN"/>
        </w:rPr>
        <w:t xml:space="preserve">    </w:t>
      </w:r>
      <w:r>
        <w:rPr>
          <w:szCs w:val="32"/>
        </w:rPr>
        <w:t>日</w:t>
      </w:r>
    </w:p>
    <w:p>
      <w:pPr>
        <w:keepNext w:val="0"/>
        <w:keepLines w:val="0"/>
        <w:pageBreakBefore w:val="0"/>
        <w:widowControl w:val="0"/>
        <w:kinsoku/>
        <w:wordWrap/>
        <w:overflowPunct/>
        <w:topLinePunct w:val="0"/>
        <w:autoSpaceDE/>
        <w:autoSpaceDN/>
        <w:bidi w:val="0"/>
        <w:spacing w:line="560" w:lineRule="exact"/>
        <w:ind w:left="0" w:leftChars="0" w:right="0" w:rightChars="0" w:firstLine="632" w:firstLineChars="200"/>
        <w:textAlignment w:val="auto"/>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85" w:left="1588" w:header="851" w:footer="1531" w:gutter="0"/>
          <w:pgBorders>
            <w:top w:val="none" w:sz="0" w:space="0"/>
            <w:left w:val="none" w:sz="0" w:space="0"/>
            <w:bottom w:val="none" w:sz="0" w:space="0"/>
            <w:right w:val="none" w:sz="0" w:space="0"/>
          </w:pgBorders>
          <w:cols w:space="720" w:num="1"/>
          <w:docGrid w:type="linesAndChars" w:linePitch="582" w:charSpace="-849"/>
        </w:sectPr>
      </w:pPr>
    </w:p>
    <w:p>
      <w:pPr>
        <w:spacing w:after="100" w:afterAutospacing="1"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继续有效</w:t>
      </w:r>
      <w:r>
        <w:rPr>
          <w:rFonts w:hint="eastAsia" w:ascii="方正小标宋简体" w:eastAsia="方正小标宋简体"/>
          <w:sz w:val="44"/>
          <w:szCs w:val="44"/>
        </w:rPr>
        <w:t>的行政规范性文件目录</w:t>
      </w:r>
    </w:p>
    <w:p>
      <w:pPr>
        <w:spacing w:line="600" w:lineRule="exact"/>
      </w:pPr>
    </w:p>
    <w:tbl>
      <w:tblPr>
        <w:tblStyle w:val="7"/>
        <w:tblW w:w="13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7590"/>
        <w:gridCol w:w="2926"/>
        <w:gridCol w:w="2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7590"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标题</w:t>
            </w:r>
          </w:p>
        </w:tc>
        <w:tc>
          <w:tcPr>
            <w:tcW w:w="2926"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文号</w:t>
            </w:r>
          </w:p>
        </w:tc>
        <w:tc>
          <w:tcPr>
            <w:tcW w:w="2504"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清理责任部门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绍兴市城市供水管理办法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政府令第60号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绍兴市区国有土地租赁暂行办法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政府令第68号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绍兴市镜湖国家城市湿地公园保护管理办法(试行)</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政府令第75号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绍兴市企业国有资产监督管理暂行办法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政府令第81号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绍兴市曹娥江大闸闸上河道管理办法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政府令第88号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绍兴市军人抚恤优待若干规定</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政府令第89号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绍兴市区土地储备办法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绍兴市国有产权交易管理办法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市政务服务办公室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绍兴市医疗纠纷预防和调解处理办法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绍兴市测绘管理办法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绍兴市内部审计工作规定</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绍兴市政府投资项目管理办法（修订稿）</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政府令第100号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绍兴市促进散装水泥发展和应用办法</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政府令第101号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转发市城建局、市文化局《关于要求公布 24 处市级文物保护单位的保护范围及建设控制地带的报告》的通知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绍市府发〔1987〕37号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关于停止执行部分规范性文件的通知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绍市府发〔1990〕63号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关于停止执行四个规范性文件和部分条款的通知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关于修改部分规范性文件条款的通知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绍市府发〔1992〕13号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关于停止执行部分文件的通知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绍市府发〔1993〕31号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关于印发《绍兴市区深化住房制度改革实施意见》和《绍兴市区出售公有住房实施细则》的通知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绍市府发〔1995〕49号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关于停止执行有关规范性文件及部分规范性文件条款的通知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绍市府发〔1996〕140号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绍兴市人民政府关于扩大禁止拖拉机行驶和禁鸣机动车喇叭管理区域的通告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绍市府发〔1996〕149号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关于授权市水利水电局调处水事纠纷的批复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绍市府发〔1997〕105号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关于印发绍兴市区房改房进入市场暂行办法的通知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绍市府发〔1998〕61号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关于停止执行部分规范性文件及有关文件条款的通知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绍市府发〔1999〕156号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绍兴市人民政府关于停止执行有关收容遣送管理规定的通知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绍政发〔2003〕75号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绍兴市人民政府关于切实做好城市生活无着的流浪乞讨人员救助管理工作的意见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绍政发〔2003〕103号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绍兴市人民政府关于停止执行部分文件的通知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绍政发〔2004〕50号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关于修改部分市政府文件的通知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绍政发〔2004〕64号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绍兴市人民政府关于印发绍兴市区被征地村留地安置若干规定的通知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绍政发〔2005〕17号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绍兴市人民政府关于公布范文澜故居等三十三处市级文物保护单位保护范围及建设控制地带的通知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绍政发〔2005〕90号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绍兴市人民政府关于印发绍兴市重大活动档案管理办法的通知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绍政发〔2007〕7号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绍兴市人民政府关于停止执行部分行政规范性文件的通知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绍政发〔2007〕93号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关于修改部分行政规范性文件的通知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绍政发〔2007〕94号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绍兴市人民政府关于印发绍兴市扶持民办博物馆办法（试行）的通知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绍政发〔2010〕28号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绍兴市人民政府关于印发绍兴市城市管线管理办法的通知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绍政发〔2010〕35号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绍兴市人民政府关于印发绍兴市汤浦水库水源环境保护办法的通知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绍政发〔2010〕40号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绍兴市人民政府关于印发绍兴市传统工艺美术保护规定（试行） 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绍政发〔2010〕44号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绍兴市人民政府关于印发绍兴市部门统计工作管理暂行规定的通知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绍政发〔2010〕48号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绍兴市人民政府关于修改部分政府文件的通知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绍政发〔2010〕55号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绍兴市人民政府关于停止执行部分政府文件的通知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绍政发〔2010〕56号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绍兴市人民政府关于印发绍兴市单位爱国卫生管理办法的通知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绍政发〔2011〕34号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绍兴市人民政府关于停止执行有关规范性文件的通知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绍政发〔2011〕61号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绍兴市人民政府关于停止执行有关规范性文件的通知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绍政发〔2011〕66号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绍兴市人民政府关于进一步促进以创业带动就业的实施意见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绍政发〔2011〕74号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绍兴市人民政府关于印发绍兴市社会保障基金审计监督办法的通知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绍政发〔2012〕9号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绍兴市人民政府关于废止和修改有关规范性文件的通知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绍政发〔2012〕10号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绍兴市人民政府关于进一步加强殡葬工作的意见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绍政发〔2012〕40号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绍兴市人民政府关于印发绍兴市行政审批服务管理办法的通知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绍政发〔2012〕55号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市政务服务办公室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绍兴市人民政府关于进一步加强道路交通安全工作的实施意见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绍兴市人民政府关于公布绍兴市第五批非物质文化遗产名录的通知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绍兴市人民政府关于下放部分市级行政审批和管理事项的通知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市政务服务办公室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绍兴市人民政府关于停止执行部分行政规范性文件的通知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绍政发〔2013〕43号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绍兴市人民政府关于印发绍兴市地理空间数据交换和共享管理办法的通知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绍政发〔2013〕44号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绍兴市人民政府关于进一步推进节约集约用地的意见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绍政发〔2013〕47号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绍兴市人民政府关于印发绍兴市区公共场所禁止吸烟规定的通知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绍政发〔2013〕58号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绍兴市人民政府关于印发绍兴市城乡规划管理技术规定的通知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绍政发〔2013〕64号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绍兴市人民政府关于加强绍兴市区活禽屠宰交易管理的通告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绍政发〔2014〕29号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 绍兴军分区关于批转市人力社保局绍兴军分区政治部绍兴市军人随军家属就业安置实施细则的通知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绍政发〔2014〕42号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绍兴市人民政府关于进一步完善城乡居民基本养老保险制度的实施意见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绍政发〔2014〕44号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绍兴市人民政府关于推进工业企业“零土地”技术改造项目审批方式改革的通知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绍政发〔2015〕13号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绍兴市人民政府关于公布绍兴市第七批市级文物保护单位的通知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绍政发〔2015〕19号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绍兴市人民政府关于加快发展现代职业教育的实施意见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绍政发〔2015〕32号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绍兴市人民政府关于支持大众创业促进就业的实施意见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绍政发〔2015〕37号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绍兴市人民政府关于印发绍兴市重大行政决策程序规定的通知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绍政发〔2015〕42号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绍兴市人民政府关于印发绍兴市区城市节约用水管理办法的通知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绍政发〔2016〕14号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绍兴市人民政府关于印发绍兴市区国有土地上房屋征收与补偿实施办法的通知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绍政发〔2016〕15号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绍兴市人民政府关于加快推进残疾人全面小康进程的实施意见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绍政发〔2016〕25号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绍兴市人民政府关于大力发展电子商务加快培育经济新动力的实施意见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绍政发〔2016〕28号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绍兴市人民政府关于积极稳妥推进户籍制度改革的实施意见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绍政发〔2016〕38号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绍兴市人民政府关于印发绍兴市行政奖励实施细则的通知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绍政发〔2016〕41号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绍兴市人民政府关于加强汤浦水库饮用水水源保护区生态环境保护的通告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绍政发〔2016〕56号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绍兴市人民政府关于深化改革推进出租汽车行业健康发展的实施意见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绍政发〔2016〕57号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绍兴市人民政府关于加快发展体育产业促进体育消费的实施意见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绍政发〔2016〕59号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绍兴市人民政府关于进一步促进慈善事业发展的实施意见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绍政发〔2017〕27号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绍兴市人民政府关于建立全市统一生育保险制度的通知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绍政发〔2017〕30号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绍兴市人民政府关于在市场体系建设中建立公平竞争审查制度的通知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绍政发〔2017〕31号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绍兴市人民政府关于公布绍兴市区第一批历史建筑的通知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绍政发〔2017〕32号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绍兴市人民政府关于印发绍兴市地名管理实施办法的通知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绍政发〔2017〕33号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绍兴市人民政府关于印发绍兴市全域深化行政复议体制改革工作方案的通知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绍政发〔2018〕6号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绍兴市人民政府关于深化“亩均论英雄”改革的实施意见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绍政发〔2018〕10号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绍兴市人民政府关于印发绍兴市基本医疗保险实施办法（试行）的通知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绍政发〔2018〕17号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绍兴市人民政府关于印发绍兴市工程建设项目审批制度改革试点工作实施方案的通知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绍政发〔2018〕18号</w:t>
            </w:r>
            <w:r>
              <w:rPr>
                <w:rFonts w:ascii="Arial" w:hAnsi="Arial" w:eastAsia="仿宋_GB2312" w:cs="Arial"/>
                <w:i w:val="0"/>
                <w:color w:val="000000"/>
                <w:kern w:val="0"/>
                <w:sz w:val="24"/>
                <w:szCs w:val="24"/>
                <w:u w:val="none"/>
                <w:lang w:val="en-US" w:eastAsia="zh-CN" w:bidi="ar"/>
              </w:rPr>
              <w:t xml:space="preserve"> </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绍兴市人民政府关于机构改革涉及市政府行政规范性文件规定的行政机关职责调整问题的决定</w:t>
            </w:r>
            <w:r>
              <w:rPr>
                <w:rFonts w:hint="default" w:ascii="Arial" w:hAnsi="Arial" w:eastAsia="仿宋_GB2312" w:cs="Arial"/>
                <w:i w:val="0"/>
                <w:color w:val="000000"/>
                <w:kern w:val="0"/>
                <w:sz w:val="24"/>
                <w:szCs w:val="24"/>
                <w:u w:val="none"/>
                <w:lang w:val="en-US" w:eastAsia="zh-CN" w:bidi="ar"/>
              </w:rPr>
              <w:t xml:space="preserve"> </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绍兴市人民政府关于市区禁止燃放烟花爆竹的通告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绍政发〔2019〕4号</w:t>
            </w:r>
            <w:r>
              <w:rPr>
                <w:rFonts w:ascii="Arial" w:hAnsi="Arial" w:eastAsia="仿宋_GB2312" w:cs="Arial"/>
                <w:i w:val="0"/>
                <w:color w:val="000000"/>
                <w:kern w:val="0"/>
                <w:sz w:val="24"/>
                <w:szCs w:val="24"/>
                <w:u w:val="none"/>
                <w:lang w:val="en-US" w:eastAsia="zh-CN" w:bidi="ar"/>
              </w:rPr>
              <w:t xml:space="preserve"> </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绍兴市人民政府关于进一步加强全市青少年体育工作的实施意见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绍政发〔2019〕7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绍兴市人民政府关于做好当前和今后一个时期促进就业工作的实施意见</w:t>
            </w:r>
            <w:r>
              <w:rPr>
                <w:rFonts w:ascii="Arial" w:hAnsi="Arial" w:eastAsia="仿宋_GB2312" w:cs="Arial"/>
                <w:i w:val="0"/>
                <w:color w:val="000000"/>
                <w:kern w:val="0"/>
                <w:sz w:val="24"/>
                <w:szCs w:val="24"/>
                <w:u w:val="none"/>
                <w:lang w:val="en-US" w:eastAsia="zh-CN" w:bidi="ar"/>
              </w:rPr>
              <w:t xml:space="preserve"> </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绍政发〔2019〕9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绍兴市人民政府关于印发绍兴市区临时救助实施细则的通知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绍政发〔2019〕12号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绍兴市人民政府关于鼓励社会力量兴办教育促进民办教育健康发展的实施意见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绍政发〔2019〕14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绍兴市人民政府关于印发绍兴市养犬管理办法的通知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绍兴市人民政府关于印发绍兴市扬尘污染防治管理办法的通知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绍兴市人民政府关于公布绍兴市区基准地价更新成果的通知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绍政发〔2019〕21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绍兴市人民政府关于在市场监管领域全面推行部门联合“双随机、一公开”监管的实施意见</w:t>
            </w:r>
            <w:r>
              <w:rPr>
                <w:rFonts w:ascii="Arial" w:hAnsi="Arial" w:eastAsia="仿宋_GB2312" w:cs="Arial"/>
                <w:i w:val="0"/>
                <w:color w:val="000000"/>
                <w:kern w:val="0"/>
                <w:sz w:val="24"/>
                <w:szCs w:val="24"/>
                <w:u w:val="none"/>
                <w:lang w:val="en-US" w:eastAsia="zh-CN" w:bidi="ar"/>
              </w:rPr>
              <w:t xml:space="preserve"> </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绍政发〔2019〕22 号</w:t>
            </w:r>
            <w:r>
              <w:rPr>
                <w:rFonts w:ascii="Arial" w:hAnsi="Arial" w:eastAsia="仿宋_GB2312" w:cs="Arial"/>
                <w:i w:val="0"/>
                <w:color w:val="000000"/>
                <w:kern w:val="0"/>
                <w:sz w:val="24"/>
                <w:szCs w:val="24"/>
                <w:u w:val="none"/>
                <w:lang w:val="en-US" w:eastAsia="zh-CN" w:bidi="ar"/>
              </w:rPr>
              <w:t xml:space="preserve"> </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绍兴市人民政府关于促进5G基础建设和应用发展的若干意见（试行）</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绍政发〔2020〕4号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绍兴市人民政府关于印发《绍兴市人民政府地方性法规案和规章制定办法》《绍兴市人民政府立法项目前评估规则》的通知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绍政发〔2020〕5号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绍兴市人民政府关于划定绍兴市区禁止使用高排放非道路移动机械区域的通告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绍政发〔2020〕10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绍兴市人民政府关于综合行政执法划转行政处罚事项的通告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绍政发〔2020〕13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绍兴市人民政府关于印发绍兴市城镇生活垃圾分类管理办法和绍兴市餐厨垃圾管理办法的通知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绍政发〔2020〕15号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绍兴市人民政府关于调整全市最低工资标准的通知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绍政发〔2021〕21号 </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绍兴市人民政府关于公布市级重要水域名录的通知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绍政发〔2021〕30号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绍兴市人民政府关于印发绍兴市突发公共卫生事件应急办法的通知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绍政发〔2021〕31号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绍兴市人民政府关于公布绍兴会稽山古香榧群保护范围及核心区界线的通告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绍政发〔2021〕32号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绍兴市人民政府关于公布绍兴市新增综合行政执法事项统一目录的通告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绍政发〔2021〕34号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绍兴市人民政府关于印发绍兴市新一轮制造业“腾笼换鸟、凤凰涅</w:t>
            </w:r>
            <w:r>
              <w:rPr>
                <w:rFonts w:hint="eastAsia" w:ascii="宋体" w:hAnsi="宋体" w:eastAsia="宋体" w:cs="宋体"/>
                <w:i w:val="0"/>
                <w:color w:val="000000"/>
                <w:kern w:val="0"/>
                <w:sz w:val="24"/>
                <w:szCs w:val="24"/>
                <w:u w:val="none"/>
                <w:lang w:val="en-US" w:eastAsia="zh-CN" w:bidi="ar"/>
              </w:rPr>
              <w:t>槃</w:t>
            </w:r>
            <w:r>
              <w:rPr>
                <w:rFonts w:hint="eastAsia" w:ascii="仿宋_GB2312" w:hAnsi="宋体" w:eastAsia="仿宋_GB2312" w:cs="仿宋_GB2312"/>
                <w:i w:val="0"/>
                <w:color w:val="000000"/>
                <w:kern w:val="0"/>
                <w:sz w:val="24"/>
                <w:szCs w:val="24"/>
                <w:u w:val="none"/>
                <w:lang w:val="en-US" w:eastAsia="zh-CN" w:bidi="ar"/>
              </w:rPr>
              <w:t>”攻坚行动方案的通知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绍政发〔2022〕2号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绍兴市人民政府关于实施科技强农机械强农行动大力提升农业生产效率的实施意见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绍政发〔2022〕7号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绍兴市人民政府关于公布绍兴市综合行政执法事项扩展目录的通告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绍政发〔2022〕10号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绍兴市人民政府关于动态调整全市城乡低保标准的通知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绍政发〔2022〕13号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绍兴市人民政府关于公布《绍兴市新增综合行政执法事项统一目录（2022年）》和《绍兴市综合行政执法建设领域调整事项目录》的通告</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绍政发〔2022〕16号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绍兴市人民政府关于越城区部分行政区划调整的批复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绍政函〔2017〕37号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绍兴市人民政府关于柯桥区部分行政区划调整的批复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绍政函〔2017〕38号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绍兴市人民政府关于上虞区部分行政区划调整的批复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绍政函〔2017〕39号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绍兴市人民政府关于越城区部分行政区划调整的批复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绍政函〔2019〕66号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绍兴市人民政府关于柯桥区部分行政区划调整的批复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绍政函〔2019〕67号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绍兴市人民政府关于上虞区部分行政区划调整的批复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绍政函〔2019〕68号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绍兴市人民政府关于新昌县部分行政区划调整的批复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绍政函〔2019〕89号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绍兴市人民政府关于同意撤销上虞区沥海街道设立越城区沥海街道的批复</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绍政函〔2021〕12号 </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关于对部分规范性文件进行修改的通知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绍市府办发〔1990〕76号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绍兴市人民政府办公室关于停止执行有关市政府及市政府办公室文件的通知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绍政办发〔2002〕16号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绍兴市人民政府办公室关于印发《绍兴市有序用电管理办法》的通知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绍政办发〔2003〕138号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绍兴市人民政府办公室关于完善市区改制企事业单位国有土地使用权处置问题的意见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绍政办发〔2003〕144号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绍兴市人民政府办公室印发关于市区房改房经济适用房及其它行政划拨土地的住宅转让交易时土地有偿使用规定的通知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绍政办发〔2004〕154号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绍兴市人民政府办公室关于加强绍兴市区地下空间土地使用权管理的意见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绍政办发〔2004〕194号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绍兴市人民政府办公室关于印发绍兴市劳动模范模范集体评选和管理暂行办法的通知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绍政办发〔2005〕71号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绍兴市人民政府办公室关于印发绍兴市区公共消火栓管理办法的通知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绍政办发〔2005〕97号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消防绍兴市支队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绍兴市人民政府办公室关于印发绍兴市区建筑垃圾管理规定的通知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绍政办发〔2005〕142号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绍兴市人民政府办公室关于印发绍兴市区城市绿线管理办法的通知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绍政办发〔2006〕134号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绍兴市人民政府办公室关于市区军转干部随军随调配偶安置工作的意见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绍政办发〔2007〕117号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绍兴市人民政府办公室关于进一步严格土地管理坚决遏制违法建设有关问题的意见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绍政办发〔2007〕204号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绍兴市人民政府办公室关于印发绍兴市区物业专项维修资金管理办法(试行)的通知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绍政办发〔2008〕63号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绍兴市人民政府关于停止执行有关规范性文件的通知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绍政发〔2008〕78号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绍兴市人民政府办公室关于印发绍兴市抚恤优待对象医疗保障实施办法的通知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绍政办发〔2009〕76号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绍兴市人民政府办公室关于印发绍兴市退役士兵职业技能教育培训工作实施办法（试行）的通知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绍政办发〔2011〕29号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绍兴市人民政府办公室转发市财政局关于绍兴市本级道路交通事故社会救助基金管理试行办法的通知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绍政办发〔2011〕151号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绍兴市人民政府办公室关于印发绍兴市区规范住改商和利用城市地下空间从事经营活动若干规定（试行）的通知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绍政办发〔2011〕168号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绍兴市人民政府办公室关于印发浙江（绍兴）外国专家工作站暂行办法的通知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绍政办发〔2011〕182号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绍兴市人民政府办公室关于印发绍兴市区排污权有偿使用和交易试点工作实施办法的通知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绍政办发〔2012〕5号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绍兴市人民政府办公室关于印发绍兴市区殡葬基本服务项目免费办法的通知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绍政办发〔2012〕78号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绍兴市人民政府办公室关于印发绍兴市病死动物和动物产品无害化处理管理办法的通知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绍政办发〔2012〕163号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绍兴市人民政府办公室关于建立价格调节基金的通知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绍政办发〔2013〕30号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绍兴市人民政府办公室关于调整劳动模范荣誉津贴的通知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绍政办发〔2013〕47号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绍兴市人民政府办公室关于进城务工人员随迁子女义务教育后在绍兴市区初中升高中工作的实施意见（试行）</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绍政办发〔2013〕66号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绍兴市人民政府办公室关于印发绍兴市规范行政机关合同管理工作实施办法的通知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绍政办发〔2013〕77号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绍兴市人民政府办公室关于个体工商户转企业及小微企业规范升级的意见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绍政办发〔2013〕91号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绍兴市人民政府办公室关于加强市区商业商务类项目管理的意见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绍政办发〔2013〕107号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绍兴市人民政府办公室转发市发改委等单位关于绍兴市重大产业项目审批代理暂行办法的通知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绍政办发〔2013〕121号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绍兴市人民政府办公室关于印发越城区行政区域住宅小区社区配套用房建设管理暂行办法的通知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绍政办发〔2013〕179号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绍兴市人民政府办公室关于停止执行有关规范性文件的通知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绍兴市人民政府办公室关于扩大柯桥区企业投资项目高效审批试点市级放权实施范围的通知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绍兴市人民政府办公室转发市卫生局、市人力社保局、市财政局、市编委办关于进一步加强非公立医疗机构卫生技术人员队伍建设和社会保障实施办法（试行）的通知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绍政办发〔2014〕46号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绍兴市人民政府办公室关于进一步加强老年体育工作的意见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绍政办发〔2014〕51号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绍兴市人民政府办公室关于印发加强市区广场舞管理实施意见（试行）的通知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绍政办发〔2014〕76号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绍兴市人民政府办公室转发市人力社保局等 4 部门关于加强企业技能人才队伍建设实施意见的通知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绍政办发〔2014〕92号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绍兴市人民政府办公室关于停止执行部分行政规范性文件的通知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绍政办发〔2014〕95号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绍兴市人民政府办公室关于印发进一步加强计量工作实施意见的通知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绍政办发〔2014〕110号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绍兴市人民政府办公室关于大力推进“浙江制造”品牌建设的实施意见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绍政办发〔2014〕146号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绍兴市人民政府办公室转发市体育局市教育局市财政局关于绍兴市中小学校体育场地设施向社会开放实施办法的通知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绍政办发〔2014〕148号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绍兴市人民政府办公室关于印发绍兴市放宽企业住所（经营场所）登记条件细则的通知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绍政办发〔2014〕149号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绍兴市人民政府办公室关于印发绍兴市档案资料征集办法的通知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绍政办发〔2014〕150号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158</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绍兴市人民政府办公室关于推行政府向社会力量购买服务的实施意见</w:t>
            </w:r>
          </w:p>
        </w:tc>
        <w:tc>
          <w:tcPr>
            <w:tcW w:w="2926"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绍政办发〔2015〕24号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159</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绍兴市人民政府办公室关于切实加强油气输送管道安全监管工作的意见</w:t>
            </w:r>
          </w:p>
        </w:tc>
        <w:tc>
          <w:tcPr>
            <w:tcW w:w="2926"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绍政办发〔2015〕43号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160</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绍兴市人民政府办公室关于推广运用政府和社会资本合作模式的实施意见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绍政办发〔2015〕52号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161</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绍兴市人民政府办公室关于推进全科医生签约服务工作的实施意见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绍政办发〔2015〕53号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162</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绍兴市人民政府办公室关于进一步完善越城区行政区域经营性用地出让管理工作的意见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绍政办发〔2015〕56号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163</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绍兴市人民政府办公室关于对涉违房产采取“四不予”措施的通知</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绍政办发〔2015〕82号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164</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绍兴市人民政府办公室关于印发市级行政事业单位公款竞争性存放管理暂行办法的通知</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绍政办发〔2015〕86号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165</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绍兴市人民政府办公室关于加强职业卫生监管工作的实施意见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绍政办发〔2015〕90号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166</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绍兴市人民政府办公室关于全面治理货运车辆超限超载等违法运输行为的意见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绍政办发〔2015〕91号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167</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绍兴市人民政府办公室关于印发绍兴市应对极端天气停课安排和误工处</w:t>
            </w:r>
            <w:r>
              <w:rPr>
                <w:rFonts w:hint="eastAsia" w:ascii="Times New Roman" w:hAnsi="Times New Roman" w:eastAsia="宋体" w:cs="Times New Roman"/>
                <w:i w:val="0"/>
                <w:color w:val="000000"/>
                <w:kern w:val="0"/>
                <w:sz w:val="24"/>
                <w:szCs w:val="24"/>
                <w:u w:val="none"/>
                <w:lang w:val="en-US" w:eastAsia="zh-CN" w:bidi="ar"/>
              </w:rPr>
              <w:t>理实施意见（试行）的通知</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绍政办发〔2015〕92号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168</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绍兴市人民政府办公室关于支持特种设备制造业发展的实施意见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绍政办发〔2015〕97号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169</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绍兴市人民政府办公室关于建立绍兴市疾病应急救助制度的实施意见</w:t>
            </w:r>
          </w:p>
        </w:tc>
        <w:tc>
          <w:tcPr>
            <w:tcW w:w="2926"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绍政办发〔2015〕101号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170</w:t>
            </w:r>
          </w:p>
        </w:tc>
        <w:tc>
          <w:tcPr>
            <w:tcW w:w="759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绍兴市人民政府办公室关于规范绍兴市农村产权交易管理工作的若干意见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绍政办发〔2015〕103号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171</w:t>
            </w:r>
          </w:p>
        </w:tc>
        <w:tc>
          <w:tcPr>
            <w:tcW w:w="759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绍兴市人民政府办公室关于印发绍兴市市级政府部门权力清单管理办法的通知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绍政办发〔2015〕104号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绍兴市人民政府办公室关于推进市县行政审批层级一体化改革创新审批方式提高审批效能的实施意见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绍政办发〔2015〕106号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市政务服务办公室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173</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绍兴市人民政府办公室关于进一步做好为农民工服务工作的实施意见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绍政办发〔2016〕11号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174</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绍兴市人民政府办公室关于加强农村留守儿童关爱保护工作的实施意见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绍政办发〔2016〕22号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175</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绍兴市人民政府办公室关于深化基层违法建设长效防控机制的指导意见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绍政办发〔2016〕26号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绍兴市人民政府办公室关于推进安全生产社会化服务工作的实施意见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绍政办发〔2016〕30号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绍兴市人民政府办公室关于印发绍兴市区货车禁行区域和危化品运输线路调整方案的通知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绍政办发〔2016〕36号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绍兴市人民政府办公室转发市发改委等四部门关于大力推进大众创业万众创新实施意见的通知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绍政办发〔2016〕37号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绍兴市人民政府办公室转发市教育局、市公安局、市交通运输局关于进一步提升中小学生交通安全保障水平实施意见的通知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绍政办发〔2016〕41号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绍兴市人民政府办公室关于全面加强和改进学校美育工作的实施意见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绍政办发〔2016〕50号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绍兴市人民政府办公室关于进一步加强安全生产监管执法工作的通知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绍政办发〔2016〕52号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绍兴市人民政府办公室关于印发绍兴市事业单位公开招聘工作实施细则（试行）的通知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绍政办发〔2016〕64号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绍兴市人民政府办公室关于开展建立各类事业单位统一登记管理制度试点促进民办公益事业发展的实施意见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绍政办发〔2016〕69号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绍兴市人民政府办公室关于公布市政府及市政府办公室行政规范性文件清理结果的通知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绍政办发〔2016〕88号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绍兴市人民政府办公室关于支持戏曲传承发展的实施意见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绍政办发〔2016〕91号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绍兴市人民政府办公室关于修改部分行政规范性文件的通知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绍政办发〔2016〕94号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187</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绍兴市人民政府办公室关于贯彻落实“先照后证”改革加强事中事后监管的实施意见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绍政办发〔2016〕103号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188</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绍兴市人民政府办公室关于贯彻浙江省流动人口居住登记条例的实施意见</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绍政办发〔2016〕114号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189</w:t>
            </w:r>
          </w:p>
        </w:tc>
        <w:tc>
          <w:tcPr>
            <w:tcW w:w="7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绍兴市人民政府办公室关于印发绍兴市市属国有企业违规经营投资资产损失责任追究暂行办法的通知</w:t>
            </w:r>
          </w:p>
        </w:tc>
        <w:tc>
          <w:tcPr>
            <w:tcW w:w="292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绍政办发〔2016〕116号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绍兴市人民政府办公室关于废止绍兴市区卷烟零售点合理布局管理规定的决定</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绍政办发〔2017〕11号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市烟草专卖局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绍兴市人民政府办公室关于印发绍兴市推进医疗卫生与养老服务相结合工作方案的通知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绍政办发〔2017〕15号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绍兴市人民政府办公室关于印发绍兴市居住房屋出租管理若干规定的通知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绍政办发〔2017〕21号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绍兴市人民政府办公室关于推进绍兴市家庭屋顶光伏工程建设的实施意见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绍政办发〔2017〕27号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绍兴市人民政府办公室转发市发改委关于完善困难群众基本生活价格补贴机制实施方案的通知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绍政办发〔2017〕31号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绍兴市人民政府办公室关于印发绍兴市“多证合一、一照一码”改革实施细则的通知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绍政办发〔2017〕46号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绍兴市人民政府办公室关于印发绍兴市“智慧电梯”建设实施方案的通知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绍政办发〔2017〕51号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绍兴市人民政府办公室关于进一步加强防雷安全工作的通知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绍政办发〔2017〕52号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绍兴市人民政府办公室关于公布市政府及市政府办公室行政规范性文件清理结果的通知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绍政办发〔2017〕60号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绍兴市人民政府办公室关于进一步推进“双下沉、两提升”工作的实施意见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绍政办发〔2017〕65号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绍兴市人民政府办公室关于印发市政府行政规范性文件征求意见工作规定的通知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绍政办发〔2017〕71号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绍兴市人民政府办公室关于推进海绵城市建设的实施意见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绍政办发〔2017〕72号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绍兴市人民政府办公室关于进一步加强“地沟油”治理工作的通知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绍政办发〔2017〕76号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绍兴市人民政府办公室关于鼓励和推动全市仿制药质量和疗效一致性评价工作的通知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绍兴市人民政府办公室关于印发绍兴市城乡生活垃圾分类实施方案的通知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绍政办发〔2018〕7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绍兴市人民政府办公室关于停止执行部分行政规范性文件的通知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绍兴市人民政府办公室关于印发绍兴市农业水价综合改革实施方案的通知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绍政办发〔2018〕15号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绍兴市人民政府办公室关于加快推进“僵尸企业”处置的实施意见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市发改委、经信局、金融办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绍兴市人民政府办公室关于开展企业投资项目“标准地”出让制度试点工作的意见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绍政办发〔2018〕27号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绍兴市人民政府办公室关于推行企业投资项目承诺制改革的实施意见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绍政办发〔2018〕32号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绍兴市人民政府办公室关于停止执行和修改有关行政规范性文件的通知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绍政办发〔2018〕42号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绍兴市人民政府办公室关于印发绍兴市气象灾害预警信号发布与传播管理实施办法的通知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绍政办发〔2018〕44号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绍兴市人民政府办公室关于加强个人诚信体系建设的通知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绍政办发〔2018〕48号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绍兴市人民政府办公室关于印发绍兴市推进城镇人口密集区危险化学品生产企业搬迁改造工作方案的通知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绍政办发〔2018〕51号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绍兴市人民政府办公室关于进一步促进小微企业创新发展的实施意见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绍政办发〔2018〕67号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绍兴市人民政府办公室关于公布市政府及市政府办公室行政规范性文件清理结果的通知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绍政办发〔2018〕75号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绍兴市人民政府办公室关于印发绍兴市清废行动实施方案的通知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绍政办发〔2018〕81号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绍兴市人民政府办公室关于印发绍兴市食盐储备管理暂行办法的通知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绍政办发〔2018〕85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绍兴市人民政府办公室关于大力发展粮食产业经济保障粮食安全的实施意见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绍政办发〔2019〕5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绍兴市人民政府办公室关于深化养老服务综合改革提升养老服务质量的实施意见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绍政办发〔2019〕6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绍兴市人民政府办公室关于加强病残吸毒人员收治收戒工作的实施意见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绍政办发〔2019〕7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绍兴市人民政府办公室关于加快推进5G网络规划建设的实施意见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绍政办发〔2019〕13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绍兴市人民政府办公室关于加快小微企业园高质量发展的实施意见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绍兴市人民政府办公室关于印发绍兴市区计划生育公益金管理办法的通知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绍政办发〔2019〕23号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绍兴市人民政府办公室关于既有住宅加装电梯工作的实施意见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绍政办发〔2019〕24号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绍兴市人民政府办公室关于深化“亩均论英雄”改革差别化配置要素资源的指导意见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绍政办发〔2019〕27号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绍兴市人民政府办公室关于印发绍兴市老旧小区综合改造提升工作实施方案的通知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绍政办发〔2019〕30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绍兴市人民政府办公室关于推进全市医疗保险和生育保险工作的意见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绍政办发〔2019〕32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绍兴市人民政府办公室关于公布市政府及市政府办公室行政规范性文件清理结果的通知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绍政办发〔2019〕34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绍兴市人民政府办公室关于进一步支持社会力量提供多层次多样化医疗服务的实施意见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绍政办发〔2019〕35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绍兴市人民政府办公室关于印发绍兴市城镇生活垃圾分类处理三年行动方案（2020—2022 年）的通知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绍政办发〔2019〕36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绍兴市人民政府办公室关于推进电子商务与快递物流协同发展的实施意见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绍政办发〔2019〕37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绍兴市人民政府办公室关于加快推进绍兴市未来社区建设的实施意见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绍政办发〔2019〕39号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绍兴市人民政府办公室关于印发绍兴市深化工程建设项目审批制度改革工作实施方案的通知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绍兴市人民政府办公室关于印发绍兴市工程渣土（泥浆）处置管理办法的通知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绍政办发〔2020〕11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绍兴市人民政府办公室关于印发绍兴市深化产教融合五年行动计划（2020—2024年）的通知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绍兴市人民政府办公室关于改革完善医疗卫生行业综合监管制度的实施意见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绍政办发〔2020〕25号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绍兴市人民政府办公室关于进一步做好稳就业工作的通知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绍政办发〔2020〕29号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绍兴市人民政府办公室关于促进全民健身和体育消费推动体育产业高质量发展的实施意见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绍政办发〔2020〕33号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绍兴市人民政府办公室关于公布市政府及市政府办公室行政规范性文件清理结果的通知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绍政办发〔2020〕41号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绍兴市人民政府办公室关于印发绍兴市全面做实基本医疗保险市级统筹试点方案（试行）的通知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绍政办发〔2020〕44号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绍兴市人民政府办公室关于加快推进新型研发机构建设的实施意见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绍政办发〔2020〕54号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绍兴市人民政府办公室关于印发《绍兴市加快学前教育优质普惠发展第四轮行动计划（2021—2023年）》的通知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绍兴市人民政府办公室关于加快推进绿色建筑和新型建筑工业化发展的实施意见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绍兴市人民政府办公室关于印发绍兴市加快推进集成电路产业发展若干政策（试行）的通知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绍政办发〔2021〕6号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绍兴市人民政府办公室关于印发绍兴市建设国家体育消费试点城市工作方案的通知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绍兴市人民政府办公室关于印发绍兴市科技企业“双倍增”行动计划（2021—2025年）的通知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绍政办发〔2021〕13号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绍兴市人民政府办公室关于印发坚决制止耕地“非农化”防止耕地“非粮化”稳定发展粮食生产实施方案的通知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绍兴市人民政府办公室关于印发绍兴市区户外广告和招牌设置管理规定的通知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绍政办发〔2021〕21号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绍兴市人民政府办公室关于印发绍兴市开发区（园区）工业全域治理行动方案的通知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绍政办发〔2021〕22号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绍兴市人民政府办公室关于印发绍兴市制造业企业“长高长壮”行动方案的通知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绍政办发〔2021〕25号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绍兴市人民政府办公室关于全面推进人防工程产权制度综合改革的实施意见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绍政办发〔2021〕27号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绍兴市人民政府办公室关于印发绍兴市生产安全事故报告和调查处理实施办法的通知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绍政办发〔2021〕28号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绍兴市人民政府办公室关于印发绍兴市网络预约出租汽车经营服务管理实施办法的通知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绍兴市人民政府办公室关于贯彻落实《浙江省人民政府办公厅关于加快农业保险高质量发展的实施意见》的通知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default" w:ascii="Arial" w:hAnsi="Arial" w:eastAsia="宋体" w:cs="Arial"/>
                <w:i w:val="0"/>
                <w:color w:val="000000"/>
                <w:kern w:val="0"/>
                <w:sz w:val="24"/>
                <w:szCs w:val="24"/>
                <w:u w:val="none"/>
                <w:lang w:val="en-US" w:eastAsia="zh-CN" w:bidi="ar"/>
              </w:rPr>
              <w:softHyphen/>
            </w:r>
            <w:r>
              <w:rPr>
                <w:rFonts w:hint="eastAsia" w:ascii="仿宋_GB2312" w:hAnsi="Arial" w:eastAsia="仿宋_GB2312" w:cs="仿宋_GB2312"/>
                <w:i w:val="0"/>
                <w:color w:val="000000"/>
                <w:kern w:val="0"/>
                <w:sz w:val="24"/>
                <w:szCs w:val="24"/>
                <w:u w:val="none"/>
                <w:lang w:val="en-US" w:eastAsia="zh-CN" w:bidi="ar"/>
              </w:rPr>
              <w:t>绍兴市人民政府办公室关于深化农村公路管理养护体制改革的实施意见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绍兴市人民政府办公室关于印发绍兴市个人诚信分管理办法（试行）的通知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绍兴市人民政府办公室关于印发绍兴市公共体育设施建设和管理办法的通知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258</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绍兴市人民政府办公室关于停止执行部分市政府及市政府办公室文件的通知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绍政办发〔2021〕35号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259</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绍兴市人民政府办公室关于印发绍兴市深化基层卫生健康综合改革实施方案的通知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260</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绍兴市人民政府办公室关于进一步完善和落实劳动模范医疗补助待遇的通知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绍政办发〔2022〕3号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261</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绍兴市人民政府办公室关于加快发展保障性租赁住房的实施意见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绍政办发〔2022〕4号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262</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绍兴市人民政府办公室关于进一步加强行政规范性文件合法性审核和监督管理工作的通知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绍政办发〔2022〕5号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263</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绍兴市人民政府办公室关于印发加快推进工业经济高质量发展若干政策等八个政策的通知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绍政办发〔2022〕11号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市发改委、经信局、建设局、金融办、科技局、商务局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264</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绍兴市人民政府办公室关于贯彻落实《绍兴市居家养老服务条例》的实施意见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绍政办发〔2022〕19号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265</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绍兴市人民政府办公室关于推动绍兴建筑业改革创新高质量发展的实施意见</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绍政办发〔2022〕22号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266</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绍兴市人民政府办公室关于行政应诉专用章使用管理的通知</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绍政办函〔2019〕10号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267</w:t>
            </w:r>
          </w:p>
        </w:tc>
        <w:tc>
          <w:tcPr>
            <w:tcW w:w="7590"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绍兴市人民政府办公室关于同意赋予区、县（市）专利行政部门专利执法权的复函</w:t>
            </w:r>
          </w:p>
        </w:tc>
        <w:tc>
          <w:tcPr>
            <w:tcW w:w="292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绍政办函〔2019〕11 号</w:t>
            </w:r>
          </w:p>
        </w:tc>
        <w:tc>
          <w:tcPr>
            <w:tcW w:w="250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2" w:lineRule="auto"/>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市市场监管局</w:t>
            </w:r>
          </w:p>
        </w:tc>
      </w:tr>
    </w:tbl>
    <w:p>
      <w:pPr>
        <w:spacing w:line="600" w:lineRule="exact"/>
        <w:sectPr>
          <w:pgSz w:w="16838" w:h="11906" w:orient="landscape"/>
          <w:pgMar w:top="1440" w:right="1800" w:bottom="1440" w:left="1800" w:header="851" w:footer="1531" w:gutter="0"/>
          <w:pgBorders>
            <w:top w:val="none" w:sz="0" w:space="0"/>
            <w:left w:val="none" w:sz="0" w:space="0"/>
            <w:bottom w:val="none" w:sz="0" w:space="0"/>
            <w:right w:val="none" w:sz="0" w:space="0"/>
          </w:pgBorders>
          <w:cols w:space="720" w:num="1"/>
          <w:rtlGutter w:val="0"/>
          <w:docGrid w:type="lines" w:linePitch="582" w:charSpace="0"/>
        </w:sectPr>
      </w:pPr>
    </w:p>
    <w:p>
      <w:pPr>
        <w:spacing w:before="100" w:beforeAutospacing="1" w:after="100" w:afterAutospacing="1"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停止执行的行政规范性文件目录</w:t>
      </w:r>
    </w:p>
    <w:tbl>
      <w:tblPr>
        <w:tblStyle w:val="7"/>
        <w:tblW w:w="12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5"/>
        <w:gridCol w:w="6465"/>
        <w:gridCol w:w="2851"/>
        <w:gridCol w:w="2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6465"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标题</w:t>
            </w:r>
          </w:p>
        </w:tc>
        <w:tc>
          <w:tcPr>
            <w:tcW w:w="285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文号</w:t>
            </w:r>
          </w:p>
        </w:tc>
        <w:tc>
          <w:tcPr>
            <w:tcW w:w="2444"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清理责任部门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绍兴市村级档案管理暂行办法</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政府令第29号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绍兴市区土地使用权交易管理暂行规定</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政府令第56号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绍兴市燃气管理办法(试行)</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政府令第73号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绍兴市工程建设项目招标投标管理办法</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政府令第84号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市政务服务办公室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绍兴市农村公路养护与管理暂行办法</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政府令第90号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绍兴市区征收集体土地办法</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政府令第92号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印发《绍兴市市区环境卫生有偿服务实施办法》的通知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绍市府发〔1993〕114号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关于绍兴市区禁止拖拉机行驶和局部区域禁鸣机动车喇叭的通告</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绍市府发〔1995〕100号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绍兴市人民政府关于招标拍卖挂牌出让国有土地使用权规定的实施意见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绍政发〔2002〕66号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绍兴市人民政府关于扩大市区货运汽车禁驶区域的通告</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绍政发〔2003〕74号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绍兴市人民政府关于贯彻实施浙江省失业保险条例有关问题的通知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绍政发〔2004〕35号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绍兴市人民政府关于进一步做好就业工作促进社会和谐的实施意见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绍政发〔2009〕19号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绍兴市人民政府关于印发绍兴市市级储备粮管理办法的通知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绍政发〔2009〕69号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绍兴市人民政府关于调整绍兴市城市管理相对集中行政处罚权管理体制和范围的实施意见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绍政发〔2013〕11号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绍兴市人民政府关于印发绍兴市“三改一拆”行动实施方案的通知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绍政发〔2013〕30号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绍兴市人民政府关于印发绍兴市区被征地农民养老保障制度并轨实施意见的通知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绍政发〔2013〕42号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绍兴市人民政府关于进一步加快养老服务业发展的意见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绍政发〔2014〕41号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绍兴市人民政府关于加快特色小镇培育建设的指导意见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绍政发〔2015〕27号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绍兴市人民政府关于加强新时期爱国卫生工作的实施意见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绍政发〔2016〕1号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绍兴市人民政府关于全面建立困难残疾人生活补贴和重度残疾人护理补贴制度的若干意见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绍政发〔2016〕18号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绍兴市人民政府关于印发绍兴市盐业体制改革实施方案的通知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绍政发〔2017〕21号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绍兴市人民政府办公室印发关于市区违法用地补办审批手续若干意见的通知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绍政办发〔2005〕82号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绍兴市人民政府办公室关于印发绍兴市城乡公交客运管理办法(试行)的通知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绍政办发〔2007〕22号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绍兴市人民政府办公室转发市国土局关于绍兴市区工业用地招标拍卖挂牌出让实施意见（试行）的通知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绍政办发〔2007〕68号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绍兴市人民政府办公室关于印发绍兴市征地补偿标准争议协调办法的通知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绍政办发〔2009〕6号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绍兴市人民政府办公室关于印发加快市区批而未供供而未用土地消化盘活工作实施方案的通知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绍政办发〔2013〕75号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绍兴市人民政府办公室关于印发绍兴市救助申请家庭经济状况核对办法的通知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绍政办发〔2013〕82号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绍兴市人民政府办公室关于进一步加强市区经营性用地出让管理的若干意见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绍政办发〔2014〕37号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绍兴市人民政府办公室关于印发绍兴市开展全国适度普惠型儿童福利制度建设试点工作方案的通知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绍政办发〔2014〕113号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绍兴市人民政府办公室关于鼓励和引导民间资本进入养老服务业的实施意见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绍政办发〔2014〕134号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64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绍兴市人民政府办公室关于加快推进全市不动产统一登记工作的通知</w:t>
            </w:r>
          </w:p>
        </w:tc>
        <w:tc>
          <w:tcPr>
            <w:tcW w:w="285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绍政办发〔2015〕85号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绍兴市人民政府办公室关于加快推进中医药健康服务发展的实施意见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绍政办发〔2016〕5号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绍兴市人民政府办公室关于促进自主出口品牌发展的若干意见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绍政办发〔2016〕83号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绍兴市人民政府办公室关于强化保险服务功能支持经济社会发展的实施意见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绍政办发〔2016〕84号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64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绍兴市人民政府办公室关于绍兴市区城中村改造房屋征收货币补偿和市场化安置奖励的实施意见（试行）</w:t>
            </w:r>
          </w:p>
        </w:tc>
        <w:tc>
          <w:tcPr>
            <w:tcW w:w="285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绍政办发〔2016〕100号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64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绍兴市人民政府办公室关于推进绿色建筑和建筑产业现代化发展的实施意见</w:t>
            </w:r>
          </w:p>
        </w:tc>
        <w:tc>
          <w:tcPr>
            <w:tcW w:w="285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绍政办发〔2016〕108号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绍兴市人民政府办公室关于印发绍兴市区征收集体所有土地房屋补偿办法（试行）的通知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绍政办发〔2017〕1号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绍兴市人民政府办公室关于明确市区人防结建政策的通知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绍政办发〔2017〕34号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绍兴市人民政府办公室关于进一步加强住户调查工作的通知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绍政办发〔2017〕59号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国家统计局绍兴调查队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绍兴市人民政府办公室关于推进政策性融资担保体系建设的实施意见 </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绍政办发〔2017〕77 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绍兴市人民政府办公室关于加快发展人力资源服务业的实施意见</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绍政办发〔2018〕21号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绍兴市人民政府办公室关于印发绍兴市住房公积金抵押贷款管理办法的通知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绍政办发〔2018〕87号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绍兴市人民政府办公室关于进一步促进生猪生产保障市场供应的通知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绍政办发〔2019〕29 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绍兴市人民政府办公室关于印发绍兴市农村生活垃圾分类管理办法的通知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绍政办发〔2020〕5号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绍兴市人民政府办公室关于印发绍兴市推进全省全域“无废城市”建设工作方案的通知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绍政办发〔2020〕28号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4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6465"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绍兴市人民政府办公室关于印发绍兴市轨道交通1号线柯桥段运营管理暂行办法的通知</w:t>
            </w:r>
          </w:p>
        </w:tc>
        <w:tc>
          <w:tcPr>
            <w:tcW w:w="285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绍政办发〔2021〕14号</w:t>
            </w:r>
          </w:p>
        </w:tc>
        <w:tc>
          <w:tcPr>
            <w:tcW w:w="2444"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市交通运输局</w:t>
            </w:r>
          </w:p>
        </w:tc>
      </w:tr>
    </w:tbl>
    <w:p>
      <w:pPr>
        <w:spacing w:line="600" w:lineRule="exact"/>
        <w:sectPr>
          <w:pgSz w:w="16838" w:h="11906" w:orient="landscape"/>
          <w:pgMar w:top="1440" w:right="1800" w:bottom="1440" w:left="1800" w:header="851" w:footer="1531" w:gutter="0"/>
          <w:pgBorders>
            <w:top w:val="none" w:sz="0" w:space="0"/>
            <w:left w:val="none" w:sz="0" w:space="0"/>
            <w:bottom w:val="none" w:sz="0" w:space="0"/>
            <w:right w:val="none" w:sz="0" w:space="0"/>
          </w:pgBorders>
          <w:cols w:space="720" w:num="1"/>
          <w:rtlGutter w:val="0"/>
          <w:docGrid w:type="lines" w:linePitch="582" w:charSpace="0"/>
        </w:sectPr>
      </w:pPr>
    </w:p>
    <w:p>
      <w:pPr>
        <w:spacing w:after="100" w:afterAutospacing="1" w:line="600" w:lineRule="exact"/>
        <w:jc w:val="center"/>
        <w:rPr>
          <w:rFonts w:ascii="方正小标宋简体" w:eastAsia="方正小标宋简体"/>
          <w:sz w:val="44"/>
          <w:szCs w:val="44"/>
        </w:rPr>
      </w:pPr>
      <w:r>
        <w:rPr>
          <w:rFonts w:hint="eastAsia" w:ascii="方正小标宋简体" w:eastAsia="方正小标宋简体"/>
          <w:sz w:val="44"/>
          <w:szCs w:val="44"/>
        </w:rPr>
        <w:t>修改的行政规范性文件目录和修改内容</w:t>
      </w:r>
    </w:p>
    <w:tbl>
      <w:tblPr>
        <w:tblStyle w:val="7"/>
        <w:tblW w:w="13718" w:type="dxa"/>
        <w:jc w:val="center"/>
        <w:tblInd w:w="0" w:type="dxa"/>
        <w:tblLayout w:type="fixed"/>
        <w:tblCellMar>
          <w:top w:w="0" w:type="dxa"/>
          <w:left w:w="108" w:type="dxa"/>
          <w:bottom w:w="0" w:type="dxa"/>
          <w:right w:w="108" w:type="dxa"/>
        </w:tblCellMar>
      </w:tblPr>
      <w:tblGrid>
        <w:gridCol w:w="876"/>
        <w:gridCol w:w="2820"/>
        <w:gridCol w:w="1895"/>
        <w:gridCol w:w="8127"/>
      </w:tblGrid>
      <w:tr>
        <w:tblPrEx>
          <w:tblLayout w:type="fixed"/>
          <w:tblCellMar>
            <w:top w:w="0" w:type="dxa"/>
            <w:left w:w="108" w:type="dxa"/>
            <w:bottom w:w="0" w:type="dxa"/>
            <w:right w:w="108" w:type="dxa"/>
          </w:tblCellMar>
        </w:tblPrEx>
        <w:trPr>
          <w:trHeight w:val="556"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黑体" w:eastAsia="黑体"/>
                <w:color w:val="000000"/>
                <w:kern w:val="0"/>
                <w:sz w:val="24"/>
                <w:szCs w:val="24"/>
              </w:rPr>
            </w:pPr>
            <w:r>
              <w:rPr>
                <w:rFonts w:hint="eastAsia" w:ascii="黑体" w:eastAsia="黑体"/>
                <w:color w:val="000000"/>
                <w:kern w:val="0"/>
                <w:sz w:val="24"/>
                <w:szCs w:val="24"/>
              </w:rPr>
              <w:t>序号</w:t>
            </w:r>
          </w:p>
        </w:tc>
        <w:tc>
          <w:tcPr>
            <w:tcW w:w="28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eastAsia="黑体"/>
                <w:color w:val="000000"/>
                <w:kern w:val="0"/>
                <w:sz w:val="24"/>
                <w:szCs w:val="24"/>
              </w:rPr>
            </w:pPr>
            <w:r>
              <w:rPr>
                <w:rFonts w:hint="eastAsia" w:ascii="黑体" w:eastAsia="黑体"/>
                <w:color w:val="000000"/>
                <w:kern w:val="0"/>
                <w:sz w:val="24"/>
                <w:szCs w:val="24"/>
              </w:rPr>
              <w:t>文件名称</w:t>
            </w:r>
          </w:p>
        </w:tc>
        <w:tc>
          <w:tcPr>
            <w:tcW w:w="189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eastAsia="黑体"/>
                <w:color w:val="000000"/>
                <w:kern w:val="0"/>
                <w:sz w:val="24"/>
                <w:szCs w:val="24"/>
              </w:rPr>
            </w:pPr>
            <w:r>
              <w:rPr>
                <w:rFonts w:hint="eastAsia" w:ascii="黑体" w:eastAsia="黑体"/>
                <w:color w:val="000000"/>
                <w:kern w:val="0"/>
                <w:sz w:val="24"/>
                <w:szCs w:val="24"/>
              </w:rPr>
              <w:t>文号</w:t>
            </w:r>
          </w:p>
        </w:tc>
        <w:tc>
          <w:tcPr>
            <w:tcW w:w="812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eastAsia="黑体"/>
                <w:color w:val="000000"/>
                <w:kern w:val="0"/>
                <w:sz w:val="24"/>
                <w:szCs w:val="24"/>
              </w:rPr>
            </w:pPr>
            <w:r>
              <w:rPr>
                <w:rFonts w:hint="eastAsia" w:ascii="黑体" w:eastAsia="黑体"/>
                <w:color w:val="000000"/>
                <w:kern w:val="0"/>
                <w:sz w:val="24"/>
                <w:szCs w:val="24"/>
              </w:rPr>
              <w:t>修改内容</w:t>
            </w:r>
          </w:p>
        </w:tc>
      </w:tr>
      <w:tr>
        <w:tblPrEx>
          <w:tblLayout w:type="fixed"/>
          <w:tblCellMar>
            <w:top w:w="0" w:type="dxa"/>
            <w:left w:w="108" w:type="dxa"/>
            <w:bottom w:w="0" w:type="dxa"/>
            <w:right w:w="108" w:type="dxa"/>
          </w:tblCellMar>
        </w:tblPrEx>
        <w:trPr>
          <w:trHeight w:val="705" w:hRule="atLeast"/>
          <w:jc w:val="center"/>
        </w:trPr>
        <w:tc>
          <w:tcPr>
            <w:tcW w:w="87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color w:val="000000"/>
                <w:kern w:val="0"/>
                <w:sz w:val="24"/>
                <w:szCs w:val="24"/>
              </w:rPr>
            </w:pPr>
            <w:r>
              <w:rPr>
                <w:color w:val="000000"/>
                <w:kern w:val="0"/>
                <w:sz w:val="24"/>
                <w:szCs w:val="24"/>
              </w:rPr>
              <w:t>1</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color w:val="000000"/>
                <w:kern w:val="0"/>
                <w:sz w:val="24"/>
                <w:szCs w:val="24"/>
              </w:rPr>
            </w:pPr>
            <w:r>
              <w:rPr>
                <w:rFonts w:hint="eastAsia"/>
                <w:color w:val="000000"/>
                <w:kern w:val="0"/>
                <w:sz w:val="24"/>
                <w:szCs w:val="24"/>
                <w:lang w:val="en-US" w:eastAsia="zh-CN"/>
              </w:rPr>
              <w:t>绍兴市曹娥江大闸闸上河道管理办法</w:t>
            </w:r>
          </w:p>
        </w:tc>
        <w:tc>
          <w:tcPr>
            <w:tcW w:w="189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color w:val="000000"/>
                <w:kern w:val="0"/>
                <w:sz w:val="24"/>
                <w:szCs w:val="24"/>
              </w:rPr>
            </w:pPr>
            <w:r>
              <w:rPr>
                <w:rFonts w:hint="eastAsia" w:ascii="仿宋_GB2312" w:hAnsi="宋体" w:eastAsia="仿宋_GB2312" w:cs="仿宋_GB2312"/>
                <w:i w:val="0"/>
                <w:color w:val="000000"/>
                <w:kern w:val="0"/>
                <w:sz w:val="24"/>
                <w:szCs w:val="24"/>
                <w:u w:val="none"/>
                <w:lang w:val="en-US" w:eastAsia="zh-CN" w:bidi="ar"/>
              </w:rPr>
              <w:t>政府令第88号</w:t>
            </w:r>
          </w:p>
        </w:tc>
        <w:tc>
          <w:tcPr>
            <w:tcW w:w="8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color w:val="000000"/>
                <w:kern w:val="0"/>
                <w:sz w:val="24"/>
                <w:szCs w:val="24"/>
              </w:rPr>
            </w:pPr>
            <w:r>
              <w:rPr>
                <w:rFonts w:hint="eastAsia"/>
                <w:color w:val="000000"/>
                <w:kern w:val="0"/>
                <w:sz w:val="24"/>
                <w:szCs w:val="24"/>
              </w:rPr>
              <w:t>第</w:t>
            </w:r>
            <w:r>
              <w:rPr>
                <w:rFonts w:hint="eastAsia"/>
                <w:color w:val="000000"/>
                <w:kern w:val="0"/>
                <w:sz w:val="24"/>
                <w:szCs w:val="24"/>
                <w:lang w:eastAsia="zh-CN"/>
              </w:rPr>
              <w:t>二</w:t>
            </w:r>
            <w:r>
              <w:rPr>
                <w:rFonts w:hint="eastAsia"/>
                <w:color w:val="000000"/>
                <w:kern w:val="0"/>
                <w:sz w:val="24"/>
                <w:szCs w:val="24"/>
              </w:rPr>
              <w:t>十五条第一款中的“缴纳水域</w:t>
            </w:r>
            <w:r>
              <w:rPr>
                <w:rFonts w:hint="eastAsia"/>
                <w:color w:val="000000"/>
                <w:kern w:val="0"/>
                <w:sz w:val="24"/>
                <w:szCs w:val="24"/>
                <w:lang w:eastAsia="zh-CN"/>
              </w:rPr>
              <w:t>占用有关费用</w:t>
            </w:r>
            <w:r>
              <w:rPr>
                <w:rFonts w:hint="eastAsia"/>
                <w:color w:val="000000"/>
                <w:kern w:val="0"/>
                <w:sz w:val="24"/>
                <w:szCs w:val="24"/>
              </w:rPr>
              <w:t>”修改为“采取功能补救措施或者建设等效替代水域工程”</w:t>
            </w:r>
            <w:r>
              <w:rPr>
                <w:rFonts w:hint="eastAsia"/>
                <w:color w:val="000000"/>
                <w:kern w:val="0"/>
                <w:sz w:val="24"/>
                <w:szCs w:val="24"/>
                <w:lang w:eastAsia="zh-CN"/>
              </w:rPr>
              <w:t>。</w:t>
            </w:r>
          </w:p>
        </w:tc>
      </w:tr>
      <w:tr>
        <w:tblPrEx>
          <w:tblLayout w:type="fixed"/>
          <w:tblCellMar>
            <w:top w:w="0" w:type="dxa"/>
            <w:left w:w="108" w:type="dxa"/>
            <w:bottom w:w="0" w:type="dxa"/>
            <w:right w:w="108" w:type="dxa"/>
          </w:tblCellMar>
        </w:tblPrEx>
        <w:trPr>
          <w:trHeight w:val="1207" w:hRule="atLeast"/>
          <w:jc w:val="center"/>
        </w:trPr>
        <w:tc>
          <w:tcPr>
            <w:tcW w:w="87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color w:val="000000"/>
                <w:kern w:val="0"/>
                <w:sz w:val="24"/>
                <w:szCs w:val="24"/>
              </w:rPr>
            </w:pPr>
            <w:r>
              <w:rPr>
                <w:color w:val="000000"/>
                <w:kern w:val="0"/>
                <w:sz w:val="24"/>
                <w:szCs w:val="24"/>
              </w:rPr>
              <w:t>2</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color w:val="000000"/>
                <w:kern w:val="0"/>
                <w:sz w:val="24"/>
                <w:szCs w:val="24"/>
              </w:rPr>
            </w:pPr>
            <w:r>
              <w:rPr>
                <w:rFonts w:hint="eastAsia" w:ascii="仿宋_GB2312" w:hAnsi="宋体" w:eastAsia="仿宋_GB2312" w:cs="仿宋_GB2312"/>
                <w:i w:val="0"/>
                <w:color w:val="000000"/>
                <w:kern w:val="0"/>
                <w:sz w:val="24"/>
                <w:szCs w:val="24"/>
                <w:u w:val="none"/>
                <w:lang w:val="en-US" w:eastAsia="zh-CN" w:bidi="ar"/>
              </w:rPr>
              <w:t>绍兴市人民政府关于扩大禁止拖拉机行驶和禁鸣机动车喇叭管理区域的通告</w:t>
            </w:r>
          </w:p>
        </w:tc>
        <w:tc>
          <w:tcPr>
            <w:tcW w:w="189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color w:val="000000"/>
                <w:kern w:val="0"/>
                <w:sz w:val="24"/>
                <w:szCs w:val="24"/>
              </w:rPr>
            </w:pPr>
            <w:r>
              <w:rPr>
                <w:rFonts w:hint="eastAsia" w:ascii="仿宋_GB2312" w:hAnsi="宋体" w:eastAsia="仿宋_GB2312" w:cs="仿宋_GB2312"/>
                <w:i w:val="0"/>
                <w:color w:val="000000"/>
                <w:kern w:val="0"/>
                <w:sz w:val="24"/>
                <w:szCs w:val="24"/>
                <w:u w:val="none"/>
                <w:lang w:val="en-US" w:eastAsia="zh-CN" w:bidi="ar"/>
              </w:rPr>
              <w:t>绍市府发〔1996〕149号</w:t>
            </w:r>
          </w:p>
        </w:tc>
        <w:tc>
          <w:tcPr>
            <w:tcW w:w="8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rPr>
            </w:pPr>
            <w:r>
              <w:rPr>
                <w:rFonts w:hint="eastAsia"/>
                <w:color w:val="000000"/>
                <w:kern w:val="0"/>
                <w:sz w:val="24"/>
                <w:szCs w:val="24"/>
              </w:rPr>
              <w:t>1.</w:t>
            </w:r>
            <w:r>
              <w:rPr>
                <w:rFonts w:hint="eastAsia"/>
                <w:color w:val="000000"/>
                <w:kern w:val="0"/>
                <w:sz w:val="24"/>
                <w:szCs w:val="24"/>
                <w:lang w:val="en-US" w:eastAsia="zh-CN"/>
              </w:rPr>
              <w:t xml:space="preserve"> </w:t>
            </w:r>
            <w:r>
              <w:rPr>
                <w:rFonts w:hint="eastAsia"/>
                <w:color w:val="000000"/>
                <w:kern w:val="0"/>
                <w:sz w:val="24"/>
                <w:szCs w:val="24"/>
                <w:lang w:eastAsia="zh-CN"/>
              </w:rPr>
              <w:t>文件首段中</w:t>
            </w:r>
            <w:r>
              <w:rPr>
                <w:rFonts w:hint="eastAsia"/>
                <w:color w:val="000000"/>
                <w:kern w:val="0"/>
                <w:sz w:val="24"/>
                <w:szCs w:val="24"/>
              </w:rPr>
              <w:t>“为维护绍兴市区和经济开发区的交通秩序”修改为：“为维护绍兴市越城区的交通秩序”。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rPr>
            </w:pPr>
            <w:r>
              <w:rPr>
                <w:rFonts w:hint="eastAsia"/>
                <w:color w:val="000000"/>
                <w:kern w:val="0"/>
                <w:sz w:val="24"/>
                <w:szCs w:val="24"/>
              </w:rPr>
              <w:t>2.</w:t>
            </w:r>
            <w:r>
              <w:rPr>
                <w:rFonts w:hint="eastAsia"/>
                <w:color w:val="000000"/>
                <w:kern w:val="0"/>
                <w:sz w:val="24"/>
                <w:szCs w:val="24"/>
                <w:lang w:val="en-US" w:eastAsia="zh-CN"/>
              </w:rPr>
              <w:t xml:space="preserve"> </w:t>
            </w:r>
            <w:r>
              <w:rPr>
                <w:rFonts w:hint="eastAsia"/>
                <w:color w:val="000000"/>
                <w:kern w:val="0"/>
                <w:sz w:val="24"/>
                <w:szCs w:val="24"/>
              </w:rPr>
              <w:t>第</w:t>
            </w:r>
            <w:r>
              <w:rPr>
                <w:rFonts w:hint="eastAsia"/>
                <w:color w:val="000000"/>
                <w:kern w:val="0"/>
                <w:sz w:val="24"/>
                <w:szCs w:val="24"/>
                <w:lang w:eastAsia="zh-CN"/>
              </w:rPr>
              <w:t>一部分第</w:t>
            </w:r>
            <w:r>
              <w:rPr>
                <w:rFonts w:hint="eastAsia"/>
                <w:color w:val="000000"/>
                <w:kern w:val="0"/>
                <w:sz w:val="24"/>
                <w:szCs w:val="24"/>
                <w:lang w:val="en-US" w:eastAsia="zh-CN"/>
              </w:rPr>
              <w:t>1点“禁止拖拉机通行的范围”中区域内容修改为</w:t>
            </w:r>
            <w:r>
              <w:rPr>
                <w:rFonts w:hint="eastAsia"/>
                <w:color w:val="000000"/>
                <w:kern w:val="0"/>
                <w:sz w:val="24"/>
                <w:szCs w:val="24"/>
              </w:rPr>
              <w:t>“保持环城东路、环城南路、环城西路、环城北路以内区域（含环城线和胜利新村的胜利西路、马臻路），以及104国道、舜江路、天姥路以内区域（不含舜江路、天姥路）及车站路全天禁止拖拉机行驶。”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color w:val="000000"/>
                <w:kern w:val="0"/>
                <w:sz w:val="24"/>
                <w:szCs w:val="24"/>
              </w:rPr>
            </w:pPr>
            <w:r>
              <w:rPr>
                <w:rFonts w:hint="eastAsia"/>
                <w:color w:val="000000"/>
                <w:kern w:val="0"/>
                <w:sz w:val="24"/>
                <w:szCs w:val="24"/>
                <w:lang w:val="en-US" w:eastAsia="zh-CN"/>
              </w:rPr>
              <w:t>3. 第二部分修改为：</w:t>
            </w:r>
            <w:r>
              <w:rPr>
                <w:rFonts w:hint="eastAsia"/>
                <w:color w:val="000000"/>
                <w:kern w:val="0"/>
                <w:sz w:val="24"/>
                <w:szCs w:val="24"/>
              </w:rPr>
              <w:t>“</w:t>
            </w:r>
            <w:r>
              <w:rPr>
                <w:rFonts w:hint="eastAsia"/>
                <w:color w:val="000000"/>
                <w:kern w:val="0"/>
                <w:sz w:val="24"/>
                <w:szCs w:val="24"/>
                <w:lang w:eastAsia="zh-CN"/>
              </w:rPr>
              <w:t>执法机关</w:t>
            </w:r>
            <w:r>
              <w:rPr>
                <w:rFonts w:hint="eastAsia"/>
                <w:color w:val="000000"/>
                <w:kern w:val="0"/>
                <w:sz w:val="24"/>
                <w:szCs w:val="24"/>
              </w:rPr>
              <w:t>要在进一步巩固原有新</w:t>
            </w:r>
            <w:r>
              <w:rPr>
                <w:rFonts w:hint="eastAsia"/>
                <w:color w:val="000000"/>
                <w:kern w:val="0"/>
                <w:sz w:val="24"/>
                <w:szCs w:val="24"/>
                <w:lang w:eastAsia="zh-CN"/>
              </w:rPr>
              <w:t>‘</w:t>
            </w:r>
            <w:r>
              <w:rPr>
                <w:rFonts w:hint="eastAsia"/>
                <w:color w:val="000000"/>
                <w:kern w:val="0"/>
                <w:sz w:val="24"/>
                <w:szCs w:val="24"/>
              </w:rPr>
              <w:t>双禁</w:t>
            </w:r>
            <w:r>
              <w:rPr>
                <w:rFonts w:hint="eastAsia"/>
                <w:color w:val="000000"/>
                <w:kern w:val="0"/>
                <w:sz w:val="24"/>
                <w:szCs w:val="24"/>
                <w:lang w:eastAsia="zh-CN"/>
              </w:rPr>
              <w:t>’</w:t>
            </w:r>
            <w:r>
              <w:rPr>
                <w:rFonts w:hint="eastAsia"/>
                <w:color w:val="000000"/>
                <w:kern w:val="0"/>
                <w:sz w:val="24"/>
                <w:szCs w:val="24"/>
              </w:rPr>
              <w:t>成果的基础上，严格执法，加大管理力度，对违反《通告》规定的行为人，依据《中华人民共和国道路交通安全法》</w:t>
            </w:r>
            <w:r>
              <w:rPr>
                <w:rFonts w:hint="eastAsia"/>
                <w:color w:val="000000"/>
                <w:kern w:val="0"/>
                <w:sz w:val="24"/>
                <w:szCs w:val="24"/>
                <w:lang w:eastAsia="zh-CN"/>
              </w:rPr>
              <w:t>及其实施条例</w:t>
            </w:r>
            <w:r>
              <w:rPr>
                <w:rFonts w:hint="eastAsia"/>
                <w:color w:val="000000"/>
                <w:kern w:val="0"/>
                <w:sz w:val="24"/>
                <w:szCs w:val="24"/>
              </w:rPr>
              <w:t>、《中华人民共和国治安管理处罚法》等有关规定，予以处罚”。</w:t>
            </w:r>
          </w:p>
        </w:tc>
      </w:tr>
      <w:tr>
        <w:tblPrEx>
          <w:tblLayout w:type="fixed"/>
        </w:tblPrEx>
        <w:trPr>
          <w:trHeight w:val="1528" w:hRule="atLeast"/>
          <w:jc w:val="center"/>
        </w:trPr>
        <w:tc>
          <w:tcPr>
            <w:tcW w:w="87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eastAsia="仿宋_GB2312"/>
                <w:color w:val="000000"/>
                <w:kern w:val="0"/>
                <w:sz w:val="24"/>
                <w:szCs w:val="24"/>
                <w:lang w:val="en-US" w:eastAsia="zh-CN"/>
              </w:rPr>
            </w:pPr>
            <w:r>
              <w:rPr>
                <w:rFonts w:hint="eastAsia"/>
                <w:color w:val="000000"/>
                <w:kern w:val="0"/>
                <w:sz w:val="24"/>
                <w:szCs w:val="24"/>
                <w:lang w:val="en-US" w:eastAsia="zh-CN"/>
              </w:rPr>
              <w:t>3</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绍兴市人民政府办公室关于印发绍兴市网络预约出租汽车经营服务管理实施办法的通知</w:t>
            </w:r>
          </w:p>
        </w:tc>
        <w:tc>
          <w:tcPr>
            <w:tcW w:w="189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绍政办发〔2021〕30号</w:t>
            </w:r>
          </w:p>
        </w:tc>
        <w:tc>
          <w:tcPr>
            <w:tcW w:w="8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1. 第二大点中的“县级交通运输主管部门负责在本行政区域内经营的网约车平台许可和管理工作”修改为“县级交通运输主管部门负责在本行政区域内经营的网约车平台、网约经营车辆许可和管理工作”。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2.第四大点“（二）审批程序”中“用于提供网约车经营服务的车辆所有人或网约车平台公司，应当向该车辆经营服务所在地交通运输主管部门申领网约车运输证”修改为“用于提供网约车经营服务的车辆所有人或网约车平台公司，应当向该车辆经营服务所在地县级交通运输主管部门申领网约车运输证”；段末增加“网约车运输证的有效期与车辆使用年限、行驶里程挂钩，自车辆行驶证载明的初次注册日期起，最长不超过8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3. 第五大点“（一）从业条件”中删去“本市户籍，或非本市户籍在本市缴纳社会保险，或在本市取得浙江省居住证”。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4.第六大点“（一）强化平台公司责任”中“应当合理确定网约车运价，运价规则调整时，应当提前15日向社会公布，并向经营所在地价格主管部门、交通运输主管部门报备”修改为“制定和调整计价规则、收入分配规则时，应当公开征求网约出租车驾驶人员及工会组织、行业协会的意见；计价规则和收入分配规则应当通过公司网站、移动互联网应用程序等载体向社会公开，并在实施之日的7日前报设区的市交通运输主管部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5.第六大点中增加一点，作为第（三）点：“（三）鼓励巡网融合发展。巡游出租车经营者通过网络预约方式揽客的,可以按照计价器显示金额收取运费,也可以按照网约车计价规则收取运费,但应当事先在平台以醒目方式告知乘客。巡游出租车经营者按照网约车计价规则收取运费的,应当事先加入网约出租车平台,按照网约出租车相关规定从事经营活动,平台经营者依法承担承运人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6. 附件第二大点“网约车车辆许可申请材料”中删去“营运车辆综合性能检测合格报告”。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r>
              <w:rPr>
                <w:rFonts w:hint="eastAsia"/>
                <w:color w:val="000000"/>
                <w:kern w:val="0"/>
                <w:sz w:val="24"/>
                <w:szCs w:val="24"/>
                <w:lang w:val="en-US" w:eastAsia="zh-CN"/>
              </w:rPr>
              <w:t>7. 附件第三大点“网约车驾驶员许可材料”中删去“（四）户籍证明，或社保缴纳证明，或在本市申领的浙江省居住证”。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ascii="Calibri" w:hAnsi="Calibri" w:eastAsia="仿宋_GB2312" w:cs="Times New Roman"/>
                <w:color w:val="000000"/>
                <w:kern w:val="0"/>
                <w:sz w:val="24"/>
                <w:szCs w:val="24"/>
                <w:lang w:val="en-US" w:eastAsia="zh-CN" w:bidi="ar-SA"/>
              </w:rPr>
            </w:pPr>
            <w:r>
              <w:rPr>
                <w:rFonts w:hint="eastAsia" w:ascii="Calibri" w:hAnsi="Calibri" w:eastAsia="仿宋_GB2312" w:cs="Times New Roman"/>
                <w:color w:val="000000"/>
                <w:kern w:val="0"/>
                <w:sz w:val="24"/>
                <w:szCs w:val="24"/>
                <w:lang w:val="en-US" w:eastAsia="zh-CN" w:bidi="ar-SA"/>
              </w:rPr>
              <w:t>文件条文顺序作相应调整。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color w:val="000000"/>
                <w:kern w:val="0"/>
                <w:sz w:val="24"/>
                <w:szCs w:val="24"/>
                <w:lang w:val="en-US" w:eastAsia="zh-CN"/>
              </w:rPr>
            </w:pP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sectPr>
          <w:pgSz w:w="16838" w:h="11906" w:orient="landscape"/>
          <w:pgMar w:top="1440" w:right="1800" w:bottom="1440" w:left="1800" w:header="851" w:footer="1531" w:gutter="0"/>
          <w:pgBorders>
            <w:top w:val="none" w:sz="0" w:space="0"/>
            <w:left w:val="none" w:sz="0" w:space="0"/>
            <w:bottom w:val="none" w:sz="0" w:space="0"/>
            <w:right w:val="none" w:sz="0" w:space="0"/>
          </w:pgBorders>
          <w:cols w:space="720" w:num="1"/>
          <w:rtlGutter w:val="0"/>
          <w:docGrid w:type="lines" w:linePitch="58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FangSong_GB2312">
    <w:altName w:val="仿宋_GB2312"/>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Impact">
    <w:panose1 w:val="020B0806030902050204"/>
    <w:charset w:val="00"/>
    <w:family w:val="swiss"/>
    <w:pitch w:val="default"/>
    <w:sig w:usb0="00000287" w:usb1="00000000" w:usb2="00000000" w:usb3="00000000" w:csb0="2000009F" w:csb1="DFD7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E-B6">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Fonts w:hint="eastAsia" w:ascii="仿宋_GB2312"/>
        <w:sz w:val="28"/>
      </w:rPr>
      <w:t xml:space="preserve">─  </w:t>
    </w:r>
    <w:r>
      <w:rPr>
        <w:rFonts w:hint="eastAsia" w:ascii="宋体"/>
        <w:sz w:val="28"/>
      </w:rPr>
      <w:fldChar w:fldCharType="begin"/>
    </w:r>
    <w:r>
      <w:rPr>
        <w:rStyle w:val="6"/>
        <w:rFonts w:hint="eastAsia" w:ascii="宋体"/>
        <w:sz w:val="28"/>
      </w:rPr>
      <w:instrText xml:space="preserve">PAGE  </w:instrText>
    </w:r>
    <w:r>
      <w:rPr>
        <w:rFonts w:ascii="宋体"/>
        <w:sz w:val="28"/>
      </w:rPr>
      <w:fldChar w:fldCharType="separate"/>
    </w:r>
    <w:r>
      <w:rPr>
        <w:rStyle w:val="6"/>
        <w:rFonts w:ascii="宋体"/>
        <w:sz w:val="28"/>
      </w:rPr>
      <w:t>6</w:t>
    </w:r>
    <w:r>
      <w:rPr>
        <w:rFonts w:hint="eastAsia" w:ascii="宋体"/>
        <w:sz w:val="28"/>
      </w:rPr>
      <w:fldChar w:fldCharType="end"/>
    </w:r>
    <w:r>
      <w:rPr>
        <w:rStyle w:val="6"/>
        <w:rFonts w:hint="eastAsia" w:ascii="宋体"/>
        <w:sz w:val="28"/>
      </w:rPr>
      <w:t xml:space="preserve">  </w:t>
    </w:r>
    <w:r>
      <w:rPr>
        <w:rStyle w:val="6"/>
        <w:rFonts w:hint="eastAsia" w:ascii="仿宋_GB2312"/>
        <w:sz w:val="28"/>
      </w:rPr>
      <w:t>─</w:t>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3EE80"/>
    <w:multiLevelType w:val="singleLevel"/>
    <w:tmpl w:val="6333EE8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33D7E"/>
    <w:rsid w:val="055F0A25"/>
    <w:rsid w:val="09A46B7E"/>
    <w:rsid w:val="1A0F7981"/>
    <w:rsid w:val="21697366"/>
    <w:rsid w:val="25011621"/>
    <w:rsid w:val="2BB853F9"/>
    <w:rsid w:val="32B25ECE"/>
    <w:rsid w:val="33EA1427"/>
    <w:rsid w:val="41DB2DCE"/>
    <w:rsid w:val="4B3E5517"/>
    <w:rsid w:val="4E113F9D"/>
    <w:rsid w:val="5C653EC5"/>
    <w:rsid w:val="5EE33E33"/>
    <w:rsid w:val="63FF19FA"/>
    <w:rsid w:val="694603B8"/>
    <w:rsid w:val="7CCE65D9"/>
    <w:rsid w:val="7D965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kern w:val="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71"/>
    <w:basedOn w:val="5"/>
    <w:qFormat/>
    <w:uiPriority w:val="0"/>
    <w:rPr>
      <w:rFonts w:hint="eastAsia" w:ascii="仿宋_GB2312" w:eastAsia="仿宋_GB2312" w:cs="仿宋_GB2312"/>
      <w:color w:val="000000"/>
      <w:sz w:val="24"/>
      <w:szCs w:val="24"/>
      <w:u w:val="none"/>
    </w:rPr>
  </w:style>
  <w:style w:type="character" w:customStyle="1" w:styleId="10">
    <w:name w:val="font81"/>
    <w:basedOn w:val="5"/>
    <w:qFormat/>
    <w:uiPriority w:val="0"/>
    <w:rPr>
      <w:rFonts w:hint="eastAsia" w:ascii="仿宋_GB2312" w:eastAsia="仿宋_GB2312" w:cs="仿宋_GB2312"/>
      <w:color w:val="000000"/>
      <w:sz w:val="24"/>
      <w:szCs w:val="24"/>
      <w:u w:val="none"/>
    </w:rPr>
  </w:style>
  <w:style w:type="character" w:customStyle="1" w:styleId="11">
    <w:name w:val="font31"/>
    <w:basedOn w:val="5"/>
    <w:qFormat/>
    <w:uiPriority w:val="0"/>
    <w:rPr>
      <w:rFonts w:hint="eastAsia" w:ascii="仿宋_GB2312" w:eastAsia="仿宋_GB2312" w:cs="仿宋_GB2312"/>
      <w:color w:val="000000"/>
      <w:sz w:val="24"/>
      <w:szCs w:val="24"/>
      <w:u w:val="none"/>
    </w:rPr>
  </w:style>
  <w:style w:type="character" w:customStyle="1" w:styleId="12">
    <w:name w:val="font21"/>
    <w:basedOn w:val="5"/>
    <w:qFormat/>
    <w:uiPriority w:val="0"/>
    <w:rPr>
      <w:rFonts w:hint="eastAsia" w:ascii="仿宋_GB2312" w:eastAsia="仿宋_GB2312" w:cs="仿宋_GB2312"/>
      <w:color w:val="000000"/>
      <w:sz w:val="24"/>
      <w:szCs w:val="24"/>
      <w:u w:val="none"/>
    </w:rPr>
  </w:style>
  <w:style w:type="character" w:customStyle="1" w:styleId="13">
    <w:name w:val="font01"/>
    <w:basedOn w:val="5"/>
    <w:qFormat/>
    <w:uiPriority w:val="0"/>
    <w:rPr>
      <w:rFonts w:ascii="Arial" w:hAnsi="Arial" w:cs="Arial"/>
      <w:color w:val="000000"/>
      <w:sz w:val="24"/>
      <w:szCs w:val="24"/>
      <w:u w:val="none"/>
    </w:rPr>
  </w:style>
  <w:style w:type="character" w:customStyle="1" w:styleId="14">
    <w:name w:val="font91"/>
    <w:basedOn w:val="5"/>
    <w:qFormat/>
    <w:uiPriority w:val="0"/>
    <w:rPr>
      <w:rFonts w:hint="default" w:ascii="Arial" w:hAnsi="Arial" w:cs="Arial"/>
      <w:color w:val="000000"/>
      <w:sz w:val="24"/>
      <w:szCs w:val="24"/>
      <w:u w:val="none"/>
    </w:rPr>
  </w:style>
  <w:style w:type="character" w:customStyle="1" w:styleId="15">
    <w:name w:val="font41"/>
    <w:basedOn w:val="5"/>
    <w:qFormat/>
    <w:uiPriority w:val="0"/>
    <w:rPr>
      <w:rFonts w:hint="eastAsia" w:ascii="宋体" w:hAnsi="宋体" w:eastAsia="宋体" w:cs="宋体"/>
      <w:color w:val="000000"/>
      <w:sz w:val="24"/>
      <w:szCs w:val="24"/>
      <w:u w:val="none"/>
    </w:rPr>
  </w:style>
  <w:style w:type="character" w:customStyle="1" w:styleId="16">
    <w:name w:val="font1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2021-10-21T01:42:00Z</dcterms:created>
  <dc:creator>xsq</dc:creator>
  <cp:lastModifiedBy>金坤</cp:lastModifiedBy>
  <dcterms:modified xsi:type="dcterms:W3CDTF">2022-10-21T02:33:03Z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