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03.100.20</w:t>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 10</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3306</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浙江省绍兴市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3306</w:t>
      </w:r>
      <w:r>
        <w:rPr>
          <w:lang w:val="fr-FR"/>
        </w:rPr>
        <w:t>/T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2022</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管道燃气经营企业智慧服务规范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Specification for pipeline gas operating enterprises </w:t>
      </w:r>
      <w:r>
        <w:rPr>
          <w:rFonts w:hint="eastAsia" w:eastAsia="黑体"/>
          <w:szCs w:val="28"/>
        </w:rPr>
        <w:t>int</w:t>
      </w:r>
      <w:r>
        <w:rPr>
          <w:rFonts w:hint="eastAsia" w:eastAsia="黑体"/>
          <w:szCs w:val="28"/>
          <w:lang w:val="en-US" w:eastAsia="zh-CN"/>
        </w:rPr>
        <w:t>elligent</w:t>
      </w:r>
      <w:r>
        <w:rPr>
          <w:rFonts w:eastAsia="黑体"/>
          <w:szCs w:val="28"/>
        </w:rPr>
        <w:t xml:space="preserve"> service</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lang w:eastAsia="zh-CN"/>
        </w:rPr>
        <w:t>     </w:t>
      </w:r>
      <w:r>
        <w:rPr>
          <w:sz w:val="21"/>
          <w:szCs w:val="28"/>
        </w:rPr>
        <w:fldChar w:fldCharType="end"/>
      </w:r>
      <w:bookmarkEnd w:id="12"/>
    </w:p>
    <w:p>
      <w:pPr>
        <w:pStyle w:val="126"/>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绍兴市市场监督管理局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2"/>
        <w:spacing w:after="468"/>
      </w:pPr>
      <w:bookmarkStart w:id="21" w:name="BookMark1"/>
      <w:bookmarkStart w:id="22" w:name="_Toc106204398"/>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rPr>
          <w:rFonts w:hint="eastAsia"/>
        </w:rPr>
        <w:instrText xml:space="preserve">TOC \o "1-1" \h</w:instrText>
      </w:r>
      <w:r>
        <w:fldChar w:fldCharType="separate"/>
      </w:r>
      <w:r>
        <w:fldChar w:fldCharType="begin"/>
      </w:r>
      <w:r>
        <w:instrText xml:space="preserve"> HYPERLINK \l "_Toc106204423" </w:instrText>
      </w:r>
      <w:r>
        <w:fldChar w:fldCharType="separate"/>
      </w:r>
      <w:r>
        <w:rPr>
          <w:rStyle w:val="33"/>
          <w:rFonts w:hint="eastAsia"/>
        </w:rPr>
        <w:t>前言</w:t>
      </w:r>
      <w:r>
        <w:tab/>
      </w:r>
      <w:r>
        <w:fldChar w:fldCharType="begin"/>
      </w:r>
      <w:r>
        <w:instrText xml:space="preserve"> PAGEREF _Toc106204423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"_Toc106204424" </w:instrText>
      </w:r>
      <w:r>
        <w:fldChar w:fldCharType="separate"/>
      </w:r>
      <w:r>
        <w:rPr>
          <w:rStyle w:val="33"/>
        </w:rPr>
        <w:t xml:space="preserve">1 </w:t>
      </w:r>
      <w:r>
        <w:rPr>
          <w:rStyle w:val="33"/>
          <w:rFonts w:hint="eastAsia"/>
        </w:rPr>
        <w:t xml:space="preserve"> 范围</w:t>
      </w:r>
      <w:r>
        <w:tab/>
      </w:r>
      <w:r>
        <w:fldChar w:fldCharType="begin"/>
      </w:r>
      <w:r>
        <w:instrText xml:space="preserve"> PAGEREF _Toc106204424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"_Toc106204425"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_Toc106204425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"_Toc106204426"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_Toc106204426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"_Toc106204427" </w:instrText>
      </w:r>
      <w:r>
        <w:fldChar w:fldCharType="separate"/>
      </w:r>
      <w:r>
        <w:rPr>
          <w:rStyle w:val="33"/>
        </w:rPr>
        <w:t xml:space="preserve">4 </w:t>
      </w:r>
      <w:r>
        <w:rPr>
          <w:rStyle w:val="33"/>
          <w:rFonts w:hint="eastAsia"/>
        </w:rPr>
        <w:t xml:space="preserve"> 总体要求</w:t>
      </w:r>
      <w:r>
        <w:tab/>
      </w:r>
      <w:r>
        <w:fldChar w:fldCharType="begin"/>
      </w:r>
      <w:r>
        <w:instrText xml:space="preserve"> PAGEREF _Toc106204427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"_Toc106204428" </w:instrText>
      </w:r>
      <w:r>
        <w:fldChar w:fldCharType="separate"/>
      </w:r>
      <w:r>
        <w:rPr>
          <w:rStyle w:val="33"/>
        </w:rPr>
        <w:t xml:space="preserve">5 </w:t>
      </w:r>
      <w:r>
        <w:rPr>
          <w:rStyle w:val="33"/>
          <w:rFonts w:hint="eastAsia"/>
        </w:rPr>
        <w:t xml:space="preserve"> 平台建设要求</w:t>
      </w:r>
      <w:r>
        <w:tab/>
      </w:r>
      <w:r>
        <w:fldChar w:fldCharType="begin"/>
      </w:r>
      <w:r>
        <w:instrText xml:space="preserve"> PAGEREF _Toc106204428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"_Toc106204429" </w:instrText>
      </w:r>
      <w:r>
        <w:fldChar w:fldCharType="separate"/>
      </w:r>
      <w:r>
        <w:rPr>
          <w:rStyle w:val="33"/>
        </w:rPr>
        <w:t xml:space="preserve">6 </w:t>
      </w:r>
      <w:r>
        <w:rPr>
          <w:rStyle w:val="33"/>
          <w:rFonts w:hint="eastAsia"/>
        </w:rPr>
        <w:t xml:space="preserve"> 智慧服务要求</w:t>
      </w:r>
      <w:r>
        <w:tab/>
      </w:r>
      <w:r>
        <w:fldChar w:fldCharType="begin"/>
      </w:r>
      <w:r>
        <w:instrText xml:space="preserve"> PAGEREF _Toc106204429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"_Toc106204430" </w:instrText>
      </w:r>
      <w:r>
        <w:fldChar w:fldCharType="separate"/>
      </w:r>
      <w:r>
        <w:rPr>
          <w:rStyle w:val="33"/>
        </w:rPr>
        <w:t xml:space="preserve">7 </w:t>
      </w:r>
      <w:r>
        <w:rPr>
          <w:rStyle w:val="33"/>
          <w:rFonts w:hint="eastAsia" w:hAnsi="黑体"/>
        </w:rPr>
        <w:t xml:space="preserve"> 服务保障</w:t>
      </w:r>
      <w:r>
        <w:tab/>
      </w:r>
      <w:r>
        <w:fldChar w:fldCharType="begin"/>
      </w:r>
      <w:r>
        <w:instrText xml:space="preserve"> PAGEREF _Toc106204430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"_Toc106204431" </w:instrText>
      </w:r>
      <w:r>
        <w:fldChar w:fldCharType="separate"/>
      </w:r>
      <w:r>
        <w:rPr>
          <w:rStyle w:val="33"/>
        </w:rPr>
        <w:t xml:space="preserve">8 </w:t>
      </w:r>
      <w:r>
        <w:rPr>
          <w:rStyle w:val="33"/>
          <w:rFonts w:hint="eastAsia" w:hAnsi="黑体"/>
        </w:rPr>
        <w:t xml:space="preserve"> 投诉处理</w:t>
      </w:r>
      <w:r>
        <w:tab/>
      </w:r>
      <w:r>
        <w:fldChar w:fldCharType="begin"/>
      </w:r>
      <w:r>
        <w:instrText xml:space="preserve"> PAGEREF _Toc106204431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"_Toc106204432" </w:instrText>
      </w:r>
      <w:r>
        <w:fldChar w:fldCharType="separate"/>
      </w:r>
      <w:r>
        <w:rPr>
          <w:rStyle w:val="33"/>
        </w:rPr>
        <w:t xml:space="preserve">9 </w:t>
      </w:r>
      <w:r>
        <w:rPr>
          <w:rStyle w:val="33"/>
          <w:rFonts w:hint="eastAsia"/>
        </w:rPr>
        <w:t xml:space="preserve"> 评价与改进</w:t>
      </w:r>
      <w:r>
        <w:tab/>
      </w:r>
      <w:r>
        <w:fldChar w:fldCharType="begin"/>
      </w:r>
      <w:r>
        <w:instrText xml:space="preserve"> PAGEREF _Toc106204432 \h </w:instrText>
      </w:r>
      <w:r>
        <w:fldChar w:fldCharType="separate"/>
      </w:r>
      <w:r>
        <w:t>4</w:t>
      </w:r>
      <w:r>
        <w:fldChar w:fldCharType="end"/>
      </w:r>
      <w:r>
        <w:fldChar w:fldCharType="end"/>
      </w:r>
    </w:p>
    <w:p>
      <w:pPr>
        <w:pStyle w:val="92"/>
        <w:spacing w:after="468"/>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3" w:name="_Toc106204423"/>
      <w:bookmarkStart w:id="24" w:name="BookMark2"/>
      <w:r>
        <w:rPr>
          <w:spacing w:val="320"/>
        </w:rPr>
        <w:t>前</w:t>
      </w:r>
      <w:r>
        <w:t>言</w:t>
      </w:r>
      <w:bookmarkEnd w:id="22"/>
      <w:bookmarkEnd w:id="23"/>
    </w:p>
    <w:p>
      <w:pPr>
        <w:pStyle w:val="57"/>
        <w:keepNext w:val="0"/>
        <w:keepLines w:val="0"/>
        <w:pageBreakBefore w:val="0"/>
        <w:kinsoku/>
        <w:wordWrap/>
        <w:overflowPunct/>
        <w:topLinePunct w:val="0"/>
        <w:bidi w:val="0"/>
        <w:snapToGrid/>
        <w:spacing w:line="240" w:lineRule="auto"/>
        <w:ind w:firstLine="420"/>
        <w:textAlignment w:val="auto"/>
        <w:rPr>
          <w:rFonts w:hint="eastAsia" w:ascii="宋体" w:hAnsi="宋体" w:eastAsia="宋体" w:cs="宋体"/>
        </w:rPr>
      </w:pPr>
      <w:r>
        <w:rPr>
          <w:rFonts w:hint="eastAsia" w:ascii="宋体" w:hAnsi="宋体" w:eastAsia="宋体" w:cs="宋体"/>
        </w:rPr>
        <w:t>本文件按照GB/T 1.1—2020《标准化工作导则  第1部分：标准化文件的结构和起草规则》的规定起草。</w:t>
      </w:r>
    </w:p>
    <w:p>
      <w:pPr>
        <w:keepNext w:val="0"/>
        <w:keepLines w:val="0"/>
        <w:pageBreakBefore w:val="0"/>
        <w:widowControl/>
        <w:kinsoku/>
        <w:wordWrap/>
        <w:overflowPunct/>
        <w:topLinePunct w:val="0"/>
        <w:bidi w:val="0"/>
        <w:snapToGrid/>
        <w:spacing w:line="240" w:lineRule="auto"/>
        <w:ind w:firstLine="420" w:firstLineChars="200"/>
        <w:jc w:val="left"/>
        <w:textAlignment w:val="auto"/>
        <w:rPr>
          <w:rFonts w:hint="eastAsia" w:ascii="宋体" w:hAnsi="宋体" w:eastAsia="宋体" w:cs="宋体"/>
          <w:highlight w:val="none"/>
        </w:rPr>
      </w:pPr>
      <w:r>
        <w:rPr>
          <w:rFonts w:hint="eastAsia" w:ascii="宋体" w:hAnsi="宋体" w:eastAsia="宋体" w:cs="宋体"/>
          <w:kern w:val="0"/>
          <w:highlight w:val="none"/>
        </w:rPr>
        <w:t>请注意本文件的某些内容可能涉及专利。本文件的发布机构不承担识别专利的责任。</w:t>
      </w:r>
    </w:p>
    <w:p>
      <w:pPr>
        <w:keepNext w:val="0"/>
        <w:keepLines w:val="0"/>
        <w:pageBreakBefore w:val="0"/>
        <w:kinsoku/>
        <w:wordWrap/>
        <w:overflowPunct/>
        <w:topLinePunct w:val="0"/>
        <w:bidi w:val="0"/>
        <w:snapToGrid/>
        <w:spacing w:line="24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本文件由绍兴市燃气产业有限公司提出。</w:t>
      </w:r>
    </w:p>
    <w:p>
      <w:pPr>
        <w:keepNext w:val="0"/>
        <w:keepLines w:val="0"/>
        <w:pageBreakBefore w:val="0"/>
        <w:kinsoku/>
        <w:wordWrap/>
        <w:overflowPunct/>
        <w:topLinePunct w:val="0"/>
        <w:bidi w:val="0"/>
        <w:snapToGrid/>
        <w:spacing w:line="24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本文件</w:t>
      </w:r>
      <w:r>
        <w:rPr>
          <w:rFonts w:hint="eastAsia" w:ascii="宋体" w:hAnsi="宋体" w:eastAsia="宋体" w:cs="宋体"/>
          <w:kern w:val="0"/>
          <w:highlight w:val="none"/>
        </w:rPr>
        <w:t>由绍兴市综合行政执法局归口。</w:t>
      </w:r>
    </w:p>
    <w:p>
      <w:pPr>
        <w:keepNext w:val="0"/>
        <w:keepLines w:val="0"/>
        <w:pageBreakBefore w:val="0"/>
        <w:kinsoku/>
        <w:wordWrap/>
        <w:overflowPunct/>
        <w:topLinePunct w:val="0"/>
        <w:bidi w:val="0"/>
        <w:snapToGrid/>
        <w:spacing w:line="24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本文件起草单位：绍兴市燃气产业有限公司、绍兴市标准化研究院、绍兴市数字改革标准化技术委员会、绍兴市标准化协会、中国软件与技术服务股份有限公司。</w:t>
      </w:r>
    </w:p>
    <w:p>
      <w:pPr>
        <w:keepNext w:val="0"/>
        <w:keepLines w:val="0"/>
        <w:pageBreakBefore w:val="0"/>
        <w:kinsoku/>
        <w:wordWrap/>
        <w:overflowPunct/>
        <w:topLinePunct w:val="0"/>
        <w:bidi w:val="0"/>
        <w:snapToGrid/>
        <w:spacing w:line="24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本文件主要起草人：丁恩理、</w:t>
      </w:r>
      <w:r>
        <w:rPr>
          <w:rFonts w:hint="eastAsia" w:ascii="宋体" w:hAnsi="宋体" w:cs="宋体"/>
          <w:highlight w:val="none"/>
          <w:lang w:eastAsia="zh-CN"/>
        </w:rPr>
        <w:t>张瑛、</w:t>
      </w:r>
      <w:r>
        <w:rPr>
          <w:rFonts w:hint="eastAsia" w:ascii="宋体" w:hAnsi="宋体" w:eastAsia="宋体" w:cs="宋体"/>
          <w:highlight w:val="none"/>
        </w:rPr>
        <w:t>傅达明、王晓龙、俞颖佳、</w:t>
      </w:r>
      <w:r>
        <w:rPr>
          <w:rFonts w:hint="eastAsia" w:ascii="宋体" w:hAnsi="宋体" w:cs="宋体"/>
          <w:highlight w:val="none"/>
          <w:lang w:eastAsia="zh-CN"/>
        </w:rPr>
        <w:t>孙一栋、</w:t>
      </w:r>
      <w:r>
        <w:rPr>
          <w:rFonts w:hint="eastAsia" w:ascii="宋体" w:hAnsi="宋体" w:eastAsia="宋体" w:cs="宋体"/>
          <w:highlight w:val="none"/>
        </w:rPr>
        <w:t>蒋成骏、褚超男、</w:t>
      </w:r>
      <w:r>
        <w:rPr>
          <w:rFonts w:hint="eastAsia" w:ascii="宋体" w:hAnsi="宋体" w:cs="宋体"/>
          <w:highlight w:val="none"/>
          <w:lang w:eastAsia="zh-CN"/>
        </w:rPr>
        <w:t>徐元园、盛立军、季业成、郭培培、</w:t>
      </w:r>
      <w:r>
        <w:rPr>
          <w:rFonts w:hint="eastAsia" w:ascii="宋体" w:hAnsi="宋体" w:eastAsia="宋体" w:cs="宋体"/>
          <w:highlight w:val="none"/>
        </w:rPr>
        <w:t>赵江枫</w:t>
      </w:r>
      <w:r>
        <w:rPr>
          <w:rFonts w:hint="eastAsia" w:ascii="宋体" w:hAnsi="宋体" w:cs="宋体"/>
          <w:highlight w:val="none"/>
          <w:lang w:eastAsia="zh-CN"/>
        </w:rPr>
        <w:t>、孙权</w:t>
      </w:r>
      <w:r>
        <w:rPr>
          <w:rFonts w:hint="eastAsia" w:ascii="宋体" w:hAnsi="宋体" w:eastAsia="宋体" w:cs="宋体"/>
          <w:highlight w:val="none"/>
        </w:rPr>
        <w:t>。</w:t>
      </w:r>
    </w:p>
    <w:p>
      <w:pPr>
        <w:pStyle w:val="232"/>
        <w:keepNext w:val="0"/>
        <w:keepLines w:val="0"/>
        <w:pageBreakBefore w:val="0"/>
        <w:kinsoku/>
        <w:wordWrap/>
        <w:overflowPunct/>
        <w:topLinePunct w:val="0"/>
        <w:bidi w:val="0"/>
        <w:snapToGrid/>
        <w:spacing w:line="240" w:lineRule="auto"/>
        <w:textAlignment w:val="auto"/>
        <w:rPr>
          <w:rFonts w:hint="eastAsia" w:ascii="宋体" w:hAnsi="宋体" w:eastAsia="宋体" w:cs="宋体"/>
        </w:rPr>
        <w:sectPr>
          <w:pgSz w:w="11906" w:h="16838"/>
          <w:pgMar w:top="2410" w:right="1134" w:bottom="1134" w:left="1134" w:header="1418" w:footer="1134" w:gutter="284"/>
          <w:pgNumType w:fmt="upperRoman"/>
          <w:cols w:space="425" w:num="1"/>
          <w:formProt w:val="0"/>
          <w:docGrid w:type="lines" w:linePitch="312" w:charSpace="0"/>
        </w:sectPr>
      </w:pPr>
      <w:r>
        <w:rPr>
          <w:rFonts w:hint="eastAsia" w:ascii="宋体" w:hAnsi="宋体" w:eastAsia="宋体" w:cs="宋体"/>
        </w:rPr>
        <w:t>本文件为首次发布。</w:t>
      </w:r>
    </w:p>
    <w:bookmarkEnd w:id="24"/>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118BC8DC52234562B3CA0794703BB61C"/>
        </w:placeholder>
      </w:sdtPr>
      <w:sdtContent>
        <w:p>
          <w:pPr>
            <w:pStyle w:val="178"/>
            <w:spacing w:beforeLines="100" w:afterLines="220"/>
          </w:pPr>
          <w:bookmarkStart w:id="26" w:name="NEW_STAND_NAME"/>
          <w:r>
            <w:rPr>
              <w:rFonts w:hint="eastAsia"/>
            </w:rPr>
            <w:t>管道燃气经营企业智慧服务规范</w:t>
          </w:r>
        </w:p>
      </w:sdtContent>
    </w:sdt>
    <w:bookmarkEnd w:id="26"/>
    <w:p>
      <w:pPr>
        <w:pStyle w:val="105"/>
        <w:spacing w:before="312" w:after="312"/>
      </w:pPr>
      <w:bookmarkStart w:id="27" w:name="_Toc24884218"/>
      <w:bookmarkStart w:id="28" w:name="_Toc17233333"/>
      <w:bookmarkStart w:id="29" w:name="_Toc26718930"/>
      <w:bookmarkStart w:id="30" w:name="_Toc106204424"/>
      <w:bookmarkStart w:id="31" w:name="_Toc26986771"/>
      <w:bookmarkStart w:id="32" w:name="_Toc26648465"/>
      <w:bookmarkStart w:id="33" w:name="_Toc17233325"/>
      <w:bookmarkStart w:id="34" w:name="_Toc106204399"/>
      <w:bookmarkStart w:id="35" w:name="_Toc24884211"/>
      <w:bookmarkStart w:id="36" w:name="_Toc26986530"/>
      <w:r>
        <w:rPr>
          <w:rFonts w:hint="eastAsia"/>
        </w:rPr>
        <w:t>范围</w:t>
      </w:r>
      <w:bookmarkEnd w:id="27"/>
      <w:bookmarkEnd w:id="28"/>
      <w:bookmarkEnd w:id="29"/>
      <w:bookmarkEnd w:id="30"/>
      <w:bookmarkEnd w:id="31"/>
      <w:bookmarkEnd w:id="32"/>
      <w:bookmarkEnd w:id="33"/>
      <w:bookmarkEnd w:id="34"/>
      <w:bookmarkEnd w:id="35"/>
      <w:bookmarkEnd w:id="36"/>
    </w:p>
    <w:p>
      <w:pPr>
        <w:pStyle w:val="57"/>
        <w:ind w:firstLine="420"/>
        <w:rPr>
          <w:highlight w:val="none"/>
        </w:rPr>
      </w:pPr>
      <w:bookmarkStart w:id="37" w:name="_Toc24884219"/>
      <w:bookmarkStart w:id="38" w:name="_Toc17233326"/>
      <w:bookmarkStart w:id="39" w:name="_Toc17233334"/>
      <w:bookmarkStart w:id="40" w:name="_Toc26648466"/>
      <w:bookmarkStart w:id="41" w:name="_Toc24884212"/>
      <w:r>
        <w:rPr>
          <w:rFonts w:hint="eastAsia"/>
          <w:highlight w:val="none"/>
        </w:rPr>
        <w:t xml:space="preserve">本文件规定了管道燃气经营企业智慧服务的术语和定义、总体要求、平台建设要求、智慧服务要求、服务保障、投诉处理、评价与改进。 </w:t>
      </w:r>
    </w:p>
    <w:p>
      <w:pPr>
        <w:pStyle w:val="57"/>
        <w:ind w:firstLine="420"/>
      </w:pPr>
      <w:r>
        <w:rPr>
          <w:rFonts w:hint="eastAsia"/>
          <w:highlight w:val="none"/>
        </w:rPr>
        <w:t>本文件适用于规范管道燃气经</w:t>
      </w:r>
      <w:r>
        <w:rPr>
          <w:rFonts w:hint="eastAsia"/>
        </w:rPr>
        <w:t>营企业智慧服务。</w:t>
      </w:r>
    </w:p>
    <w:p>
      <w:pPr>
        <w:pStyle w:val="105"/>
        <w:spacing w:before="312" w:after="312"/>
      </w:pPr>
      <w:bookmarkStart w:id="42" w:name="_Toc106204425"/>
      <w:bookmarkStart w:id="43" w:name="_Toc26986772"/>
      <w:bookmarkStart w:id="44" w:name="_Toc26718931"/>
      <w:bookmarkStart w:id="45" w:name="_Toc106204400"/>
      <w:bookmarkStart w:id="46" w:name="_Toc26986531"/>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0601477FE6F041CA88924CEE5305B4A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rPr>
          <w:rFonts w:hint="eastAsia" w:hAnsi="宋体"/>
          <w:szCs w:val="21"/>
          <w:highlight w:val="none"/>
        </w:rPr>
      </w:pPr>
      <w:r>
        <w:rPr>
          <w:rFonts w:hint="eastAsia"/>
          <w:highlight w:val="none"/>
        </w:rPr>
        <w:t>GB/T 25058—2019  信息安全技术　网络安全等级保护实施指南</w:t>
      </w:r>
    </w:p>
    <w:p>
      <w:pPr>
        <w:pStyle w:val="57"/>
        <w:ind w:firstLine="420"/>
        <w:rPr>
          <w:szCs w:val="21"/>
          <w:highlight w:val="none"/>
        </w:rPr>
      </w:pPr>
      <w:r>
        <w:rPr>
          <w:rFonts w:hAnsi="宋体"/>
          <w:szCs w:val="21"/>
          <w:highlight w:val="none"/>
        </w:rPr>
        <w:t>GB/T</w:t>
      </w:r>
      <w:r>
        <w:rPr>
          <w:rFonts w:hint="eastAsia" w:hAnsi="宋体"/>
          <w:szCs w:val="21"/>
          <w:highlight w:val="none"/>
        </w:rPr>
        <w:t xml:space="preserve"> </w:t>
      </w:r>
      <w:r>
        <w:rPr>
          <w:rFonts w:hAnsi="宋体"/>
          <w:szCs w:val="21"/>
          <w:highlight w:val="none"/>
        </w:rPr>
        <w:t>28885</w:t>
      </w:r>
      <w:r>
        <w:rPr>
          <w:rFonts w:hint="eastAsia" w:hAnsi="宋体"/>
          <w:szCs w:val="21"/>
          <w:highlight w:val="none"/>
        </w:rPr>
        <w:t xml:space="preserve">  </w:t>
      </w:r>
      <w:r>
        <w:rPr>
          <w:rFonts w:ascii="Arial" w:hAnsi="Arial" w:cs="Arial"/>
          <w:color w:val="333333"/>
          <w:szCs w:val="21"/>
          <w:highlight w:val="none"/>
          <w:shd w:val="clear" w:color="auto" w:fill="FFFFFF"/>
        </w:rPr>
        <w:t>燃气服务导则</w:t>
      </w:r>
    </w:p>
    <w:p>
      <w:pPr>
        <w:pStyle w:val="57"/>
        <w:ind w:firstLine="420"/>
        <w:rPr>
          <w:highlight w:val="none"/>
        </w:rPr>
      </w:pPr>
      <w:r>
        <w:rPr>
          <w:rFonts w:hint="eastAsia"/>
          <w:highlight w:val="none"/>
        </w:rPr>
        <w:t xml:space="preserve">GB/T 35273  </w:t>
      </w:r>
      <w:r>
        <w:rPr>
          <w:rFonts w:hint="eastAsia" w:hAnsi="宋体"/>
          <w:highlight w:val="none"/>
        </w:rPr>
        <w:t>信息安全技术个人信息安全规范</w:t>
      </w:r>
    </w:p>
    <w:p>
      <w:pPr>
        <w:pStyle w:val="57"/>
        <w:ind w:firstLine="420"/>
        <w:rPr>
          <w:highlight w:val="none"/>
        </w:rPr>
      </w:pPr>
      <w:r>
        <w:rPr>
          <w:rFonts w:hint="eastAsia"/>
          <w:highlight w:val="none"/>
        </w:rPr>
        <w:t xml:space="preserve">GB/T 39477  </w:t>
      </w:r>
      <w:r>
        <w:rPr>
          <w:rFonts w:hint="eastAsia" w:hAnsi="宋体"/>
          <w:highlight w:val="none"/>
        </w:rPr>
        <w:t>信息安全技术政务信息共享数据安全技术要求</w:t>
      </w:r>
    </w:p>
    <w:p>
      <w:pPr>
        <w:pStyle w:val="57"/>
        <w:ind w:firstLine="420"/>
        <w:rPr>
          <w:highlight w:val="none"/>
        </w:rPr>
      </w:pPr>
      <w:r>
        <w:rPr>
          <w:rFonts w:hint="eastAsia" w:hAnsi="宋体" w:cs="黑体"/>
          <w:highlight w:val="none"/>
        </w:rPr>
        <w:t>GB 50174—2017  数据中心设计规范</w:t>
      </w:r>
    </w:p>
    <w:p>
      <w:pPr>
        <w:pStyle w:val="105"/>
        <w:spacing w:before="312" w:after="312"/>
      </w:pPr>
      <w:bookmarkStart w:id="47" w:name="_Toc106204401"/>
      <w:bookmarkStart w:id="48" w:name="_Toc106204426"/>
      <w:r>
        <w:rPr>
          <w:rFonts w:hint="eastAsia"/>
          <w:szCs w:val="21"/>
        </w:rPr>
        <w:t>术语和定义</w:t>
      </w:r>
      <w:bookmarkEnd w:id="47"/>
      <w:bookmarkEnd w:id="48"/>
    </w:p>
    <w:sdt>
      <w:sdtPr>
        <w:rPr>
          <w:rFonts w:hAnsi="宋体"/>
        </w:rPr>
        <w:id w:val="-1909835108"/>
        <w:placeholder>
          <w:docPart w:val="E86BC2CFA6A144A684633428416EF25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7"/>
            <w:ind w:firstLine="420"/>
            <w:rPr>
              <w:rFonts w:hAnsi="宋体"/>
            </w:rPr>
          </w:pPr>
          <w:bookmarkStart w:id="49" w:name="_Toc26986532"/>
          <w:bookmarkEnd w:id="49"/>
          <w:r>
            <w:rPr>
              <w:rFonts w:hAnsi="宋体"/>
            </w:rPr>
            <w:t>GB/T 28885界定的术语和定义适用于本文件。</w:t>
          </w:r>
        </w:p>
      </w:sdtContent>
    </w:sdt>
    <w:p>
      <w:pPr>
        <w:pStyle w:val="105"/>
        <w:spacing w:before="312" w:after="312"/>
      </w:pPr>
      <w:bookmarkStart w:id="50" w:name="_Toc106204402"/>
      <w:bookmarkStart w:id="51" w:name="_Toc106204427"/>
      <w:r>
        <w:rPr>
          <w:rFonts w:hint="eastAsia"/>
        </w:rPr>
        <w:t>总体要求</w:t>
      </w:r>
      <w:bookmarkEnd w:id="50"/>
      <w:bookmarkEnd w:id="51"/>
    </w:p>
    <w:p>
      <w:pPr>
        <w:pStyle w:val="106"/>
        <w:spacing w:before="156" w:after="156"/>
      </w:pPr>
      <w:bookmarkStart w:id="52" w:name="_Toc106204403"/>
      <w:r>
        <w:rPr>
          <w:rFonts w:hint="eastAsia"/>
        </w:rPr>
        <w:t>规范化</w:t>
      </w:r>
      <w:bookmarkEnd w:id="52"/>
    </w:p>
    <w:p>
      <w:pPr>
        <w:pStyle w:val="57"/>
        <w:ind w:firstLine="420"/>
      </w:pPr>
      <w:r>
        <w:rPr>
          <w:rFonts w:hint="eastAsia"/>
        </w:rPr>
        <w:t>应诚信守约、合规经营、规范服务、用户至上、自觉接受社会监督。</w:t>
      </w:r>
    </w:p>
    <w:p>
      <w:pPr>
        <w:pStyle w:val="106"/>
        <w:spacing w:before="156" w:after="156"/>
      </w:pPr>
      <w:bookmarkStart w:id="53" w:name="_Toc106204404"/>
      <w:r>
        <w:rPr>
          <w:rFonts w:hint="eastAsia"/>
        </w:rPr>
        <w:t>数字化</w:t>
      </w:r>
      <w:bookmarkEnd w:id="53"/>
    </w:p>
    <w:p>
      <w:pPr>
        <w:pStyle w:val="57"/>
        <w:ind w:firstLine="420"/>
      </w:pPr>
      <w:r>
        <w:rPr>
          <w:rFonts w:hint="eastAsia"/>
          <w:color w:val="000000"/>
        </w:rPr>
        <w:t>应</w:t>
      </w:r>
      <w:r>
        <w:rPr>
          <w:rFonts w:hint="eastAsia"/>
        </w:rPr>
        <w:t>遵循数字化改革的总体要求，注重智能高效、安全可靠、数据共享。</w:t>
      </w:r>
    </w:p>
    <w:p>
      <w:pPr>
        <w:pStyle w:val="106"/>
        <w:spacing w:before="156" w:after="156"/>
      </w:pPr>
      <w:bookmarkStart w:id="54" w:name="_Toc106204405"/>
      <w:r>
        <w:rPr>
          <w:rFonts w:hint="eastAsia"/>
        </w:rPr>
        <w:t>人性化</w:t>
      </w:r>
      <w:bookmarkEnd w:id="54"/>
    </w:p>
    <w:p>
      <w:pPr>
        <w:pStyle w:val="57"/>
        <w:ind w:firstLine="420"/>
      </w:pPr>
      <w:r>
        <w:rPr>
          <w:rFonts w:hint="eastAsia"/>
          <w:color w:val="000000"/>
        </w:rPr>
        <w:t>应采</w:t>
      </w:r>
      <w:r>
        <w:rPr>
          <w:rFonts w:hint="eastAsia"/>
        </w:rPr>
        <w:t>用电子信息技术，通过门户网站、智慧化服务平台等，为用户提供便捷的信息化业务服务。</w:t>
      </w:r>
    </w:p>
    <w:p>
      <w:pPr>
        <w:pStyle w:val="105"/>
        <w:spacing w:before="312" w:after="312"/>
      </w:pPr>
      <w:bookmarkStart w:id="55" w:name="_Toc106204428"/>
      <w:bookmarkStart w:id="56" w:name="_Toc106204406"/>
      <w:r>
        <w:rPr>
          <w:rFonts w:hint="eastAsia"/>
        </w:rPr>
        <w:t>平台建设要求</w:t>
      </w:r>
      <w:bookmarkEnd w:id="55"/>
      <w:bookmarkEnd w:id="56"/>
    </w:p>
    <w:p>
      <w:pPr>
        <w:pStyle w:val="106"/>
        <w:spacing w:before="156" w:after="156"/>
      </w:pPr>
      <w:bookmarkStart w:id="57" w:name="_Toc106204407"/>
      <w:r>
        <w:rPr>
          <w:rFonts w:hint="eastAsia"/>
        </w:rPr>
        <w:t>硬件要求</w:t>
      </w:r>
      <w:bookmarkEnd w:id="57"/>
    </w:p>
    <w:p>
      <w:pPr>
        <w:pStyle w:val="166"/>
        <w:rPr>
          <w:rFonts w:hAnsi="黑体"/>
          <w:highlight w:val="none"/>
        </w:rPr>
      </w:pPr>
      <w:r>
        <w:rPr>
          <w:rFonts w:hint="eastAsia"/>
          <w:highlight w:val="none"/>
        </w:rPr>
        <w:t>数据中心的建设应满足GB 50174—2017的规定。</w:t>
      </w:r>
    </w:p>
    <w:p>
      <w:pPr>
        <w:pStyle w:val="166"/>
        <w:rPr>
          <w:rFonts w:hAnsi="黑体"/>
        </w:rPr>
      </w:pPr>
      <w:r>
        <w:rPr>
          <w:rFonts w:hint="eastAsia"/>
        </w:rPr>
        <w:t>相关硬件设备应满足以下要求：</w:t>
      </w:r>
    </w:p>
    <w:p>
      <w:pPr>
        <w:pStyle w:val="133"/>
        <w:rPr>
          <w:rFonts w:hAnsi="黑体"/>
        </w:rPr>
      </w:pPr>
      <w:r>
        <w:rPr>
          <w:rFonts w:hint="eastAsia"/>
        </w:rPr>
        <w:t xml:space="preserve">平均无故障间隔时间＞20000 小时； </w:t>
      </w:r>
    </w:p>
    <w:p>
      <w:pPr>
        <w:pStyle w:val="133"/>
        <w:rPr>
          <w:rFonts w:hAnsi="黑体"/>
        </w:rPr>
      </w:pPr>
      <w:r>
        <w:rPr>
          <w:rFonts w:hint="eastAsia"/>
        </w:rPr>
        <w:t xml:space="preserve">年宕机次数≤1次； </w:t>
      </w:r>
    </w:p>
    <w:p>
      <w:pPr>
        <w:pStyle w:val="133"/>
        <w:rPr>
          <w:rFonts w:hAnsi="黑体"/>
        </w:rPr>
      </w:pPr>
      <w:r>
        <w:rPr>
          <w:rFonts w:hint="eastAsia"/>
        </w:rPr>
        <w:t xml:space="preserve">主机的联机启动时间≤2分； </w:t>
      </w:r>
    </w:p>
    <w:p>
      <w:pPr>
        <w:pStyle w:val="133"/>
        <w:rPr>
          <w:rFonts w:hAnsi="黑体"/>
        </w:rPr>
      </w:pPr>
      <w:r>
        <w:rPr>
          <w:rFonts w:hint="eastAsia"/>
        </w:rPr>
        <w:t xml:space="preserve">单项数据查询响应时间≤3秒； </w:t>
      </w:r>
    </w:p>
    <w:p>
      <w:pPr>
        <w:pStyle w:val="133"/>
        <w:rPr>
          <w:rFonts w:hAnsi="黑体"/>
          <w:highlight w:val="none"/>
        </w:rPr>
      </w:pPr>
      <w:r>
        <w:rPr>
          <w:rFonts w:hint="eastAsia"/>
        </w:rPr>
        <w:t>设备完好率</w:t>
      </w:r>
      <w:r>
        <w:rPr>
          <w:rFonts w:hint="eastAsia"/>
          <w:highlight w:val="none"/>
        </w:rPr>
        <w:t>＞95%；</w:t>
      </w:r>
    </w:p>
    <w:p>
      <w:pPr>
        <w:pStyle w:val="133"/>
        <w:rPr>
          <w:highlight w:val="none"/>
        </w:rPr>
      </w:pPr>
      <w:r>
        <w:rPr>
          <w:rFonts w:hint="eastAsia"/>
          <w:highlight w:val="none"/>
        </w:rPr>
        <w:t>服务器操作系统支持</w:t>
      </w:r>
      <w:r>
        <w:rPr>
          <w:rFonts w:hint="eastAsia" w:hAnsi="宋体" w:cs="宋体"/>
          <w:highlight w:val="none"/>
        </w:rPr>
        <w:t>麒麟、UOS、</w:t>
      </w:r>
      <w:r>
        <w:rPr>
          <w:rFonts w:hint="eastAsia"/>
          <w:highlight w:val="none"/>
        </w:rPr>
        <w:t>Linux、Windows、Mac OS等主流操作系统。</w:t>
      </w:r>
    </w:p>
    <w:p>
      <w:pPr>
        <w:pStyle w:val="166"/>
        <w:rPr>
          <w:highlight w:val="none"/>
        </w:rPr>
      </w:pPr>
      <w:r>
        <w:rPr>
          <w:rFonts w:hint="eastAsia"/>
          <w:highlight w:val="none"/>
        </w:rPr>
        <w:t>智能表具应采用物联网表、远传表等，实现燃气使用量的采集和传输。</w:t>
      </w:r>
    </w:p>
    <w:p>
      <w:pPr>
        <w:pStyle w:val="106"/>
        <w:spacing w:before="156" w:after="156"/>
        <w:rPr>
          <w:highlight w:val="none"/>
        </w:rPr>
      </w:pPr>
      <w:bookmarkStart w:id="58" w:name="_Toc106204408"/>
      <w:r>
        <w:rPr>
          <w:rFonts w:hint="eastAsia"/>
          <w:highlight w:val="none"/>
        </w:rPr>
        <w:t>软件要求</w:t>
      </w:r>
      <w:bookmarkEnd w:id="58"/>
    </w:p>
    <w:p>
      <w:pPr>
        <w:pStyle w:val="57"/>
        <w:ind w:firstLine="420"/>
        <w:rPr>
          <w:highlight w:val="none"/>
        </w:rPr>
      </w:pPr>
      <w:r>
        <w:rPr>
          <w:rFonts w:hint="eastAsia"/>
          <w:highlight w:val="none"/>
        </w:rPr>
        <w:t>系统采用多层体系结构以及B/S或C/S方式，采用分布式服务架构，可按需灵活部署在任何符合5.1.2规定的应用服务器上。</w:t>
      </w:r>
    </w:p>
    <w:p>
      <w:pPr>
        <w:pStyle w:val="106"/>
        <w:spacing w:before="156" w:after="156"/>
        <w:rPr>
          <w:highlight w:val="none"/>
        </w:rPr>
      </w:pPr>
      <w:bookmarkStart w:id="59" w:name="_Toc106204409"/>
      <w:r>
        <w:rPr>
          <w:rFonts w:hint="eastAsia"/>
          <w:highlight w:val="none"/>
        </w:rPr>
        <w:t>网络安全要求</w:t>
      </w:r>
      <w:bookmarkEnd w:id="59"/>
    </w:p>
    <w:p>
      <w:pPr>
        <w:pStyle w:val="57"/>
        <w:ind w:firstLine="420"/>
        <w:rPr>
          <w:rFonts w:hAnsi="黑体"/>
          <w:highlight w:val="none"/>
        </w:rPr>
      </w:pPr>
      <w:r>
        <w:rPr>
          <w:rFonts w:hint="eastAsia"/>
          <w:highlight w:val="none"/>
        </w:rPr>
        <w:t>网络拓扑结构合理，网络设备齐全，合理配置路由器、交换机、服务器、入侵检测系统（IDS）、防火墙和加密保护、网络设备的冗余与备份等</w:t>
      </w:r>
      <w:r>
        <w:rPr>
          <w:rFonts w:hint="eastAsia"/>
          <w:highlight w:val="none"/>
          <w:lang w:val="en-US" w:eastAsia="zh-CN"/>
        </w:rPr>
        <w:t>。</w:t>
      </w:r>
      <w:r>
        <w:rPr>
          <w:rFonts w:hint="eastAsia"/>
          <w:highlight w:val="none"/>
        </w:rPr>
        <w:t>网络安全应符合GB/T 25058—2019中二级及以上的要求。</w:t>
      </w:r>
    </w:p>
    <w:p>
      <w:pPr>
        <w:pStyle w:val="106"/>
        <w:spacing w:before="156" w:after="156"/>
        <w:rPr>
          <w:highlight w:val="none"/>
        </w:rPr>
      </w:pPr>
      <w:bookmarkStart w:id="60" w:name="_Toc106204410"/>
      <w:r>
        <w:rPr>
          <w:rFonts w:hint="eastAsia"/>
          <w:highlight w:val="none"/>
        </w:rPr>
        <w:t>接口组建要求</w:t>
      </w:r>
      <w:bookmarkEnd w:id="60"/>
    </w:p>
    <w:p>
      <w:pPr>
        <w:pStyle w:val="166"/>
        <w:rPr>
          <w:rFonts w:hint="eastAsia"/>
          <w:highlight w:val="none"/>
        </w:rPr>
      </w:pPr>
      <w:r>
        <w:rPr>
          <w:rFonts w:hint="eastAsia"/>
          <w:highlight w:val="none"/>
        </w:rPr>
        <w:t>建设系统具备收费类、财务类、表具类、设备类、信息类、业务类等接口。根据主管部门数据资源的需求，采用预留数据资源共享与交换接口的方式，实现与业务主管部门、系统之间的信息资源共享和交换。</w:t>
      </w:r>
    </w:p>
    <w:p>
      <w:pPr>
        <w:pStyle w:val="166"/>
        <w:rPr>
          <w:rFonts w:hint="eastAsia"/>
          <w:highlight w:val="none"/>
        </w:rPr>
      </w:pPr>
      <w:r>
        <w:rPr>
          <w:rFonts w:hint="eastAsia"/>
          <w:highlight w:val="none"/>
        </w:rPr>
        <w:t>系统具有灵活性和开放性，支持与其他系统对接，宜采用统一的接口标准或通讯协议。常用接口主要包括以下几类：</w:t>
      </w:r>
    </w:p>
    <w:p>
      <w:pPr>
        <w:pStyle w:val="133"/>
        <w:rPr>
          <w:rFonts w:hAnsi="黑体"/>
          <w:highlight w:val="none"/>
        </w:rPr>
      </w:pPr>
      <w:r>
        <w:rPr>
          <w:rFonts w:hint="eastAsia"/>
          <w:highlight w:val="none"/>
        </w:rPr>
        <w:t>短信平台接口，实现短信收发管理功能；</w:t>
      </w:r>
    </w:p>
    <w:p>
      <w:pPr>
        <w:pStyle w:val="133"/>
        <w:rPr>
          <w:rFonts w:hAnsi="黑体"/>
          <w:highlight w:val="none"/>
        </w:rPr>
      </w:pPr>
      <w:r>
        <w:rPr>
          <w:rFonts w:hint="eastAsia"/>
          <w:highlight w:val="none"/>
        </w:rPr>
        <w:t>与</w:t>
      </w:r>
      <w:r>
        <w:rPr>
          <w:rFonts w:hint="eastAsia"/>
          <w:highlight w:val="none"/>
          <w:lang w:eastAsia="zh-CN"/>
        </w:rPr>
        <w:t>数据采集系统（</w:t>
      </w:r>
      <w:r>
        <w:rPr>
          <w:rFonts w:hint="eastAsia"/>
          <w:highlight w:val="none"/>
        </w:rPr>
        <w:t>SCADA</w:t>
      </w:r>
      <w:r>
        <w:rPr>
          <w:rFonts w:hint="eastAsia"/>
          <w:highlight w:val="none"/>
          <w:lang w:eastAsia="zh-CN"/>
        </w:rPr>
        <w:t>）</w:t>
      </w:r>
      <w:r>
        <w:rPr>
          <w:rFonts w:hint="eastAsia"/>
          <w:highlight w:val="none"/>
        </w:rPr>
        <w:t>、</w:t>
      </w:r>
      <w:r>
        <w:rPr>
          <w:rFonts w:hint="eastAsia"/>
          <w:highlight w:val="none"/>
          <w:lang w:eastAsia="zh-CN"/>
        </w:rPr>
        <w:t>地理信息系统（</w:t>
      </w:r>
      <w:r>
        <w:rPr>
          <w:rFonts w:hint="eastAsia"/>
          <w:highlight w:val="none"/>
        </w:rPr>
        <w:t>GIS</w:t>
      </w:r>
      <w:r>
        <w:rPr>
          <w:rFonts w:hint="eastAsia"/>
          <w:highlight w:val="none"/>
          <w:lang w:eastAsia="zh-CN"/>
        </w:rPr>
        <w:t>）</w:t>
      </w:r>
      <w:r>
        <w:rPr>
          <w:rFonts w:hint="eastAsia"/>
          <w:highlight w:val="none"/>
        </w:rPr>
        <w:t>等系统留有数据接口，实现数据共享；</w:t>
      </w:r>
    </w:p>
    <w:p>
      <w:pPr>
        <w:pStyle w:val="133"/>
        <w:rPr>
          <w:rFonts w:hAnsi="黑体"/>
          <w:highlight w:val="none"/>
        </w:rPr>
      </w:pPr>
      <w:r>
        <w:rPr>
          <w:rFonts w:hint="eastAsia"/>
          <w:highlight w:val="none"/>
        </w:rPr>
        <w:t>第三方支付平台接口，实现用户在线支付和结算；</w:t>
      </w:r>
    </w:p>
    <w:p>
      <w:pPr>
        <w:pStyle w:val="133"/>
        <w:rPr>
          <w:rFonts w:hAnsi="黑体"/>
          <w:highlight w:val="none"/>
        </w:rPr>
      </w:pPr>
      <w:r>
        <w:rPr>
          <w:rFonts w:hint="eastAsia"/>
          <w:highlight w:val="none"/>
        </w:rPr>
        <w:t>与浙里办、政务服务网、市级监管平台等留有接口，实现线上服务与办件；</w:t>
      </w:r>
    </w:p>
    <w:p>
      <w:pPr>
        <w:pStyle w:val="133"/>
        <w:rPr>
          <w:rFonts w:hAnsi="黑体"/>
          <w:highlight w:val="none"/>
        </w:rPr>
      </w:pPr>
      <w:r>
        <w:rPr>
          <w:rFonts w:hint="eastAsia"/>
          <w:highlight w:val="none"/>
        </w:rPr>
        <w:t>与开票、税务系统留有数据接口，实现在线开票。</w:t>
      </w:r>
    </w:p>
    <w:p>
      <w:pPr>
        <w:pStyle w:val="105"/>
        <w:spacing w:before="312" w:after="312"/>
        <w:rPr>
          <w:highlight w:val="none"/>
        </w:rPr>
      </w:pPr>
      <w:bookmarkStart w:id="61" w:name="_Toc106204411"/>
      <w:bookmarkStart w:id="62" w:name="_Toc106204429"/>
      <w:r>
        <w:rPr>
          <w:rFonts w:hint="eastAsia"/>
          <w:highlight w:val="none"/>
        </w:rPr>
        <w:t>智慧服务要求</w:t>
      </w:r>
      <w:bookmarkEnd w:id="61"/>
      <w:bookmarkEnd w:id="62"/>
    </w:p>
    <w:p>
      <w:pPr>
        <w:pStyle w:val="106"/>
        <w:spacing w:before="156" w:after="156"/>
        <w:rPr>
          <w:highlight w:val="none"/>
        </w:rPr>
      </w:pPr>
      <w:bookmarkStart w:id="63" w:name="_Toc106204412"/>
      <w:r>
        <w:rPr>
          <w:rFonts w:hint="eastAsia"/>
          <w:highlight w:val="none"/>
        </w:rPr>
        <w:t>服务用户</w:t>
      </w:r>
      <w:bookmarkEnd w:id="63"/>
    </w:p>
    <w:p>
      <w:pPr>
        <w:pStyle w:val="66"/>
        <w:spacing w:before="156" w:after="156"/>
        <w:rPr>
          <w:highlight w:val="none"/>
        </w:rPr>
      </w:pPr>
      <w:r>
        <w:rPr>
          <w:rFonts w:hint="eastAsia"/>
          <w:highlight w:val="none"/>
        </w:rPr>
        <w:t>一键受理</w:t>
      </w:r>
    </w:p>
    <w:p>
      <w:pPr>
        <w:pStyle w:val="57"/>
        <w:ind w:firstLine="420"/>
        <w:rPr>
          <w:highlight w:val="none"/>
        </w:rPr>
      </w:pPr>
      <w:r>
        <w:rPr>
          <w:rFonts w:hint="eastAsia"/>
          <w:highlight w:val="none"/>
        </w:rPr>
        <w:t>通过服务平台、门户网站等智能业务受理终端，为用户提供一键式在线开户、过户、销户等业务服务。</w:t>
      </w:r>
    </w:p>
    <w:p>
      <w:pPr>
        <w:pStyle w:val="66"/>
        <w:spacing w:before="156" w:after="156"/>
        <w:rPr>
          <w:highlight w:val="none"/>
        </w:rPr>
      </w:pPr>
      <w:r>
        <w:rPr>
          <w:rFonts w:hint="eastAsia"/>
          <w:highlight w:val="none"/>
        </w:rPr>
        <w:t>智能信息查询</w:t>
      </w:r>
    </w:p>
    <w:p>
      <w:pPr>
        <w:pStyle w:val="57"/>
        <w:ind w:firstLine="420"/>
        <w:rPr>
          <w:rFonts w:hAnsi="宋体"/>
          <w:highlight w:val="none"/>
        </w:rPr>
      </w:pPr>
      <w:r>
        <w:rPr>
          <w:rFonts w:hint="eastAsia"/>
          <w:highlight w:val="none"/>
        </w:rPr>
        <w:t>通过语音、智能筛选等方式，为客户提供24小时实时在线业务进度、用气、开票等信息的动态查询。</w:t>
      </w:r>
    </w:p>
    <w:p>
      <w:pPr>
        <w:pStyle w:val="66"/>
        <w:spacing w:before="156" w:after="156"/>
        <w:rPr>
          <w:szCs w:val="21"/>
          <w:highlight w:val="none"/>
        </w:rPr>
      </w:pPr>
      <w:r>
        <w:rPr>
          <w:rFonts w:hint="eastAsia"/>
          <w:highlight w:val="none"/>
        </w:rPr>
        <w:t>智能定位</w:t>
      </w:r>
    </w:p>
    <w:p>
      <w:pPr>
        <w:pStyle w:val="57"/>
        <w:ind w:firstLine="420"/>
        <w:rPr>
          <w:rFonts w:ascii="黑体" w:hAnsi="黑体" w:eastAsia="黑体"/>
          <w:highlight w:val="none"/>
        </w:rPr>
      </w:pPr>
      <w:r>
        <w:rPr>
          <w:rFonts w:hint="eastAsia"/>
          <w:highlight w:val="none"/>
        </w:rPr>
        <w:t>通过服务平台可准确显示配有智能表具的用户所在的具体地理位置,定期监控用户用气情况。对燃气泄漏、异常流量、表具欠压等故障进行实时报警，及时反馈用户并妥善采取关阀措施。</w:t>
      </w:r>
    </w:p>
    <w:p>
      <w:pPr>
        <w:pStyle w:val="66"/>
        <w:spacing w:before="156" w:after="156"/>
        <w:rPr>
          <w:rFonts w:ascii="宋体" w:hAnsi="宋体" w:eastAsia="宋体"/>
          <w:color w:val="000000"/>
          <w:highlight w:val="none"/>
        </w:rPr>
      </w:pPr>
      <w:r>
        <w:rPr>
          <w:rFonts w:hint="eastAsia"/>
          <w:highlight w:val="none"/>
        </w:rPr>
        <w:t>智能呼叫中心</w:t>
      </w:r>
    </w:p>
    <w:p>
      <w:pPr>
        <w:pStyle w:val="57"/>
        <w:ind w:firstLine="420"/>
        <w:rPr>
          <w:highlight w:val="none"/>
        </w:rPr>
      </w:pPr>
      <w:r>
        <w:rPr>
          <w:rFonts w:hint="eastAsia"/>
          <w:highlight w:val="none"/>
        </w:rPr>
        <w:t>通过坐席监控，电话录音，来电弹窗，智能分单等，为客户提供业务咨询、业务受理、满意度评价等标准化服务，并自动保存信息记录，实现服务闭环。</w:t>
      </w:r>
    </w:p>
    <w:p>
      <w:pPr>
        <w:pStyle w:val="66"/>
        <w:spacing w:before="156" w:after="156"/>
        <w:rPr>
          <w:highlight w:val="none"/>
        </w:rPr>
      </w:pPr>
      <w:r>
        <w:rPr>
          <w:rFonts w:hint="eastAsia"/>
          <w:highlight w:val="none"/>
        </w:rPr>
        <w:t>智能缴费</w:t>
      </w:r>
    </w:p>
    <w:p>
      <w:pPr>
        <w:pStyle w:val="57"/>
        <w:ind w:firstLine="420"/>
        <w:rPr>
          <w:highlight w:val="none"/>
        </w:rPr>
      </w:pPr>
      <w:r>
        <w:rPr>
          <w:rFonts w:hint="eastAsia"/>
          <w:highlight w:val="none"/>
        </w:rPr>
        <w:t>通过远程采集客户现场物联网表码,系统自动算费,定时告知用户；提供银行（含数字人民币）、微信、支付宝等第三方金融服务端口，在线进行缴费及电子发票开具。</w:t>
      </w:r>
    </w:p>
    <w:p>
      <w:pPr>
        <w:pStyle w:val="66"/>
        <w:spacing w:before="156" w:after="156"/>
        <w:rPr>
          <w:highlight w:val="none"/>
        </w:rPr>
      </w:pPr>
      <w:r>
        <w:rPr>
          <w:rFonts w:hint="eastAsia"/>
          <w:highlight w:val="none"/>
        </w:rPr>
        <w:t>信息服务</w:t>
      </w:r>
    </w:p>
    <w:p>
      <w:pPr>
        <w:pStyle w:val="57"/>
        <w:ind w:firstLine="420"/>
        <w:rPr>
          <w:rFonts w:hAnsi="宋体"/>
          <w:highlight w:val="none"/>
        </w:rPr>
      </w:pPr>
      <w:r>
        <w:rPr>
          <w:rFonts w:hint="eastAsia"/>
          <w:highlight w:val="none"/>
        </w:rPr>
        <w:t>通过服务平台，以短信、公告等方式推送服务信息，为用户提供办事流程、企业服务举措等信息资讯。</w:t>
      </w:r>
    </w:p>
    <w:p>
      <w:pPr>
        <w:pStyle w:val="106"/>
        <w:spacing w:before="156" w:after="156"/>
        <w:rPr>
          <w:highlight w:val="none"/>
        </w:rPr>
      </w:pPr>
      <w:bookmarkStart w:id="64" w:name="_Toc106204413"/>
      <w:r>
        <w:rPr>
          <w:rFonts w:hint="eastAsia"/>
          <w:highlight w:val="none"/>
        </w:rPr>
        <w:t>服务企业</w:t>
      </w:r>
      <w:bookmarkEnd w:id="64"/>
    </w:p>
    <w:p>
      <w:pPr>
        <w:pStyle w:val="66"/>
        <w:spacing w:before="156" w:after="156"/>
        <w:rPr>
          <w:rFonts w:ascii="Times New Roman" w:hAnsi="黑体" w:cs="黑体"/>
          <w:highlight w:val="none"/>
        </w:rPr>
      </w:pPr>
      <w:r>
        <w:rPr>
          <w:rFonts w:hint="eastAsia" w:hAnsi="宋体" w:cs="黑体"/>
          <w:highlight w:val="none"/>
        </w:rPr>
        <w:t>智能抄表</w:t>
      </w:r>
    </w:p>
    <w:p>
      <w:pPr>
        <w:pStyle w:val="57"/>
        <w:ind w:firstLine="420"/>
        <w:rPr>
          <w:rFonts w:hAnsi="黑体"/>
          <w:highlight w:val="none"/>
        </w:rPr>
      </w:pPr>
      <w:r>
        <w:rPr>
          <w:rFonts w:hint="eastAsia"/>
          <w:highlight w:val="none"/>
        </w:rPr>
        <w:t>通过服务平台实现远程自动抄表，并对抄表过程中的异常数据进行处理，及时反馈处理结果给用户。</w:t>
      </w:r>
    </w:p>
    <w:p>
      <w:pPr>
        <w:pStyle w:val="66"/>
        <w:spacing w:before="156" w:after="156"/>
        <w:rPr>
          <w:rFonts w:hAnsi="黑体" w:cs="黑体"/>
        </w:rPr>
      </w:pPr>
      <w:r>
        <w:rPr>
          <w:rFonts w:hint="eastAsia" w:hAnsi="宋体" w:cs="黑体"/>
        </w:rPr>
        <w:t>智能派单</w:t>
      </w:r>
    </w:p>
    <w:p>
      <w:pPr>
        <w:pStyle w:val="57"/>
        <w:ind w:firstLine="420"/>
        <w:rPr>
          <w:rFonts w:hAnsi="黑体"/>
        </w:rPr>
      </w:pPr>
      <w:r>
        <w:rPr>
          <w:rFonts w:hint="eastAsia"/>
        </w:rPr>
        <w:t>通过受理、派单、处置、督办、回访等环节的闭环运作流程，为用户提供全面的燃气供应服务；所有闭环运作流程均需要在系统内留下操作痕迹。</w:t>
      </w:r>
    </w:p>
    <w:p>
      <w:pPr>
        <w:pStyle w:val="66"/>
        <w:spacing w:before="156" w:after="156"/>
        <w:rPr>
          <w:rFonts w:hAnsi="黑体"/>
        </w:rPr>
      </w:pPr>
      <w:r>
        <w:rPr>
          <w:rFonts w:hint="eastAsia"/>
        </w:rPr>
        <w:t>终端用户服务</w:t>
      </w:r>
    </w:p>
    <w:p>
      <w:pPr>
        <w:pStyle w:val="57"/>
        <w:ind w:firstLine="420"/>
        <w:rPr>
          <w:rFonts w:hAnsi="黑体"/>
        </w:rPr>
      </w:pPr>
      <w:r>
        <w:rPr>
          <w:rFonts w:hint="eastAsia"/>
        </w:rPr>
        <w:t>通过移动终端，实现从报装申请、装表点火、气费抄收、安检服务、故障维修等一站式管理与服务。</w:t>
      </w:r>
    </w:p>
    <w:p>
      <w:pPr>
        <w:pStyle w:val="66"/>
        <w:spacing w:before="156" w:after="156"/>
        <w:rPr>
          <w:rFonts w:hAnsi="黑体" w:cs="黑体"/>
        </w:rPr>
      </w:pPr>
      <w:r>
        <w:rPr>
          <w:rFonts w:hint="eastAsia" w:hAnsi="宋体" w:cs="黑体"/>
        </w:rPr>
        <w:t>智能提醒</w:t>
      </w:r>
    </w:p>
    <w:p>
      <w:pPr>
        <w:pStyle w:val="57"/>
        <w:ind w:firstLine="420"/>
        <w:rPr>
          <w:rFonts w:hint="eastAsia"/>
        </w:rPr>
      </w:pPr>
      <w:r>
        <w:rPr>
          <w:rFonts w:hint="eastAsia"/>
        </w:rPr>
        <w:t>通过服务平台筛选，实现用户燃气设施定期安全检查提醒、燃气表表龄到期提醒、检定日期到期自动提醒、非居用户报警器实时监控等功能。</w:t>
      </w:r>
    </w:p>
    <w:p>
      <w:pPr>
        <w:pStyle w:val="106"/>
        <w:spacing w:before="156" w:after="156"/>
      </w:pPr>
      <w:bookmarkStart w:id="65" w:name="_Toc106204414"/>
      <w:r>
        <w:rPr>
          <w:rFonts w:hint="eastAsia"/>
        </w:rPr>
        <w:t>服务平台</w:t>
      </w:r>
      <w:bookmarkEnd w:id="65"/>
    </w:p>
    <w:p>
      <w:pPr>
        <w:pStyle w:val="66"/>
        <w:spacing w:before="156" w:after="156"/>
      </w:pPr>
      <w:r>
        <w:rPr>
          <w:rFonts w:hint="eastAsia"/>
        </w:rPr>
        <w:t>政务服务平台</w:t>
      </w:r>
    </w:p>
    <w:p>
      <w:pPr>
        <w:pStyle w:val="57"/>
        <w:ind w:firstLine="420"/>
        <w:rPr>
          <w:rFonts w:hAnsi="宋体"/>
        </w:rPr>
      </w:pPr>
      <w:r>
        <w:rPr>
          <w:rFonts w:hint="eastAsia"/>
        </w:rPr>
        <w:t>应实时与浙里办、政务服务网、市级监管平台等电子政务平台提供用户信息汇总查询、数据交互、数据导出等数字化服务。</w:t>
      </w:r>
    </w:p>
    <w:p>
      <w:pPr>
        <w:pStyle w:val="66"/>
        <w:spacing w:before="156" w:after="156"/>
        <w:rPr>
          <w:szCs w:val="21"/>
        </w:rPr>
      </w:pPr>
      <w:r>
        <w:rPr>
          <w:rFonts w:hint="eastAsia"/>
        </w:rPr>
        <w:t>税务服务平台</w:t>
      </w:r>
    </w:p>
    <w:p>
      <w:pPr>
        <w:pStyle w:val="57"/>
        <w:ind w:firstLine="420"/>
        <w:rPr>
          <w:rFonts w:ascii="仿宋_GB2312" w:hAnsi="宋体" w:eastAsia="仿宋_GB2312" w:cs="宋体"/>
        </w:rPr>
      </w:pPr>
      <w:r>
        <w:rPr>
          <w:rFonts w:hint="eastAsia"/>
        </w:rPr>
        <w:t>应实时</w:t>
      </w:r>
      <w:r>
        <w:rPr>
          <w:rFonts w:hint="eastAsia"/>
          <w:kern w:val="2"/>
        </w:rPr>
        <w:t>向税务系统提供用户收费信息生成用户发票信息，包含用户号、用户名、发票类型、发票号等数据信息服务。</w:t>
      </w:r>
    </w:p>
    <w:p>
      <w:pPr>
        <w:pStyle w:val="105"/>
        <w:spacing w:before="312" w:after="312"/>
      </w:pPr>
      <w:bookmarkStart w:id="66" w:name="_Toc106204415"/>
      <w:bookmarkStart w:id="67" w:name="_Toc106204430"/>
      <w:r>
        <w:rPr>
          <w:rFonts w:hint="eastAsia" w:hAnsi="黑体"/>
        </w:rPr>
        <w:t>服务保障</w:t>
      </w:r>
      <w:bookmarkEnd w:id="66"/>
      <w:bookmarkEnd w:id="67"/>
    </w:p>
    <w:p>
      <w:pPr>
        <w:pStyle w:val="106"/>
        <w:spacing w:before="156" w:after="156"/>
        <w:rPr>
          <w:rFonts w:ascii="Times New Roman"/>
        </w:rPr>
      </w:pPr>
      <w:bookmarkStart w:id="68" w:name="_Toc106204416"/>
      <w:r>
        <w:rPr>
          <w:rFonts w:hint="eastAsia"/>
        </w:rPr>
        <w:t>运行维护保障</w:t>
      </w:r>
      <w:bookmarkEnd w:id="68"/>
    </w:p>
    <w:p>
      <w:pPr>
        <w:pStyle w:val="166"/>
        <w:rPr>
          <w:rFonts w:ascii="Times New Roman"/>
        </w:rPr>
      </w:pPr>
      <w:r>
        <w:rPr>
          <w:rFonts w:hint="eastAsia"/>
        </w:rPr>
        <w:t xml:space="preserve">应提供日常维护性服务，每月不少于1次，确保服务平台 7×24 小时正常运行。 </w:t>
      </w:r>
    </w:p>
    <w:p>
      <w:pPr>
        <w:pStyle w:val="166"/>
      </w:pPr>
      <w:r>
        <w:rPr>
          <w:rFonts w:hint="eastAsia"/>
        </w:rPr>
        <w:t xml:space="preserve">应明示服务流程，针对不同用户，应按有关管理规定提供相应的服务项目。 </w:t>
      </w:r>
    </w:p>
    <w:p>
      <w:pPr>
        <w:pStyle w:val="166"/>
      </w:pPr>
      <w:r>
        <w:rPr>
          <w:rFonts w:hint="eastAsia"/>
        </w:rPr>
        <w:t xml:space="preserve">应提供面向新用户的接入指导，以及服务平台升级、改版后的培训指导。 </w:t>
      </w:r>
    </w:p>
    <w:p>
      <w:pPr>
        <w:pStyle w:val="166"/>
      </w:pPr>
      <w:r>
        <w:rPr>
          <w:rFonts w:hint="eastAsia"/>
        </w:rPr>
        <w:t>应提供全面完善的技术服务方式，包括电话、传真、电子邮件、在线、现场、用户会议、通知公告发布等，并在承诺时间内及时有效响应用户提出需求。</w:t>
      </w:r>
    </w:p>
    <w:p>
      <w:pPr>
        <w:pStyle w:val="166"/>
      </w:pPr>
      <w:r>
        <w:rPr>
          <w:rFonts w:hint="eastAsia"/>
        </w:rPr>
        <w:t xml:space="preserve">应制定突发故障解决方案，提供 7×24 小时故障服务热线，如需现场解决，应承诺在约定时间内赶到用户现场并提供处理方案。 </w:t>
      </w:r>
    </w:p>
    <w:p>
      <w:pPr>
        <w:pStyle w:val="166"/>
      </w:pPr>
      <w:r>
        <w:rPr>
          <w:rFonts w:hint="eastAsia"/>
        </w:rPr>
        <w:t xml:space="preserve">应确定上传到服务平台数据的准确性、安全性和完整性。 </w:t>
      </w:r>
    </w:p>
    <w:p>
      <w:pPr>
        <w:pStyle w:val="166"/>
      </w:pPr>
      <w:r>
        <w:rPr>
          <w:rFonts w:hint="eastAsia"/>
        </w:rPr>
        <w:t>应提供相关应用设备的技术支持和技术保障。</w:t>
      </w:r>
    </w:p>
    <w:p>
      <w:pPr>
        <w:pStyle w:val="106"/>
        <w:spacing w:before="156" w:after="156"/>
        <w:rPr>
          <w:rFonts w:ascii="宋体" w:hAnsi="宋体" w:cs="宋体"/>
          <w:color w:val="000000"/>
        </w:rPr>
      </w:pPr>
      <w:bookmarkStart w:id="69" w:name="_Toc106204417"/>
      <w:r>
        <w:rPr>
          <w:rFonts w:hint="eastAsia"/>
        </w:rPr>
        <w:t>信息安全保障</w:t>
      </w:r>
      <w:bookmarkEnd w:id="69"/>
    </w:p>
    <w:p>
      <w:pPr>
        <w:pStyle w:val="166"/>
        <w:rPr>
          <w:rFonts w:ascii="黑体" w:eastAsia="黑体"/>
          <w:color w:val="000000"/>
        </w:rPr>
      </w:pPr>
      <w:r>
        <w:rPr>
          <w:rFonts w:hint="eastAsia"/>
        </w:rPr>
        <w:t>应建立数据存储、传输、交互的安全策略，保障数据存储和传输安全。</w:t>
      </w:r>
    </w:p>
    <w:p>
      <w:pPr>
        <w:pStyle w:val="166"/>
      </w:pPr>
      <w:r>
        <w:rPr>
          <w:rFonts w:hint="eastAsia"/>
        </w:rPr>
        <w:t>应保护用户隐私，用户信息安全管理应符合GB/T 35273的要求。</w:t>
      </w:r>
    </w:p>
    <w:p>
      <w:pPr>
        <w:pStyle w:val="166"/>
      </w:pPr>
      <w:r>
        <w:rPr>
          <w:rFonts w:hint="eastAsia"/>
        </w:rPr>
        <w:t>应制定相应的安全措施和保密机制，保障用户注册信息以及通过服务平台交换数据的安全。</w:t>
      </w:r>
    </w:p>
    <w:p>
      <w:pPr>
        <w:pStyle w:val="166"/>
      </w:pPr>
      <w:r>
        <w:t>应配备防火墙、入侵检测等安全设备，防止外部入侵，保证信息平台和数据安全。</w:t>
      </w:r>
    </w:p>
    <w:p>
      <w:pPr>
        <w:pStyle w:val="166"/>
      </w:pPr>
      <w:r>
        <w:t>系统应采用基于角色授权的机制，对数据访问与数据操作进行安全方面的控制。</w:t>
      </w:r>
    </w:p>
    <w:p>
      <w:pPr>
        <w:pStyle w:val="166"/>
      </w:pPr>
      <w:r>
        <w:rPr>
          <w:rFonts w:hint="eastAsia"/>
        </w:rPr>
        <w:t>政务信息共享数据安全应符合GB/T 39477的相关要求。</w:t>
      </w:r>
    </w:p>
    <w:p>
      <w:pPr>
        <w:pStyle w:val="106"/>
        <w:spacing w:before="156" w:after="156"/>
      </w:pPr>
      <w:bookmarkStart w:id="70" w:name="_Toc106204418"/>
      <w:r>
        <w:rPr>
          <w:rFonts w:hint="eastAsia"/>
        </w:rPr>
        <w:t>数据管理保障</w:t>
      </w:r>
      <w:bookmarkEnd w:id="70"/>
    </w:p>
    <w:p>
      <w:pPr>
        <w:pStyle w:val="166"/>
      </w:pPr>
      <w:r>
        <w:rPr>
          <w:rFonts w:hint="eastAsia"/>
        </w:rPr>
        <w:t>应对接收和采集的各类数据进行结构化储存，进行数据归类、计算、储存。</w:t>
      </w:r>
    </w:p>
    <w:p>
      <w:pPr>
        <w:pStyle w:val="166"/>
      </w:pPr>
      <w:r>
        <w:rPr>
          <w:rFonts w:hint="eastAsia"/>
        </w:rPr>
        <w:t>应具有数据报表功能，可对平台数据进行统计分析，以图表的形式直接展现。</w:t>
      </w:r>
    </w:p>
    <w:p>
      <w:pPr>
        <w:pStyle w:val="166"/>
      </w:pPr>
      <w:r>
        <w:rPr>
          <w:rFonts w:hint="eastAsia"/>
        </w:rPr>
        <w:t>应设置服务数据定期自动备份，制定数据安全应急预案。</w:t>
      </w:r>
    </w:p>
    <w:p>
      <w:pPr>
        <w:pStyle w:val="106"/>
        <w:spacing w:before="156" w:after="156"/>
      </w:pPr>
      <w:r>
        <w:rPr>
          <w:rFonts w:hint="eastAsia"/>
        </w:rPr>
        <w:t>竞争合规管理</w:t>
      </w:r>
    </w:p>
    <w:p>
      <w:pPr>
        <w:pStyle w:val="166"/>
      </w:pPr>
      <w:r>
        <w:rPr>
          <w:rFonts w:hint="eastAsia"/>
        </w:rPr>
        <w:t>应依据竞争法相关规定和自身实际，建立竞争合规管理制度，建立竞争合规的职责分工和违规问责制度，明确部门和人员的职责范围以及承担的责任。</w:t>
      </w:r>
    </w:p>
    <w:p>
      <w:pPr>
        <w:pStyle w:val="166"/>
      </w:pPr>
      <w:r>
        <w:rPr>
          <w:rFonts w:hint="eastAsia"/>
        </w:rPr>
        <w:t>应建立竞争合规审核机制，规章制度制定、重大事项决策、重要合同签订、重大项目运营等经营管理行为应通过竞争合规审核。</w:t>
      </w:r>
    </w:p>
    <w:p>
      <w:pPr>
        <w:pStyle w:val="166"/>
      </w:pPr>
      <w:r>
        <w:rPr>
          <w:rFonts w:hint="eastAsia"/>
        </w:rPr>
        <w:t>应建立竞争合规风险识别和控制机制，全面系统梳理经营管理活动中存在的竞争合规风险，防范竞争合规风险。</w:t>
      </w:r>
    </w:p>
    <w:p>
      <w:pPr>
        <w:pStyle w:val="105"/>
        <w:spacing w:before="312" w:after="312"/>
      </w:pPr>
      <w:bookmarkStart w:id="71" w:name="_Toc106204431"/>
      <w:bookmarkStart w:id="72" w:name="_Toc106204419"/>
      <w:r>
        <w:rPr>
          <w:rFonts w:hint="eastAsia" w:hAnsi="黑体"/>
        </w:rPr>
        <w:t>投诉处理</w:t>
      </w:r>
      <w:bookmarkEnd w:id="71"/>
      <w:bookmarkEnd w:id="72"/>
    </w:p>
    <w:p>
      <w:pPr>
        <w:pStyle w:val="163"/>
        <w:rPr>
          <w:rFonts w:ascii="Times New Roman"/>
        </w:rPr>
      </w:pPr>
      <w:r>
        <w:rPr>
          <w:rFonts w:hint="eastAsia"/>
        </w:rPr>
        <w:t xml:space="preserve">应在门户网站显著位置公布投诉电话，接受用户监督。 </w:t>
      </w:r>
    </w:p>
    <w:p>
      <w:pPr>
        <w:pStyle w:val="163"/>
      </w:pPr>
      <w:r>
        <w:rPr>
          <w:rFonts w:hint="eastAsia"/>
        </w:rPr>
        <w:t xml:space="preserve">应建立用户的投诉和处理记录，并及时处理和回复。 </w:t>
      </w:r>
    </w:p>
    <w:p>
      <w:pPr>
        <w:pStyle w:val="163"/>
      </w:pPr>
      <w:r>
        <w:rPr>
          <w:rFonts w:hint="eastAsia"/>
          <w:lang w:eastAsia="zh-CN"/>
        </w:rPr>
        <w:t>应在</w:t>
      </w:r>
      <w:r>
        <w:rPr>
          <w:rFonts w:hint="eastAsia"/>
        </w:rPr>
        <w:t>投诉处理完毕</w:t>
      </w:r>
      <w:r>
        <w:rPr>
          <w:rFonts w:hint="eastAsia"/>
          <w:lang w:eastAsia="zh-CN"/>
        </w:rPr>
        <w:t>后</w:t>
      </w:r>
      <w:r>
        <w:rPr>
          <w:rFonts w:hint="eastAsia"/>
        </w:rPr>
        <w:t>，进一步听取用户对处理结果或后续工作意见或建议。</w:t>
      </w:r>
    </w:p>
    <w:p>
      <w:pPr>
        <w:pStyle w:val="105"/>
        <w:spacing w:before="312" w:after="312"/>
        <w:rPr>
          <w:rFonts w:ascii="Times New Roman"/>
        </w:rPr>
      </w:pPr>
      <w:bookmarkStart w:id="73" w:name="_Toc106204432"/>
      <w:bookmarkStart w:id="74" w:name="_Toc106204420"/>
      <w:r>
        <w:rPr>
          <w:rFonts w:hint="eastAsia"/>
        </w:rPr>
        <w:t>评价与改进</w:t>
      </w:r>
      <w:bookmarkEnd w:id="73"/>
      <w:bookmarkEnd w:id="74"/>
    </w:p>
    <w:p>
      <w:pPr>
        <w:pStyle w:val="106"/>
        <w:spacing w:before="156" w:after="156"/>
        <w:rPr>
          <w:rFonts w:ascii="Times New Roman"/>
        </w:rPr>
      </w:pPr>
      <w:bookmarkStart w:id="75" w:name="_Toc106204421"/>
      <w:r>
        <w:rPr>
          <w:rFonts w:hint="eastAsia"/>
        </w:rPr>
        <w:t>评价</w:t>
      </w:r>
      <w:bookmarkEnd w:id="75"/>
    </w:p>
    <w:p>
      <w:pPr>
        <w:pStyle w:val="57"/>
        <w:ind w:firstLine="420"/>
        <w:rPr>
          <w:highlight w:val="none"/>
        </w:rPr>
      </w:pPr>
      <w:r>
        <w:rPr>
          <w:rFonts w:hint="eastAsia"/>
          <w:highlight w:val="none"/>
        </w:rPr>
        <w:t>管道燃气经营企业应依据本</w:t>
      </w:r>
      <w:r>
        <w:rPr>
          <w:rFonts w:hint="eastAsia"/>
          <w:highlight w:val="none"/>
          <w:lang w:eastAsia="zh-CN"/>
        </w:rPr>
        <w:t>文件</w:t>
      </w:r>
      <w:bookmarkStart w:id="78" w:name="_GoBack"/>
      <w:bookmarkEnd w:id="78"/>
      <w:r>
        <w:rPr>
          <w:rFonts w:hint="eastAsia"/>
          <w:highlight w:val="none"/>
        </w:rPr>
        <w:t>建立以用户对服务满意度为基础的服务质量自我评价体系，或接受管理部门（包括受其委托的第三方评价机构）评价。</w:t>
      </w:r>
    </w:p>
    <w:p>
      <w:pPr>
        <w:pStyle w:val="106"/>
        <w:spacing w:before="156" w:after="156"/>
        <w:rPr>
          <w:rFonts w:hAnsi="宋体"/>
        </w:rPr>
      </w:pPr>
      <w:bookmarkStart w:id="76" w:name="_Toc106204422"/>
      <w:r>
        <w:rPr>
          <w:rFonts w:hint="eastAsia"/>
        </w:rPr>
        <w:t>改进</w:t>
      </w:r>
      <w:bookmarkEnd w:id="76"/>
    </w:p>
    <w:p>
      <w:pPr>
        <w:widowControl/>
        <w:ind w:firstLine="420" w:firstLineChars="200"/>
        <w:jc w:val="left"/>
        <w:rPr>
          <w:rFonts w:ascii="Times New Roman" w:hAnsi="Times New Roman"/>
        </w:rPr>
      </w:pPr>
      <w:r>
        <w:rPr>
          <w:rFonts w:hint="eastAsia" w:ascii="宋体" w:hAnsi="宋体"/>
          <w:color w:val="000000"/>
          <w:kern w:val="0"/>
        </w:rPr>
        <w:t>服务平台应根据评价过程中发现的问题与建议，及时改进，不断提高服务质量，满足需求。</w:t>
      </w:r>
    </w:p>
    <w:bookmarkEnd w:id="25"/>
    <w:p>
      <w:pPr>
        <w:pStyle w:val="57"/>
        <w:ind w:firstLine="0" w:firstLineChars="0"/>
        <w:jc w:val="center"/>
      </w:pPr>
      <w:bookmarkStart w:id="77"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stretch>
                      <a:fillRect/>
                    </a:stretch>
                  </pic:blipFill>
                  <pic:spPr>
                    <a:xfrm>
                      <a:off x="0" y="0"/>
                      <a:ext cx="1485900" cy="317500"/>
                    </a:xfrm>
                    <a:prstGeom prst="rect">
                      <a:avLst/>
                    </a:prstGeom>
                  </pic:spPr>
                </pic:pic>
              </a:graphicData>
            </a:graphic>
          </wp:inline>
        </w:drawing>
      </w:r>
      <w:bookmarkEnd w:id="77"/>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DB3306/TXXXX—2022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instrText xml:space="preserve"> STYLEREF  标准文件_文件编号  \* MERGEFORMAT </w:instrText>
    </w:r>
    <w:r>
      <w:fldChar w:fldCharType="separate"/>
    </w:r>
    <w:r>
      <w:t>DB3306/TXXXX—2022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forms" w:enforcement="1"/>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JjNjE2YzUwNWQ1MzkwZDI1ZTUyN2U1NzdjY2Q1YmIifQ=="/>
  </w:docVars>
  <w:rsids>
    <w:rsidRoot w:val="00017E71"/>
    <w:rsid w:val="0000040A"/>
    <w:rsid w:val="00000A94"/>
    <w:rsid w:val="00001972"/>
    <w:rsid w:val="00001D9A"/>
    <w:rsid w:val="00007B3A"/>
    <w:rsid w:val="000107E0"/>
    <w:rsid w:val="00011FDE"/>
    <w:rsid w:val="00012FFD"/>
    <w:rsid w:val="00014162"/>
    <w:rsid w:val="00014340"/>
    <w:rsid w:val="00016A9C"/>
    <w:rsid w:val="00017E71"/>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1099"/>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5A89"/>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218"/>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27A4E"/>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26F8"/>
    <w:rsid w:val="003A4077"/>
    <w:rsid w:val="003B09AD"/>
    <w:rsid w:val="003B1F18"/>
    <w:rsid w:val="003B5BF0"/>
    <w:rsid w:val="003B60BF"/>
    <w:rsid w:val="003B6BE3"/>
    <w:rsid w:val="003C010C"/>
    <w:rsid w:val="003C0168"/>
    <w:rsid w:val="003C0228"/>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08CE"/>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56E0E"/>
    <w:rsid w:val="00561475"/>
    <w:rsid w:val="0056487B"/>
    <w:rsid w:val="00564FB9"/>
    <w:rsid w:val="00573D9E"/>
    <w:rsid w:val="005801E3"/>
    <w:rsid w:val="00581802"/>
    <w:rsid w:val="005836A8"/>
    <w:rsid w:val="0058409C"/>
    <w:rsid w:val="00584262"/>
    <w:rsid w:val="00586630"/>
    <w:rsid w:val="00587ADD"/>
    <w:rsid w:val="00591E27"/>
    <w:rsid w:val="005942E2"/>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468B"/>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4323"/>
    <w:rsid w:val="006C5A62"/>
    <w:rsid w:val="006C5D68"/>
    <w:rsid w:val="006C6976"/>
    <w:rsid w:val="006C6DD0"/>
    <w:rsid w:val="006D04EA"/>
    <w:rsid w:val="006D16C4"/>
    <w:rsid w:val="006D3E96"/>
    <w:rsid w:val="006D4515"/>
    <w:rsid w:val="006D4BB1"/>
    <w:rsid w:val="006D6593"/>
    <w:rsid w:val="006E0480"/>
    <w:rsid w:val="006E23EA"/>
    <w:rsid w:val="006F03A8"/>
    <w:rsid w:val="006F2ACA"/>
    <w:rsid w:val="006F2ADC"/>
    <w:rsid w:val="006F2BFE"/>
    <w:rsid w:val="006F31E9"/>
    <w:rsid w:val="006F6284"/>
    <w:rsid w:val="007002C5"/>
    <w:rsid w:val="00704387"/>
    <w:rsid w:val="00707669"/>
    <w:rsid w:val="00711CBA"/>
    <w:rsid w:val="00711E57"/>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F69"/>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7D2"/>
    <w:rsid w:val="008D7B54"/>
    <w:rsid w:val="008E0C9D"/>
    <w:rsid w:val="008E1648"/>
    <w:rsid w:val="008E1B3E"/>
    <w:rsid w:val="008E2319"/>
    <w:rsid w:val="008E4BB6"/>
    <w:rsid w:val="008E5518"/>
    <w:rsid w:val="008E62DF"/>
    <w:rsid w:val="008E6A84"/>
    <w:rsid w:val="008F0CDC"/>
    <w:rsid w:val="008F17A3"/>
    <w:rsid w:val="008F1ED3"/>
    <w:rsid w:val="008F23A5"/>
    <w:rsid w:val="008F4C29"/>
    <w:rsid w:val="008F590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756"/>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9A4"/>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4270"/>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1513"/>
    <w:rsid w:val="00D922C6"/>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BF5"/>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4A48"/>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89B"/>
    <w:rsid w:val="00EB5EDF"/>
    <w:rsid w:val="00EB60FE"/>
    <w:rsid w:val="00EB74DB"/>
    <w:rsid w:val="00EC5359"/>
    <w:rsid w:val="00EC562A"/>
    <w:rsid w:val="00ED067A"/>
    <w:rsid w:val="00ED2B50"/>
    <w:rsid w:val="00EE0018"/>
    <w:rsid w:val="00EE0350"/>
    <w:rsid w:val="00EE0719"/>
    <w:rsid w:val="00EE0E80"/>
    <w:rsid w:val="00EE54A6"/>
    <w:rsid w:val="00EE613F"/>
    <w:rsid w:val="00EE7295"/>
    <w:rsid w:val="00EE7869"/>
    <w:rsid w:val="00EF054A"/>
    <w:rsid w:val="00EF1755"/>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27F"/>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4F75CE"/>
    <w:rsid w:val="037173A6"/>
    <w:rsid w:val="03FA5246"/>
    <w:rsid w:val="05C96F04"/>
    <w:rsid w:val="06C57F9D"/>
    <w:rsid w:val="09453CD6"/>
    <w:rsid w:val="16F66234"/>
    <w:rsid w:val="17E14CD1"/>
    <w:rsid w:val="183822D4"/>
    <w:rsid w:val="192341E3"/>
    <w:rsid w:val="1A6B5E42"/>
    <w:rsid w:val="1BCC50C0"/>
    <w:rsid w:val="20620C84"/>
    <w:rsid w:val="20C03462"/>
    <w:rsid w:val="22656912"/>
    <w:rsid w:val="22BC513A"/>
    <w:rsid w:val="25010D91"/>
    <w:rsid w:val="2925562C"/>
    <w:rsid w:val="2DA03BFD"/>
    <w:rsid w:val="2FEA5B7B"/>
    <w:rsid w:val="30DD6C2D"/>
    <w:rsid w:val="316A07AA"/>
    <w:rsid w:val="374C440A"/>
    <w:rsid w:val="381D6354"/>
    <w:rsid w:val="3D944C5D"/>
    <w:rsid w:val="3F544DDD"/>
    <w:rsid w:val="496D4D42"/>
    <w:rsid w:val="4EA62829"/>
    <w:rsid w:val="556B3D70"/>
    <w:rsid w:val="5E5F2395"/>
    <w:rsid w:val="5FFF388A"/>
    <w:rsid w:val="60C179A2"/>
    <w:rsid w:val="67ED7463"/>
    <w:rsid w:val="705A3646"/>
    <w:rsid w:val="70613035"/>
    <w:rsid w:val="709B4E1B"/>
    <w:rsid w:val="742023C5"/>
    <w:rsid w:val="767D7C04"/>
    <w:rsid w:val="7D0F532E"/>
    <w:rsid w:val="7FF44F8B"/>
    <w:rsid w:val="E6DD8F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99"/>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Char"/>
    <w:link w:val="2"/>
    <w:qFormat/>
    <w:uiPriority w:val="0"/>
    <w:rPr>
      <w:rFonts w:ascii="Times New Roman" w:hAnsi="Times New Roman" w:eastAsia="宋体" w:cs="Times New Roman"/>
      <w:b/>
      <w:bCs/>
      <w:kern w:val="44"/>
      <w:sz w:val="44"/>
      <w:szCs w:val="44"/>
    </w:rPr>
  </w:style>
  <w:style w:type="character" w:customStyle="1" w:styleId="36">
    <w:name w:val="标题 2 Char"/>
    <w:link w:val="3"/>
    <w:qFormat/>
    <w:uiPriority w:val="0"/>
    <w:rPr>
      <w:rFonts w:ascii="Arial" w:hAnsi="Arial" w:eastAsia="黑体" w:cs="Times New Roman"/>
      <w:b/>
      <w:bCs/>
      <w:sz w:val="32"/>
      <w:szCs w:val="32"/>
    </w:rPr>
  </w:style>
  <w:style w:type="character" w:customStyle="1" w:styleId="37">
    <w:name w:val="标题 3 Char"/>
    <w:link w:val="4"/>
    <w:qFormat/>
    <w:uiPriority w:val="0"/>
    <w:rPr>
      <w:rFonts w:ascii="Times New Roman" w:hAnsi="Times New Roman" w:eastAsia="宋体" w:cs="Times New Roman"/>
      <w:b/>
      <w:bCs/>
      <w:sz w:val="32"/>
      <w:szCs w:val="32"/>
    </w:rPr>
  </w:style>
  <w:style w:type="character" w:customStyle="1" w:styleId="38">
    <w:name w:val="标题 4 Char"/>
    <w:link w:val="5"/>
    <w:qFormat/>
    <w:uiPriority w:val="0"/>
    <w:rPr>
      <w:rFonts w:ascii="Arial" w:hAnsi="Arial" w:eastAsia="黑体" w:cs="Times New Roman"/>
      <w:b/>
      <w:bCs/>
      <w:sz w:val="28"/>
      <w:szCs w:val="28"/>
    </w:rPr>
  </w:style>
  <w:style w:type="character" w:customStyle="1" w:styleId="39">
    <w:name w:val="标题 5 Char"/>
    <w:link w:val="6"/>
    <w:qFormat/>
    <w:uiPriority w:val="0"/>
    <w:rPr>
      <w:rFonts w:ascii="Times New Roman" w:hAnsi="Times New Roman" w:eastAsia="宋体" w:cs="Times New Roman"/>
      <w:b/>
      <w:bCs/>
      <w:sz w:val="28"/>
      <w:szCs w:val="28"/>
    </w:rPr>
  </w:style>
  <w:style w:type="character" w:customStyle="1" w:styleId="40">
    <w:name w:val="标题 6 Char"/>
    <w:link w:val="7"/>
    <w:qFormat/>
    <w:uiPriority w:val="0"/>
    <w:rPr>
      <w:rFonts w:ascii="Arial" w:hAnsi="Arial" w:eastAsia="黑体" w:cs="Times New Roman"/>
      <w:b/>
      <w:bCs/>
      <w:sz w:val="24"/>
      <w:szCs w:val="24"/>
    </w:rPr>
  </w:style>
  <w:style w:type="character" w:customStyle="1" w:styleId="41">
    <w:name w:val="标题 7 Char"/>
    <w:link w:val="8"/>
    <w:qFormat/>
    <w:uiPriority w:val="0"/>
    <w:rPr>
      <w:rFonts w:ascii="Times New Roman" w:hAnsi="Times New Roman" w:eastAsia="宋体" w:cs="Times New Roman"/>
      <w:b/>
      <w:bCs/>
      <w:sz w:val="24"/>
      <w:szCs w:val="24"/>
    </w:rPr>
  </w:style>
  <w:style w:type="character" w:customStyle="1" w:styleId="42">
    <w:name w:val="标题 8 Char"/>
    <w:link w:val="9"/>
    <w:qFormat/>
    <w:uiPriority w:val="0"/>
    <w:rPr>
      <w:rFonts w:ascii="Arial" w:hAnsi="Arial" w:eastAsia="黑体" w:cs="Times New Roman"/>
      <w:sz w:val="24"/>
      <w:szCs w:val="24"/>
    </w:rPr>
  </w:style>
  <w:style w:type="character" w:customStyle="1" w:styleId="43">
    <w:name w:val="标题 9 Char"/>
    <w:link w:val="10"/>
    <w:qFormat/>
    <w:uiPriority w:val="0"/>
    <w:rPr>
      <w:rFonts w:ascii="Arial" w:hAnsi="Arial" w:eastAsia="黑体" w:cs="Times New Roman"/>
      <w:szCs w:val="21"/>
    </w:rPr>
  </w:style>
  <w:style w:type="character" w:customStyle="1" w:styleId="44">
    <w:name w:val="页眉 Char"/>
    <w:link w:val="19"/>
    <w:qFormat/>
    <w:uiPriority w:val="99"/>
    <w:rPr>
      <w:rFonts w:ascii="Times New Roman" w:hAnsi="Times New Roman" w:eastAsia="宋体" w:cs="Times New Roman"/>
      <w:sz w:val="18"/>
      <w:szCs w:val="18"/>
    </w:rPr>
  </w:style>
  <w:style w:type="character" w:customStyle="1" w:styleId="45">
    <w:name w:val="页脚 Char"/>
    <w:link w:val="18"/>
    <w:qFormat/>
    <w:uiPriority w:val="99"/>
    <w:rPr>
      <w:rFonts w:ascii="宋体" w:hAnsi="Times New Roman" w:eastAsia="宋体" w:cs="Times New Roman"/>
      <w:sz w:val="18"/>
      <w:szCs w:val="18"/>
    </w:rPr>
  </w:style>
  <w:style w:type="character" w:customStyle="1" w:styleId="46">
    <w:name w:val="批注框文本 Char"/>
    <w:link w:val="17"/>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Char"/>
    <w:link w:val="47"/>
    <w:qFormat/>
    <w:uiPriority w:val="29"/>
    <w:rPr>
      <w:i/>
      <w:iCs/>
      <w:color w:val="000000"/>
    </w:rPr>
  </w:style>
  <w:style w:type="character" w:customStyle="1" w:styleId="49">
    <w:name w:val="标题 Char"/>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Char"/>
    <w:link w:val="14"/>
    <w:qFormat/>
    <w:uiPriority w:val="99"/>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Char"/>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Char"/>
    <w:basedOn w:val="29"/>
    <w:link w:val="13"/>
    <w:semiHidden/>
    <w:qFormat/>
    <w:uiPriority w:val="99"/>
    <w:rPr>
      <w:rFonts w:ascii="宋体"/>
      <w:kern w:val="2"/>
      <w:sz w:val="18"/>
      <w:szCs w:val="18"/>
    </w:rPr>
  </w:style>
  <w:style w:type="paragraph" w:customStyle="1" w:styleId="232">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 w:type="paragraph" w:customStyle="1" w:styleId="233">
    <w:name w:val="章标题"/>
    <w:basedOn w:val="1"/>
    <w:next w:val="232"/>
    <w:qFormat/>
    <w:uiPriority w:val="0"/>
    <w:pPr>
      <w:widowControl/>
      <w:adjustRightInd/>
      <w:spacing w:beforeLines="100" w:afterLines="100" w:line="240" w:lineRule="auto"/>
      <w:outlineLvl w:val="1"/>
    </w:pPr>
    <w:rPr>
      <w:rFonts w:ascii="黑体" w:hAnsi="Times New Roman" w:eastAsia="黑体"/>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18BC8DC52234562B3CA0794703BB61C"/>
        <w:style w:val=""/>
        <w:category>
          <w:name w:val="常规"/>
          <w:gallery w:val="placeholder"/>
        </w:category>
        <w:types>
          <w:type w:val="bbPlcHdr"/>
        </w:types>
        <w:behaviors>
          <w:behavior w:val="content"/>
        </w:behaviors>
        <w:description w:val=""/>
        <w:guid w:val="{DC40F340-FD2D-43F2-8560-2A38B8E58FA2}"/>
      </w:docPartPr>
      <w:docPartBody>
        <w:p>
          <w:pPr>
            <w:pStyle w:val="5"/>
          </w:pPr>
          <w:r>
            <w:rPr>
              <w:rStyle w:val="4"/>
              <w:rFonts w:hint="eastAsia"/>
            </w:rPr>
            <w:t>单击或点击此处输入文字。</w:t>
          </w:r>
        </w:p>
      </w:docPartBody>
    </w:docPart>
    <w:docPart>
      <w:docPartPr>
        <w:name w:val="0601477FE6F041CA88924CEE5305B4AB"/>
        <w:style w:val=""/>
        <w:category>
          <w:name w:val="常规"/>
          <w:gallery w:val="placeholder"/>
        </w:category>
        <w:types>
          <w:type w:val="bbPlcHdr"/>
        </w:types>
        <w:behaviors>
          <w:behavior w:val="content"/>
        </w:behaviors>
        <w:description w:val=""/>
        <w:guid w:val="{25820F82-0053-44DC-A3B4-19890EAFDE75}"/>
      </w:docPartPr>
      <w:docPartBody>
        <w:p>
          <w:pPr>
            <w:pStyle w:val="6"/>
          </w:pPr>
          <w:r>
            <w:rPr>
              <w:rStyle w:val="4"/>
              <w:rFonts w:hint="eastAsia"/>
            </w:rPr>
            <w:t>选择一项。</w:t>
          </w:r>
        </w:p>
      </w:docPartBody>
    </w:docPart>
    <w:docPart>
      <w:docPartPr>
        <w:name w:val="E86BC2CFA6A144A684633428416EF253"/>
        <w:style w:val=""/>
        <w:category>
          <w:name w:val="常规"/>
          <w:gallery w:val="placeholder"/>
        </w:category>
        <w:types>
          <w:type w:val="bbPlcHdr"/>
        </w:types>
        <w:behaviors>
          <w:behavior w:val="content"/>
        </w:behaviors>
        <w:description w:val=""/>
        <w:guid w:val="{05EB56E1-E109-4C29-9084-C3A5EDB7FD7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0836"/>
    <w:rsid w:val="000D67D9"/>
    <w:rsid w:val="0013217A"/>
    <w:rsid w:val="00370836"/>
    <w:rsid w:val="00392474"/>
    <w:rsid w:val="00463A65"/>
    <w:rsid w:val="00522A38"/>
    <w:rsid w:val="007C08DE"/>
    <w:rsid w:val="008926DC"/>
    <w:rsid w:val="00DD37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18BC8DC52234562B3CA0794703BB6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0601477FE6F041CA88924CEE5305B4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E86BC2CFA6A144A684633428416EF25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8</Pages>
  <Words>3092</Words>
  <Characters>3338</Characters>
  <Lines>31</Lines>
  <Paragraphs>8</Paragraphs>
  <TotalTime>17</TotalTime>
  <ScaleCrop>false</ScaleCrop>
  <LinksUpToDate>false</LinksUpToDate>
  <CharactersWithSpaces>3416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2022-06-15T15:09:00Z</dcterms:created>
  <dc:creator>dell</dc:creator>
  <dc:description>&lt;config cover="true" show_menu="true" version="1.0.0" doctype="SDKXY"&gt;_x000d_
&lt;/config&gt;</dc:description>
  <cp:lastModifiedBy>丶叶城不会挂科-_-#</cp:lastModifiedBy>
  <cp:lastPrinted>2020-08-30T18:00:00Z</cp:lastPrinted>
  <dcterms:modified xsi:type="dcterms:W3CDTF">2022-11-11T03:28:03Z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6B7C8EAFED414A31A6C5CE23B66278F4</vt:lpwstr>
  </property>
</Properties>
</file>