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eastAsia="zh-CN"/>
        </w:rPr>
      </w:pPr>
      <w:bookmarkStart w:id="0" w:name="_GoBack"/>
      <w:r>
        <w:rPr>
          <w:rFonts w:hint="eastAsia" w:ascii="Times New Roman" w:hAnsi="Times New Roman" w:eastAsia="方正小标宋简体" w:cs="Times New Roman"/>
          <w:sz w:val="44"/>
          <w:szCs w:val="44"/>
          <w:lang w:eastAsia="zh-CN"/>
        </w:rPr>
        <w:t>《关于进一步健全职工基本医疗保险门诊共济保障机制的实施办法（征求意见稿）》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起草说明</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default" w:ascii="Times New Roman" w:hAnsi="Times New Roman" w:eastAsia="仿宋_GB2312" w:cs="Times New Roman"/>
          <w:spacing w:val="0"/>
          <w:sz w:val="32"/>
          <w:szCs w:val="32"/>
        </w:rPr>
        <w:t>根据《国务院办公厅关于建立健全职工基本医疗保险门诊共济保障机制的指导意见》(国办发〔2021〕14号)《浙江省人民政府办公厅关于进一步健全职工基本医疗保险门诊共济保障机制的实施意见》（浙政办发〔2022〕14号）等文件要求，</w:t>
      </w:r>
      <w:r>
        <w:rPr>
          <w:rFonts w:hint="eastAsia" w:eastAsia="仿宋_GB2312"/>
          <w:snapToGrid w:val="0"/>
          <w:sz w:val="32"/>
          <w:szCs w:val="32"/>
        </w:rPr>
        <w:t>结合我市实际，市</w:t>
      </w:r>
      <w:r>
        <w:rPr>
          <w:rFonts w:hint="eastAsia" w:eastAsia="仿宋_GB2312"/>
          <w:snapToGrid w:val="0"/>
          <w:sz w:val="32"/>
          <w:szCs w:val="32"/>
          <w:lang w:eastAsia="zh-CN"/>
        </w:rPr>
        <w:t>医疗保障</w:t>
      </w:r>
      <w:r>
        <w:rPr>
          <w:rFonts w:hint="eastAsia" w:eastAsia="仿宋_GB2312"/>
          <w:snapToGrid w:val="0"/>
          <w:sz w:val="32"/>
          <w:szCs w:val="32"/>
        </w:rPr>
        <w:t>局</w:t>
      </w:r>
      <w:r>
        <w:rPr>
          <w:rFonts w:hint="eastAsia" w:eastAsia="仿宋_GB2312"/>
          <w:snapToGrid w:val="0"/>
          <w:sz w:val="32"/>
          <w:szCs w:val="32"/>
          <w:lang w:eastAsia="zh-CN"/>
        </w:rPr>
        <w:t>牵头制定</w:t>
      </w:r>
      <w:r>
        <w:rPr>
          <w:rFonts w:ascii="Times New Roman" w:hAnsi="Times New Roman" w:eastAsia="仿宋_GB2312"/>
          <w:sz w:val="32"/>
          <w:szCs w:val="32"/>
        </w:rPr>
        <w:t>了</w:t>
      </w:r>
      <w:r>
        <w:rPr>
          <w:rFonts w:hint="eastAsia" w:eastAsia="仿宋_GB2312"/>
          <w:snapToGrid w:val="0"/>
          <w:sz w:val="32"/>
          <w:szCs w:val="32"/>
        </w:rPr>
        <w:t>《关于进一步健全职工基本医疗保险门诊共济保障机制的实施办法</w:t>
      </w:r>
      <w:r>
        <w:rPr>
          <w:rFonts w:hint="eastAsia" w:eastAsia="仿宋_GB2312"/>
          <w:snapToGrid w:val="0"/>
          <w:sz w:val="32"/>
          <w:szCs w:val="32"/>
          <w:lang w:eastAsia="zh-CN"/>
        </w:rPr>
        <w:t>（征求意见稿）</w:t>
      </w:r>
      <w:r>
        <w:rPr>
          <w:rFonts w:hint="eastAsia" w:eastAsia="仿宋_GB2312"/>
          <w:snapToGrid w:val="0"/>
          <w:sz w:val="32"/>
          <w:szCs w:val="32"/>
        </w:rPr>
        <w:t>》（</w:t>
      </w:r>
      <w:r>
        <w:rPr>
          <w:rFonts w:hint="eastAsia" w:ascii="Times New Roman" w:hAnsi="Times New Roman" w:eastAsia="仿宋_GB2312"/>
          <w:sz w:val="32"/>
          <w:szCs w:val="32"/>
        </w:rPr>
        <w:t>以下简称《</w:t>
      </w:r>
      <w:r>
        <w:rPr>
          <w:rFonts w:hint="eastAsia" w:ascii="Times New Roman" w:hAnsi="Times New Roman" w:eastAsia="仿宋_GB2312"/>
          <w:sz w:val="32"/>
          <w:szCs w:val="32"/>
          <w:lang w:eastAsia="zh-CN"/>
        </w:rPr>
        <w:t>实施办法</w:t>
      </w:r>
      <w:r>
        <w:rPr>
          <w:rFonts w:hint="eastAsia" w:ascii="Times New Roman" w:hAnsi="Times New Roman" w:eastAsia="仿宋_GB2312"/>
          <w:sz w:val="32"/>
          <w:szCs w:val="32"/>
        </w:rPr>
        <w:t>》），起草说明如下：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一、制</w:t>
      </w:r>
      <w:r>
        <w:rPr>
          <w:rFonts w:hint="eastAsia" w:ascii="黑体" w:hAnsi="黑体" w:eastAsia="黑体"/>
          <w:sz w:val="32"/>
          <w:szCs w:val="32"/>
          <w:lang w:eastAsia="zh-CN"/>
        </w:rPr>
        <w:t>定</w:t>
      </w:r>
      <w:r>
        <w:rPr>
          <w:rFonts w:hint="eastAsia" w:ascii="黑体" w:hAnsi="黑体" w:eastAsia="黑体"/>
          <w:sz w:val="32"/>
          <w:szCs w:val="32"/>
        </w:rPr>
        <w:t>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rPr>
        <w:t>为贯彻落实《国务院办公厅关于建立健全职工基本医疗保险门诊共济保障机制的指导意见》（国办发〔202</w:t>
      </w:r>
      <w:r>
        <w:rPr>
          <w:rFonts w:hint="eastAsia"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val="en-US" w:eastAsia="zh-CN"/>
        </w:rPr>
        <w:t>14</w:t>
      </w:r>
      <w:r>
        <w:rPr>
          <w:rFonts w:hint="default" w:ascii="Times New Roman" w:hAnsi="Times New Roman" w:eastAsia="仿宋_GB2312" w:cs="Times New Roman"/>
          <w:spacing w:val="0"/>
          <w:sz w:val="32"/>
          <w:szCs w:val="32"/>
        </w:rPr>
        <w:t>号）精神</w:t>
      </w:r>
      <w:r>
        <w:rPr>
          <w:rFonts w:hint="eastAsia" w:ascii="Times New Roman" w:hAnsi="Times New Roman" w:eastAsia="仿宋_GB2312" w:cs="Times New Roman"/>
          <w:spacing w:val="0"/>
          <w:sz w:val="32"/>
          <w:szCs w:val="32"/>
          <w:lang w:eastAsia="zh-CN"/>
        </w:rPr>
        <w:t>，进一步健全互助共济、责任共担的职工基本医疗保险（以下简称职工医保）制度，更好解决参保人员门诊保障问题，切实减轻其医疗费用负担，</w:t>
      </w:r>
      <w:r>
        <w:rPr>
          <w:rFonts w:hint="default" w:ascii="Times New Roman" w:hAnsi="Times New Roman" w:eastAsia="仿宋_GB2312" w:cs="Times New Roman"/>
          <w:spacing w:val="0"/>
          <w:sz w:val="32"/>
          <w:szCs w:val="32"/>
        </w:rPr>
        <w:t>根据《浙江省人民政府办公厅关于进一步健全职工基本医疗保险门诊共济保障机制的实施意见》（浙政办发〔2022〕14号）</w:t>
      </w:r>
      <w:r>
        <w:rPr>
          <w:rFonts w:hint="eastAsia" w:ascii="Times New Roman" w:hAnsi="Times New Roman" w:eastAsia="仿宋_GB2312" w:cs="Times New Roman"/>
          <w:spacing w:val="0"/>
          <w:sz w:val="32"/>
          <w:szCs w:val="32"/>
          <w:lang w:eastAsia="zh-CN"/>
        </w:rPr>
        <w:t>文件要求</w:t>
      </w:r>
      <w:r>
        <w:rPr>
          <w:rFonts w:hint="eastAsia" w:ascii="Times New Roman" w:hAnsi="Times New Roman" w:eastAsia="仿宋_GB2312" w:cs="Times New Roman"/>
          <w:spacing w:val="0"/>
          <w:sz w:val="32"/>
          <w:szCs w:val="32"/>
          <w:lang w:val="en-US" w:eastAsia="zh-CN"/>
        </w:rPr>
        <w:t>，制定本《实施办法》</w:t>
      </w:r>
      <w:r>
        <w:rPr>
          <w:rFonts w:hint="eastAsia"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sz w:val="32"/>
          <w:szCs w:val="32"/>
          <w:lang w:val="en-US" w:eastAsia="zh-CN"/>
        </w:rPr>
      </w:pPr>
      <w:r>
        <w:rPr>
          <w:rFonts w:eastAsia="黑体"/>
          <w:sz w:val="32"/>
          <w:szCs w:val="32"/>
        </w:rPr>
        <w:t>二、</w:t>
      </w:r>
      <w:r>
        <w:rPr>
          <w:rFonts w:hint="eastAsia" w:eastAsia="黑体"/>
          <w:sz w:val="32"/>
          <w:szCs w:val="32"/>
          <w:lang w:eastAsia="zh-CN"/>
        </w:rPr>
        <w:t>制定依据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_GB2312" w:cs="Times New Roman"/>
          <w:spacing w:val="0"/>
          <w:sz w:val="32"/>
          <w:szCs w:val="32"/>
          <w:lang w:val="en-US" w:eastAsia="zh-CN"/>
        </w:rPr>
      </w:pPr>
      <w:r>
        <w:rPr>
          <w:rFonts w:hint="eastAsia"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《国务院办公厅关于建立健全职工基本医疗保险门诊共济保障机制的指导意见》(国办发〔2021〕14号)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《浙江省人民政府办公厅关于进一步健全职工基本医疗保险门诊共济保障机制的实施意见》（浙政办发〔2022〕14号）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《金华市人民政府关于印发金华市基本医疗保险办法的通知》（金政发〔2018〕45号）</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_GB2312"/>
          <w:lang w:val="en-US" w:eastAsia="zh-CN"/>
        </w:rPr>
      </w:pPr>
      <w:r>
        <w:rPr>
          <w:rFonts w:hint="eastAsia" w:eastAsia="仿宋_GB2312" w:cs="Times New Roman"/>
          <w:spacing w:val="0"/>
          <w:sz w:val="32"/>
          <w:szCs w:val="32"/>
          <w:lang w:val="en-US" w:eastAsia="zh-CN"/>
        </w:rPr>
        <w:t>4.《金华市医疗保障局等8部门关于印发金华市基本医疗保险实施细则的通知》（金医保发〔2019〕7号）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cs="Times New Roman"/>
          <w:sz w:val="32"/>
          <w:szCs w:val="32"/>
          <w:lang w:eastAsia="zh-CN"/>
        </w:rPr>
      </w:pPr>
      <w:r>
        <w:rPr>
          <w:rFonts w:hint="eastAsia" w:eastAsia="黑体" w:cs="Times New Roman"/>
          <w:sz w:val="32"/>
          <w:szCs w:val="32"/>
          <w:lang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napToGrid w:val="0"/>
          <w:spacing w:val="-4"/>
          <w:kern w:val="0"/>
          <w:sz w:val="32"/>
          <w:szCs w:val="24"/>
          <w:lang w:val="en-US" w:eastAsia="zh-CN" w:bidi="ar-SA"/>
        </w:rPr>
      </w:pPr>
      <w:r>
        <w:rPr>
          <w:rFonts w:hint="eastAsia" w:ascii="仿宋_GB2312" w:hAnsi="仿宋_GB2312" w:eastAsia="仿宋_GB2312" w:cs="仿宋_GB2312"/>
          <w:snapToGrid w:val="0"/>
          <w:spacing w:val="-4"/>
          <w:kern w:val="0"/>
          <w:sz w:val="32"/>
          <w:szCs w:val="24"/>
          <w:lang w:val="en-US" w:eastAsia="zh-CN" w:bidi="ar-SA"/>
        </w:rPr>
        <w:t>《实施办法》主要分为六部分内容。</w:t>
      </w:r>
    </w:p>
    <w:p>
      <w:pPr>
        <w:pStyle w:val="2"/>
        <w:numPr>
          <w:ilvl w:val="0"/>
          <w:numId w:val="0"/>
        </w:numPr>
        <w:spacing w:line="560" w:lineRule="exact"/>
        <w:ind w:firstLine="640" w:firstLineChars="200"/>
        <w:rPr>
          <w:rFonts w:hint="eastAsia" w:eastAsia="FangSong_GB2312" w:cs="Times New Roman"/>
          <w:sz w:val="32"/>
          <w:szCs w:val="32"/>
          <w:lang w:val="en-US" w:eastAsia="zh-CN"/>
        </w:rPr>
      </w:pPr>
      <w:r>
        <w:rPr>
          <w:rFonts w:hint="eastAsia" w:ascii="楷体_GB2312" w:hAnsi="楷体_GB2312" w:eastAsia="楷体_GB2312" w:cs="楷体_GB2312"/>
          <w:b w:val="0"/>
          <w:bCs w:val="0"/>
          <w:kern w:val="2"/>
          <w:sz w:val="32"/>
          <w:szCs w:val="32"/>
          <w:lang w:val="en-US" w:eastAsia="zh-CN" w:bidi="ar-SA"/>
        </w:rPr>
        <w:t>（一）增强门诊共济保障。</w:t>
      </w:r>
    </w:p>
    <w:p>
      <w:pPr>
        <w:pStyle w:val="2"/>
        <w:numPr>
          <w:ilvl w:val="0"/>
          <w:numId w:val="0"/>
        </w:numPr>
        <w:spacing w:line="560" w:lineRule="exact"/>
        <w:ind w:firstLine="624" w:firstLineChars="200"/>
        <w:rPr>
          <w:rFonts w:hint="eastAsia" w:eastAsia="FangSong_GB2312" w:cs="Times New Roman"/>
          <w:sz w:val="32"/>
          <w:szCs w:val="32"/>
          <w:lang w:val="en-US" w:eastAsia="zh-CN"/>
        </w:rPr>
      </w:pPr>
      <w:r>
        <w:rPr>
          <w:rFonts w:hint="eastAsia" w:ascii="仿宋_GB2312" w:hAnsi="仿宋_GB2312" w:eastAsia="仿宋_GB2312" w:cs="仿宋_GB2312"/>
          <w:snapToGrid w:val="0"/>
          <w:spacing w:val="-4"/>
          <w:kern w:val="0"/>
          <w:sz w:val="32"/>
          <w:szCs w:val="24"/>
          <w:lang w:val="en-US" w:eastAsia="zh-CN" w:bidi="ar-SA"/>
        </w:rPr>
        <w:t>1.提高普通门诊报销比例。</w:t>
      </w:r>
      <w:r>
        <w:rPr>
          <w:rFonts w:hint="eastAsia" w:ascii="Times New Roman" w:hAnsi="Times New Roman" w:eastAsia="FangSong_GB2312" w:cs="Times New Roman"/>
          <w:sz w:val="32"/>
          <w:szCs w:val="32"/>
          <w:lang w:val="en-US" w:eastAsia="zh-CN"/>
        </w:rPr>
        <w:t>一档（职工医保）参保人员在市内定点医疗机构的</w:t>
      </w:r>
      <w:r>
        <w:rPr>
          <w:rFonts w:hint="eastAsia" w:eastAsia="FangSong_GB2312" w:cs="Times New Roman"/>
          <w:sz w:val="32"/>
          <w:szCs w:val="32"/>
          <w:lang w:val="en-US" w:eastAsia="zh-CN"/>
        </w:rPr>
        <w:t>普通门诊费用（含省定慢性病），统筹基金报销比例按医疗机构等级提高25%-45%；一档参保人员在市内定点零售药店凭医保定点医疗机构电子处方的购药费用，按处方医疗机构的报销比例纳入统筹基金报销。二档及三档（城乡居民医保）参保人员在市内二级定点医疗机构就医的普通门诊费用报销比例由20%提高至25%。</w:t>
      </w:r>
    </w:p>
    <w:p>
      <w:pPr>
        <w:pStyle w:val="2"/>
        <w:numPr>
          <w:ilvl w:val="0"/>
          <w:numId w:val="0"/>
        </w:numPr>
        <w:spacing w:line="560" w:lineRule="exact"/>
        <w:ind w:firstLine="640" w:firstLineChars="200"/>
        <w:rPr>
          <w:rFonts w:hint="eastAsia" w:eastAsia="FangSong_GB2312" w:cs="Times New Roman"/>
          <w:sz w:val="32"/>
          <w:szCs w:val="32"/>
          <w:lang w:val="en-US" w:eastAsia="zh-CN"/>
        </w:rPr>
      </w:pPr>
      <w:r>
        <w:rPr>
          <w:rFonts w:hint="eastAsia" w:eastAsia="FangSong_GB2312" w:cs="Times New Roman"/>
          <w:sz w:val="32"/>
          <w:szCs w:val="32"/>
          <w:lang w:val="en-US" w:eastAsia="zh-CN"/>
        </w:rPr>
        <w:t>2.提高统筹基金报销限额。一档参保人员普通门诊统筹基金报销限额由3000元提高至6000元，市内</w:t>
      </w:r>
      <w:r>
        <w:rPr>
          <w:rFonts w:hint="default" w:ascii="Times New Roman" w:hAnsi="Times New Roman" w:eastAsia="FangSong_GB2312" w:cs="Times New Roman"/>
          <w:sz w:val="32"/>
          <w:szCs w:val="32"/>
          <w:lang w:val="en-US" w:eastAsia="zh-CN"/>
        </w:rPr>
        <w:t>慢性病种门诊最高报销限额</w:t>
      </w:r>
      <w:r>
        <w:rPr>
          <w:rFonts w:hint="eastAsia" w:ascii="Times New Roman" w:hAnsi="Times New Roman" w:eastAsia="FangSong_GB2312" w:cs="Times New Roman"/>
          <w:sz w:val="32"/>
          <w:szCs w:val="32"/>
          <w:lang w:val="en-US" w:eastAsia="zh-CN"/>
        </w:rPr>
        <w:t>由5000</w:t>
      </w:r>
      <w:r>
        <w:rPr>
          <w:rFonts w:hint="eastAsia" w:eastAsia="FangSong_GB2312" w:cs="Times New Roman"/>
          <w:sz w:val="32"/>
          <w:szCs w:val="32"/>
          <w:lang w:val="en-US" w:eastAsia="zh-CN"/>
        </w:rPr>
        <w:t>提高至7</w:t>
      </w:r>
      <w:r>
        <w:rPr>
          <w:rFonts w:hint="default" w:ascii="Times New Roman" w:hAnsi="Times New Roman" w:eastAsia="FangSong_GB2312" w:cs="Times New Roman"/>
          <w:sz w:val="32"/>
          <w:szCs w:val="32"/>
          <w:lang w:val="en-US" w:eastAsia="zh-CN"/>
        </w:rPr>
        <w:t>000元</w:t>
      </w:r>
      <w:r>
        <w:rPr>
          <w:rFonts w:hint="eastAsia" w:eastAsia="FangSong_GB2312" w:cs="Times New Roman"/>
          <w:sz w:val="32"/>
          <w:szCs w:val="32"/>
          <w:lang w:val="en-US" w:eastAsia="zh-CN"/>
        </w:rPr>
        <w:t>，</w:t>
      </w:r>
      <w:r>
        <w:rPr>
          <w:rFonts w:hint="default" w:ascii="Times New Roman" w:hAnsi="Times New Roman" w:eastAsia="FangSong_GB2312" w:cs="Times New Roman"/>
          <w:sz w:val="32"/>
          <w:szCs w:val="32"/>
          <w:lang w:val="en-US" w:eastAsia="zh-CN"/>
        </w:rPr>
        <w:t>批准参保人第二个及以上慢性病种的，最高报销限额</w:t>
      </w:r>
      <w:r>
        <w:rPr>
          <w:rFonts w:hint="eastAsia" w:ascii="Times New Roman" w:hAnsi="Times New Roman" w:eastAsia="FangSong_GB2312" w:cs="Times New Roman"/>
          <w:sz w:val="32"/>
          <w:szCs w:val="32"/>
          <w:lang w:val="en-US" w:eastAsia="zh-CN"/>
        </w:rPr>
        <w:t>由7500元</w:t>
      </w:r>
      <w:r>
        <w:rPr>
          <w:rFonts w:hint="eastAsia" w:eastAsia="FangSong_GB2312" w:cs="Times New Roman"/>
          <w:sz w:val="32"/>
          <w:szCs w:val="32"/>
          <w:lang w:val="en-US" w:eastAsia="zh-CN"/>
        </w:rPr>
        <w:t>提高至10500</w:t>
      </w:r>
      <w:r>
        <w:rPr>
          <w:rFonts w:hint="eastAsia" w:ascii="Times New Roman" w:hAnsi="Times New Roman" w:eastAsia="FangSong_GB2312" w:cs="Times New Roman"/>
          <w:sz w:val="32"/>
          <w:szCs w:val="32"/>
          <w:lang w:val="en-US" w:eastAsia="zh-CN"/>
        </w:rPr>
        <w:t>元</w:t>
      </w:r>
      <w:r>
        <w:rPr>
          <w:rFonts w:hint="eastAsia" w:eastAsia="FangSong_GB2312" w:cs="Times New Roman"/>
          <w:sz w:val="32"/>
          <w:szCs w:val="32"/>
          <w:lang w:val="en-US" w:eastAsia="zh-CN"/>
        </w:rPr>
        <w:t>。</w:t>
      </w:r>
    </w:p>
    <w:p>
      <w:pPr>
        <w:pStyle w:val="2"/>
        <w:numPr>
          <w:ilvl w:val="0"/>
          <w:numId w:val="0"/>
        </w:numPr>
        <w:spacing w:line="560" w:lineRule="exact"/>
        <w:ind w:firstLine="640" w:firstLineChars="200"/>
        <w:rPr>
          <w:rFonts w:hint="eastAsia" w:eastAsia="仿宋_GB2312" w:cs="Times New Roman"/>
          <w:sz w:val="32"/>
          <w:szCs w:val="32"/>
          <w:lang w:val="en-US" w:eastAsia="zh-CN"/>
        </w:rPr>
      </w:pPr>
      <w:r>
        <w:rPr>
          <w:rFonts w:hint="eastAsia" w:eastAsia="FangSong_GB2312" w:cs="Times New Roman"/>
          <w:sz w:val="32"/>
          <w:szCs w:val="32"/>
          <w:lang w:val="en-US" w:eastAsia="zh-CN"/>
        </w:rPr>
        <w:t>3.</w:t>
      </w:r>
      <w:r>
        <w:rPr>
          <w:rFonts w:hint="eastAsia" w:ascii="Times New Roman" w:hAnsi="Times New Roman" w:eastAsia="FangSong_GB2312" w:cs="Times New Roman"/>
          <w:sz w:val="32"/>
          <w:szCs w:val="32"/>
          <w:lang w:val="en-US" w:eastAsia="zh-CN"/>
        </w:rPr>
        <w:t>普通门诊设置起付标准。为鼓励参保人员在基层就医，促进分级诊疗，在一个医保年度内，</w:t>
      </w:r>
      <w:r>
        <w:rPr>
          <w:rFonts w:hint="eastAsia" w:eastAsia="仿宋_GB2312"/>
          <w:sz w:val="32"/>
          <w:szCs w:val="32"/>
        </w:rPr>
        <w:t>普通门诊设置300元起付标准，退休人员起付标准减半</w:t>
      </w:r>
      <w:r>
        <w:rPr>
          <w:rFonts w:hint="eastAsia" w:eastAsia="仿宋_GB2312"/>
          <w:sz w:val="32"/>
          <w:szCs w:val="32"/>
          <w:lang w:eastAsia="zh-CN"/>
        </w:rPr>
        <w:t>，</w:t>
      </w:r>
      <w:r>
        <w:rPr>
          <w:rFonts w:hint="eastAsia" w:eastAsia="仿宋_GB2312"/>
          <w:sz w:val="32"/>
          <w:szCs w:val="32"/>
        </w:rPr>
        <w:t>在基层定点医疗机构普通门诊的</w:t>
      </w:r>
      <w:r>
        <w:rPr>
          <w:rFonts w:hint="eastAsia" w:eastAsia="仿宋_GB2312"/>
          <w:sz w:val="32"/>
          <w:szCs w:val="32"/>
          <w:lang w:eastAsia="zh-CN"/>
        </w:rPr>
        <w:t>免</w:t>
      </w:r>
      <w:r>
        <w:rPr>
          <w:rFonts w:hint="eastAsia" w:eastAsia="仿宋_GB2312"/>
          <w:sz w:val="32"/>
          <w:szCs w:val="32"/>
        </w:rPr>
        <w:t>起付标准</w:t>
      </w:r>
      <w:r>
        <w:rPr>
          <w:rFonts w:hint="eastAsia" w:eastAsia="仿宋_GB2312"/>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FangSong_GB2312" w:cs="Times New Roman"/>
          <w:sz w:val="32"/>
          <w:szCs w:val="32"/>
          <w:lang w:val="en-US" w:eastAsia="zh-CN"/>
        </w:rPr>
      </w:pPr>
      <w:r>
        <w:rPr>
          <w:rFonts w:hint="eastAsia" w:ascii="楷体_GB2312" w:hAnsi="楷体_GB2312" w:eastAsia="楷体_GB2312" w:cs="楷体_GB2312"/>
          <w:b w:val="0"/>
          <w:bCs w:val="0"/>
          <w:kern w:val="2"/>
          <w:sz w:val="32"/>
          <w:szCs w:val="32"/>
          <w:lang w:val="en-US" w:eastAsia="zh-CN" w:bidi="ar-SA"/>
        </w:rPr>
        <w:t>（二）完善全市大病保险报销范围。</w:t>
      </w:r>
      <w:r>
        <w:rPr>
          <w:rFonts w:hint="eastAsia" w:ascii="Times New Roman" w:hAnsi="Times New Roman" w:eastAsia="FangSong_GB2312" w:cs="Times New Roman"/>
          <w:sz w:val="32"/>
          <w:szCs w:val="32"/>
          <w:lang w:val="en-US" w:eastAsia="zh-CN"/>
        </w:rPr>
        <w:t>将参</w:t>
      </w:r>
      <w:r>
        <w:rPr>
          <w:rFonts w:hint="eastAsia" w:eastAsia="FangSong_GB2312" w:cs="Times New Roman"/>
          <w:sz w:val="32"/>
          <w:szCs w:val="32"/>
          <w:lang w:val="en-US" w:eastAsia="zh-CN"/>
        </w:rPr>
        <w:t>保人员年度内普通门诊（含省定慢性病）政策范围内的个人负担部分，纳入大病保险基本保费报销范围，进一步减轻大病患者医疗负担。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FangSong_GB2312" w:cs="Times New Roman"/>
          <w:sz w:val="32"/>
          <w:szCs w:val="32"/>
          <w:lang w:val="en-US" w:eastAsia="zh-CN"/>
        </w:rPr>
      </w:pPr>
      <w:r>
        <w:rPr>
          <w:rFonts w:hint="eastAsia" w:ascii="楷体_GB2312" w:hAnsi="楷体_GB2312" w:eastAsia="楷体_GB2312" w:cs="楷体_GB2312"/>
          <w:b w:val="0"/>
          <w:bCs w:val="0"/>
          <w:kern w:val="2"/>
          <w:sz w:val="32"/>
          <w:szCs w:val="32"/>
          <w:lang w:val="en-US" w:eastAsia="zh-CN" w:bidi="ar-SA"/>
        </w:rPr>
        <w:t>（三）调整个人账户计入办法。</w:t>
      </w:r>
      <w:r>
        <w:rPr>
          <w:rFonts w:hint="eastAsia" w:eastAsia="FangSong_GB2312" w:cs="Times New Roman"/>
          <w:sz w:val="32"/>
          <w:szCs w:val="32"/>
          <w:lang w:val="en-US" w:eastAsia="zh-CN"/>
        </w:rPr>
        <w:t>一是在职职工、灵活就业人员个人账户由个人缴纳的基本医疗保险费计入，计入标准为本人参保缴费基数的2%。二是退休人员个人账户由统筹基金按定额划入，定额标准按省定口径确定为全市2023年平均养老金的2.8%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sz w:val="32"/>
          <w:szCs w:val="32"/>
        </w:rPr>
      </w:pPr>
      <w:r>
        <w:rPr>
          <w:rFonts w:hint="eastAsia" w:ascii="楷体_GB2312" w:hAnsi="楷体_GB2312" w:eastAsia="楷体_GB2312" w:cs="楷体_GB2312"/>
          <w:b w:val="0"/>
          <w:bCs w:val="0"/>
          <w:kern w:val="2"/>
          <w:sz w:val="32"/>
          <w:szCs w:val="32"/>
          <w:lang w:val="en-US" w:eastAsia="zh-CN" w:bidi="ar-SA"/>
        </w:rPr>
        <w:t>（四）</w:t>
      </w:r>
      <w:r>
        <w:rPr>
          <w:rFonts w:hint="eastAsia" w:ascii="楷体" w:hAnsi="楷体" w:eastAsia="楷体" w:cs="楷体"/>
          <w:sz w:val="32"/>
          <w:szCs w:val="32"/>
          <w:lang w:bidi="ar"/>
        </w:rPr>
        <w:t>规范个人账户使用范围</w:t>
      </w:r>
      <w:r>
        <w:rPr>
          <w:rFonts w:hint="eastAsia" w:ascii="楷体" w:hAnsi="楷体" w:eastAsia="楷体" w:cs="楷体"/>
          <w:sz w:val="32"/>
          <w:szCs w:val="32"/>
          <w:lang w:eastAsia="zh-CN" w:bidi="ar"/>
        </w:rPr>
        <w:t>。</w:t>
      </w:r>
      <w:r>
        <w:rPr>
          <w:rFonts w:hint="eastAsia" w:ascii="Times New Roman" w:hAnsi="Times New Roman" w:eastAsia="FangSong_GB2312" w:cs="Times New Roman"/>
          <w:sz w:val="32"/>
          <w:szCs w:val="32"/>
          <w:lang w:val="en-US" w:eastAsia="zh-CN"/>
        </w:rPr>
        <w:t>除落实省文件规定外，明确</w:t>
      </w:r>
      <w:r>
        <w:rPr>
          <w:rFonts w:hint="eastAsia" w:eastAsia="仿宋_GB2312"/>
          <w:sz w:val="32"/>
          <w:szCs w:val="32"/>
        </w:rPr>
        <w:t>参保人员从异地转入时，转入地的个人账户资金，划入历年资金。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kern w:val="2"/>
          <w:sz w:val="32"/>
          <w:szCs w:val="32"/>
          <w:lang w:val="en-US" w:eastAsia="zh-CN" w:bidi="ar"/>
        </w:rPr>
      </w:pPr>
      <w:r>
        <w:rPr>
          <w:rFonts w:hint="eastAsia" w:ascii="楷体" w:hAnsi="楷体" w:eastAsia="楷体" w:cs="楷体"/>
          <w:kern w:val="2"/>
          <w:sz w:val="32"/>
          <w:szCs w:val="32"/>
          <w:lang w:val="en-US" w:eastAsia="zh-CN" w:bidi="ar"/>
        </w:rPr>
        <w:t>（五）</w:t>
      </w:r>
      <w:r>
        <w:rPr>
          <w:rFonts w:hint="eastAsia" w:ascii="楷体" w:hAnsi="楷体" w:eastAsia="楷体" w:cs="楷体"/>
          <w:sz w:val="32"/>
          <w:szCs w:val="32"/>
          <w:lang w:bidi="ar"/>
        </w:rPr>
        <w:t>加强经办服务和监督管理。</w:t>
      </w:r>
      <w:r>
        <w:rPr>
          <w:rFonts w:hint="eastAsia" w:ascii="Times New Roman" w:hAnsi="Times New Roman" w:eastAsia="FangSong_GB2312" w:cs="Times New Roman"/>
          <w:sz w:val="32"/>
          <w:szCs w:val="32"/>
          <w:lang w:val="en-US" w:eastAsia="zh-CN"/>
        </w:rPr>
        <w:t>要求各地加</w:t>
      </w:r>
      <w:r>
        <w:rPr>
          <w:rFonts w:hint="eastAsia" w:eastAsia="FangSong_GB2312"/>
          <w:sz w:val="32"/>
          <w:szCs w:val="32"/>
          <w:lang w:val="en-US" w:eastAsia="zh-CN"/>
        </w:rPr>
        <w:t>强经办服务和监督管理，</w:t>
      </w:r>
      <w:r>
        <w:rPr>
          <w:rFonts w:hint="eastAsia" w:eastAsia="仿宋_GB2312"/>
          <w:sz w:val="32"/>
          <w:szCs w:val="32"/>
        </w:rPr>
        <w:t>完善管理服务措施，严格执行医保基金预算管理制度，加强基金稽核和内控管理</w:t>
      </w:r>
      <w:r>
        <w:rPr>
          <w:rFonts w:hint="eastAsia" w:eastAsia="仿宋_GB2312"/>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kern w:val="2"/>
          <w:sz w:val="32"/>
          <w:szCs w:val="32"/>
        </w:rPr>
      </w:pPr>
      <w:r>
        <w:rPr>
          <w:rFonts w:hint="eastAsia" w:ascii="楷体_GB2312" w:hAnsi="楷体_GB2312" w:eastAsia="楷体_GB2312" w:cs="楷体_GB2312"/>
          <w:b w:val="0"/>
          <w:bCs w:val="0"/>
          <w:kern w:val="2"/>
          <w:sz w:val="32"/>
          <w:szCs w:val="32"/>
          <w:lang w:val="en-US" w:eastAsia="zh-CN" w:bidi="ar-SA"/>
        </w:rPr>
        <w:t>（六）</w:t>
      </w:r>
      <w:r>
        <w:rPr>
          <w:rFonts w:hint="eastAsia" w:ascii="楷体" w:hAnsi="楷体" w:eastAsia="楷体" w:cs="楷体"/>
          <w:kern w:val="2"/>
          <w:sz w:val="32"/>
          <w:szCs w:val="32"/>
          <w:lang w:bidi="ar"/>
        </w:rPr>
        <w:t>健全与门诊共济保障相适应的付费机制。</w:t>
      </w:r>
      <w:r>
        <w:rPr>
          <w:rFonts w:hint="eastAsia" w:eastAsia="仿宋_GB2312"/>
          <w:sz w:val="32"/>
          <w:szCs w:val="32"/>
          <w:lang w:eastAsia="zh-CN"/>
        </w:rPr>
        <w:t>要求</w:t>
      </w:r>
      <w:r>
        <w:rPr>
          <w:rFonts w:hint="eastAsia" w:eastAsia="仿宋_GB2312"/>
          <w:kern w:val="2"/>
          <w:sz w:val="32"/>
          <w:szCs w:val="32"/>
        </w:rPr>
        <w:t>深化完善总额预算管理下的门诊按人头包干结合APG点数法付费</w:t>
      </w:r>
      <w:r>
        <w:rPr>
          <w:rFonts w:hint="eastAsia" w:eastAsia="仿宋_GB2312"/>
          <w:kern w:val="2"/>
          <w:sz w:val="32"/>
          <w:szCs w:val="32"/>
          <w:lang w:eastAsia="zh-CN"/>
        </w:rPr>
        <w:t>，</w:t>
      </w:r>
      <w:r>
        <w:rPr>
          <w:rFonts w:hint="eastAsia" w:eastAsia="仿宋_GB2312"/>
          <w:kern w:val="2"/>
          <w:sz w:val="32"/>
          <w:szCs w:val="32"/>
        </w:rPr>
        <w:t>激励基层医疗机构提供优质的家庭医生签约服务和全生命周期健康管理。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四、组织实施。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FangSong_GB2312"/>
          <w:sz w:val="32"/>
          <w:szCs w:val="32"/>
          <w:lang w:val="en-US" w:eastAsia="zh-CN"/>
        </w:rPr>
      </w:pPr>
      <w:r>
        <w:rPr>
          <w:rFonts w:hint="eastAsia" w:eastAsia="仿宋_GB2312"/>
          <w:kern w:val="2"/>
          <w:sz w:val="32"/>
          <w:szCs w:val="32"/>
          <w:lang w:eastAsia="zh-CN"/>
        </w:rPr>
        <w:t>要求各地在组织实施过程中要加强领导，</w:t>
      </w:r>
      <w:r>
        <w:rPr>
          <w:rFonts w:hint="eastAsia" w:eastAsia="FangSong_GB2312"/>
          <w:sz w:val="32"/>
          <w:szCs w:val="32"/>
          <w:lang w:val="en-US" w:eastAsia="zh-CN"/>
        </w:rPr>
        <w:t>统筹安排，确保参保人员待遇平稳过渡，同时要</w:t>
      </w:r>
      <w:r>
        <w:rPr>
          <w:rFonts w:hint="eastAsia" w:eastAsia="仿宋_GB2312"/>
          <w:sz w:val="32"/>
          <w:szCs w:val="32"/>
        </w:rPr>
        <w:t>创新宣传方式，丰富宣传手段，准确解读政策，营造良好的改革氛围</w:t>
      </w:r>
      <w:r>
        <w:rPr>
          <w:rFonts w:hint="eastAsia" w:eastAsia="FangSong_GB2312"/>
          <w:sz w:val="32"/>
          <w:szCs w:val="32"/>
          <w:lang w:val="en-US" w:eastAsia="zh-CN"/>
        </w:rPr>
        <w:t>，引导社会合理预期。</w:t>
      </w:r>
    </w:p>
    <w:p>
      <w:r>
        <w:rPr>
          <w:rFonts w:hint="eastAsia" w:ascii="黑体" w:hAnsi="黑体" w:eastAsia="黑体" w:cs="黑体"/>
          <w:kern w:val="2"/>
          <w:sz w:val="32"/>
          <w:szCs w:val="32"/>
          <w:lang w:val="en-US" w:eastAsia="zh-CN" w:bidi="ar-SA"/>
        </w:rPr>
        <w:t>五、实施时间。</w:t>
      </w:r>
      <w:r>
        <w:rPr>
          <w:rFonts w:hint="eastAsia" w:ascii="仿宋_GB2312" w:hAnsi="inherit" w:eastAsia="仿宋_GB2312" w:cs="宋体"/>
          <w:color w:val="auto"/>
          <w:kern w:val="0"/>
          <w:sz w:val="32"/>
          <w:szCs w:val="32"/>
          <w:lang w:val="en-US" w:eastAsia="zh-CN"/>
        </w:rPr>
        <w:t>《</w:t>
      </w:r>
      <w:r>
        <w:rPr>
          <w:rFonts w:hint="eastAsia" w:ascii="仿宋_GB2312" w:hAnsi="inherit" w:eastAsia="仿宋_GB2312" w:cs="宋体"/>
          <w:color w:val="auto"/>
          <w:kern w:val="0"/>
          <w:sz w:val="32"/>
          <w:szCs w:val="32"/>
          <w:lang w:eastAsia="zh-CN"/>
        </w:rPr>
        <w:t>实施办法》</w:t>
      </w:r>
      <w:r>
        <w:rPr>
          <w:rFonts w:hint="default" w:ascii="Times New Roman" w:hAnsi="Times New Roman" w:eastAsia="仿宋_GB2312" w:cs="Times New Roman"/>
          <w:sz w:val="32"/>
          <w:szCs w:val="32"/>
        </w:rPr>
        <w:t>自2023年1月1日</w:t>
      </w:r>
      <w:r>
        <w:rPr>
          <w:rFonts w:hint="eastAsia" w:eastAsia="仿宋_GB2312"/>
          <w:sz w:val="32"/>
          <w:szCs w:val="32"/>
        </w:rPr>
        <w:t>起实施</w:t>
      </w:r>
      <w:r>
        <w:rPr>
          <w:rFonts w:hint="eastAsia"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86131"/>
    <w:rsid w:val="68F86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textAlignment w:val="auto"/>
    </w:pPr>
    <w:rPr>
      <w:rFonts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2022-09-14T10:19:00Z</dcterms:created>
  <dc:creator>jj</dc:creator>
  <cp:lastModifiedBy>jj</cp:lastModifiedBy>
  <dcterms:modified xsi:type="dcterms:W3CDTF">2022-09-14T10:20:29Z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