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Cs w:val="32"/>
        </w:rPr>
      </w:pPr>
    </w:p>
    <w:p>
      <w:pPr>
        <w:rPr>
          <w:rFonts w:hint="eastAsia" w:ascii="黑体" w:eastAsia="黑体"/>
          <w:szCs w:val="32"/>
          <w:lang w:val="en-US" w:eastAsia="zh-CN"/>
        </w:rPr>
      </w:pPr>
      <w:r>
        <w:rPr>
          <w:rFonts w:hint="eastAsia" w:ascii="黑体" w:eastAsia="黑体"/>
          <w:szCs w:val="32"/>
        </w:rPr>
        <w:t>附件</w:t>
      </w:r>
      <w:r>
        <w:rPr>
          <w:rFonts w:hint="eastAsia" w:ascii="黑体" w:eastAsia="黑体"/>
          <w:szCs w:val="32"/>
          <w:lang w:val="en-US" w:eastAsia="zh-CN"/>
        </w:rPr>
        <w:t>3</w:t>
      </w:r>
    </w:p>
    <w:p>
      <w:pPr>
        <w:rPr>
          <w:rFonts w:hint="eastAsia" w:ascii="黑体" w:eastAsia="黑体"/>
          <w:szCs w:val="32"/>
          <w:lang w:val="en-US" w:eastAsia="zh-CN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5502"/>
        <w:gridCol w:w="23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63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小标宋简体" w:hAnsi="宋体" w:eastAsia="方正小标宋简体" w:cs="宋体"/>
                <w:color w:val="000000"/>
                <w:sz w:val="44"/>
                <w:szCs w:val="44"/>
                <w:lang w:bidi="ar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color w:val="000000"/>
                <w:sz w:val="44"/>
                <w:szCs w:val="44"/>
                <w:lang w:bidi="ar"/>
              </w:rPr>
              <w:t>暂时保留但停止执行与上位法</w:t>
            </w:r>
            <w:r>
              <w:rPr>
                <w:rFonts w:hint="eastAsia" w:ascii="方正小标宋简体" w:hAnsi="宋体" w:eastAsia="方正小标宋简体" w:cs="宋体"/>
                <w:color w:val="000000"/>
                <w:sz w:val="44"/>
                <w:szCs w:val="44"/>
                <w:lang w:eastAsia="zh-CN" w:bidi="ar"/>
              </w:rPr>
              <w:t>及规范性文件</w:t>
            </w:r>
            <w:r>
              <w:rPr>
                <w:rFonts w:hint="eastAsia" w:ascii="方正小标宋简体" w:hAnsi="宋体" w:eastAsia="方正小标宋简体" w:cs="宋体"/>
                <w:color w:val="000000"/>
                <w:sz w:val="44"/>
                <w:szCs w:val="44"/>
                <w:lang w:bidi="ar"/>
              </w:rPr>
              <w:t>不一致内容的文件</w:t>
            </w:r>
            <w:r>
              <w:rPr>
                <w:rFonts w:hint="eastAsia" w:ascii="方正小标宋简体" w:hAnsi="Times New Roman" w:eastAsia="方正小标宋简体" w:cs="Times New Roman"/>
                <w:sz w:val="44"/>
                <w:szCs w:val="44"/>
                <w:lang w:eastAsia="zh-CN"/>
              </w:rPr>
              <w:t>目录（</w:t>
            </w:r>
            <w:r>
              <w:rPr>
                <w:rFonts w:hint="eastAsia" w:ascii="方正小标宋简体" w:hAnsi="Times New Roman" w:eastAsia="方正小标宋简体" w:cs="Times New Roman"/>
                <w:sz w:val="44"/>
                <w:szCs w:val="44"/>
                <w:lang w:val="en-US" w:eastAsia="zh-CN"/>
              </w:rPr>
              <w:t>1件</w:t>
            </w:r>
            <w:r>
              <w:rPr>
                <w:rFonts w:hint="eastAsia" w:ascii="方正小标宋简体" w:hAnsi="Times New Roman" w:eastAsia="方正小标宋简体" w:cs="Times New Roman"/>
                <w:sz w:val="44"/>
                <w:szCs w:val="44"/>
                <w:lang w:eastAsia="zh-CN"/>
              </w:rPr>
              <w:t>）</w:t>
            </w:r>
          </w:p>
          <w:bookmarkEnd w:id="0"/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小标宋简体" w:hAnsi="宋体" w:eastAsia="方正小标宋简体" w:cs="宋体"/>
                <w:color w:val="000000"/>
                <w:sz w:val="44"/>
                <w:szCs w:val="4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序号</w:t>
            </w:r>
          </w:p>
        </w:tc>
        <w:tc>
          <w:tcPr>
            <w:tcW w:w="5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文件</w:t>
            </w:r>
          </w:p>
        </w:tc>
        <w:tc>
          <w:tcPr>
            <w:tcW w:w="2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文号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关于印发《东阳市超计划用水累进加价水费征收管理实施细则》的通知</w:t>
            </w:r>
          </w:p>
        </w:tc>
        <w:tc>
          <w:tcPr>
            <w:tcW w:w="2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东水〔2018〕89号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545143"/>
    <w:rsid w:val="1354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2022-02-28T05:17:00Z</dcterms:created>
  <dc:creator>我是你的小安妮</dc:creator>
  <cp:lastModifiedBy>我是你的小安妮</cp:lastModifiedBy>
  <dcterms:modified xsi:type="dcterms:W3CDTF">2022-02-28T05:17:56Z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