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bidi w:val="0"/>
        <w:snapToGrid/>
        <w:spacing w:beforeLines="0" w:afterLines="0" w:line="579" w:lineRule="exact"/>
        <w:jc w:val="both"/>
        <w:textAlignment w:val="auto"/>
        <w:rPr>
          <w:rFonts w:hint="default" w:ascii="黑体" w:hAnsi="黑体" w:eastAsia="黑体" w:cs="黑体"/>
          <w:b w:val="0"/>
          <w:bCs w:val="0"/>
          <w:snapToGrid/>
          <w:color w:val="auto"/>
          <w:spacing w:val="0"/>
          <w:kern w:val="2"/>
          <w:sz w:val="32"/>
          <w:szCs w:val="2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关于做好《浙江省房屋建筑和市政基础设施施工招标文件示范文本》应用</w:t>
      </w:r>
      <w:r>
        <w:rPr>
          <w:rFonts w:hint="eastAsia" w:ascii="方正小标宋简体" w:hAnsi="方正小标宋简体" w:eastAsia="方正小标宋简体" w:cs="方正小标宋简体"/>
          <w:b w:val="0"/>
          <w:bCs w:val="0"/>
          <w:color w:val="auto"/>
          <w:sz w:val="44"/>
          <w:szCs w:val="44"/>
          <w:highlight w:val="none"/>
          <w:lang w:val="en-US" w:eastAsia="zh-CN"/>
        </w:rPr>
        <w:t>实施</w:t>
      </w:r>
      <w:r>
        <w:rPr>
          <w:rFonts w:hint="eastAsia" w:ascii="方正小标宋简体" w:hAnsi="方正小标宋简体" w:eastAsia="方正小标宋简体" w:cs="方正小标宋简体"/>
          <w:b w:val="0"/>
          <w:bCs w:val="0"/>
          <w:color w:val="auto"/>
          <w:sz w:val="44"/>
          <w:szCs w:val="44"/>
          <w:highlight w:val="none"/>
        </w:rPr>
        <w:t>工作</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jc w:val="center"/>
        <w:textAlignment w:val="auto"/>
        <w:rPr>
          <w:rFonts w:hint="eastAsia" w:ascii="宋体" w:hAnsi="宋体" w:cs="宋体"/>
          <w:b/>
          <w:bCs/>
          <w:color w:val="auto"/>
          <w:sz w:val="44"/>
          <w:szCs w:val="44"/>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rPr>
        <w:t>的</w:t>
      </w:r>
      <w:r>
        <w:rPr>
          <w:rFonts w:hint="eastAsia" w:ascii="方正小标宋简体" w:hAnsi="方正小标宋简体" w:eastAsia="方正小标宋简体" w:cs="方正小标宋简体"/>
          <w:b w:val="0"/>
          <w:bCs w:val="0"/>
          <w:color w:val="auto"/>
          <w:sz w:val="44"/>
          <w:szCs w:val="44"/>
          <w:highlight w:val="none"/>
          <w:lang w:val="en-US" w:eastAsia="zh-CN"/>
        </w:rPr>
        <w:t>通知（征求意见稿）</w:t>
      </w:r>
    </w:p>
    <w:p>
      <w:pPr>
        <w:pStyle w:val="2"/>
        <w:rPr>
          <w:rFonts w:hint="eastAsia"/>
          <w:color w:val="auto"/>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val="0"/>
        <w:spacing w:line="600" w:lineRule="exact"/>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市级各有关部门（单位），各区、县（市）建设局、</w:t>
      </w:r>
      <w:r>
        <w:rPr>
          <w:rFonts w:hint="eastAsia" w:ascii="仿宋_GB2312" w:hAnsi="仿宋_GB2312" w:eastAsia="仿宋_GB2312" w:cs="仿宋_GB2312"/>
          <w:b w:val="0"/>
          <w:bCs w:val="0"/>
          <w:color w:val="auto"/>
          <w:sz w:val="32"/>
          <w:szCs w:val="32"/>
          <w:highlight w:val="none"/>
          <w:u w:val="none"/>
          <w:lang w:val="en-US" w:eastAsia="zh-CN"/>
        </w:rPr>
        <w:t>招投标平台综合管理部门：</w:t>
      </w:r>
    </w:p>
    <w:p>
      <w:pPr>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val="0"/>
          <w:bCs w:val="0"/>
          <w:color w:val="auto"/>
          <w:sz w:val="32"/>
          <w:szCs w:val="32"/>
          <w:highlight w:val="none"/>
        </w:rPr>
        <w:t>为进一步规范房屋建筑和市政基础设施施工招标投标活动，保障招标人和投标人的合法权益，</w:t>
      </w:r>
      <w:r>
        <w:rPr>
          <w:rFonts w:hint="eastAsia" w:ascii="仿宋_GB2312" w:hAnsi="仿宋_GB2312" w:eastAsia="仿宋_GB2312" w:cs="仿宋_GB2312"/>
          <w:b w:val="0"/>
          <w:bCs w:val="0"/>
          <w:color w:val="auto"/>
          <w:sz w:val="32"/>
          <w:szCs w:val="32"/>
          <w:highlight w:val="none"/>
          <w:lang w:val="en-US" w:eastAsia="zh-CN"/>
        </w:rPr>
        <w:t>我省印发了</w:t>
      </w:r>
      <w:r>
        <w:rPr>
          <w:rFonts w:hint="eastAsia" w:ascii="仿宋_GB2312" w:hAnsi="仿宋_GB2312" w:eastAsia="仿宋_GB2312" w:cs="仿宋_GB2312"/>
          <w:b w:val="0"/>
          <w:bCs w:val="0"/>
          <w:color w:val="auto"/>
          <w:sz w:val="32"/>
          <w:szCs w:val="32"/>
          <w:highlight w:val="none"/>
        </w:rPr>
        <w:t>《浙江省房屋建筑与市政基础设施施工招标文件示范文本》</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以下简称“示范文本”</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为做好招标文件示范文本在我市的应用实施工作，现对有关事项通知如下：</w:t>
      </w:r>
    </w:p>
    <w:p>
      <w:pPr>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一、各部门（单位）要严格贯彻落实浙政发〔2021〕5号文件精神，按照省建设厅、省发展改革委的要求，做好示范文本的应用工作。自</w:t>
      </w:r>
      <w:r>
        <w:rPr>
          <w:rFonts w:hint="eastAsia" w:ascii="仿宋_GB2312" w:hAnsi="仿宋_GB2312" w:eastAsia="仿宋_GB2312" w:cs="仿宋_GB2312"/>
          <w:b w:val="0"/>
          <w:bCs w:val="0"/>
          <w:color w:val="auto"/>
          <w:sz w:val="32"/>
          <w:szCs w:val="32"/>
          <w:highlight w:val="none"/>
          <w:u w:val="none"/>
          <w:lang w:val="en-US" w:eastAsia="zh-CN"/>
        </w:rPr>
        <w:t>2022年 月  日起</w:t>
      </w:r>
      <w:r>
        <w:rPr>
          <w:rFonts w:hint="eastAsia" w:ascii="仿宋_GB2312" w:hAnsi="仿宋_GB2312" w:eastAsia="仿宋_GB2312" w:cs="仿宋_GB2312"/>
          <w:b w:val="0"/>
          <w:bCs w:val="0"/>
          <w:color w:val="auto"/>
          <w:sz w:val="32"/>
          <w:szCs w:val="32"/>
          <w:highlight w:val="none"/>
          <w:lang w:val="en-US" w:eastAsia="zh-CN"/>
        </w:rPr>
        <w:t>（按招标公告发布之日或投标邀请书发出之日计），依法必须招标的房屋建筑和市政基础设施施工项目，招标人应按照示范文本及我市的相关配套制度编制招标文件，组织开展招标活动。</w:t>
      </w:r>
    </w:p>
    <w:p>
      <w:pPr>
        <w:pStyle w:val="2"/>
        <w:keepNext w:val="0"/>
        <w:keepLines w:val="0"/>
        <w:pageBreakBefore w:val="0"/>
        <w:kinsoku/>
        <w:wordWrap/>
        <w:overflowPunct/>
        <w:topLinePunct w:val="0"/>
        <w:autoSpaceDE/>
        <w:autoSpaceDN/>
        <w:bidi w:val="0"/>
        <w:adjustRightInd/>
        <w:spacing w:after="0" w:line="60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二、为推进招标文件示范文本的实施工作，制定了《“技术标打分制的综合评估法”的项目标准》、《投标报价评审区间确定规则》、《评审区间确定规则》、《综合评审办法（一）》、《综合评审办法（二）》和《绍兴市房屋建筑和市政基础设施工程信用评价招投标应用标准（试行）》等六项配套交易规章（详见附件），请一并遵照执行。</w:t>
      </w:r>
    </w:p>
    <w:p>
      <w:pPr>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lang w:val="en-US" w:eastAsia="zh-CN"/>
        </w:rPr>
        <w:t>三、市建设局牵头负责我</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市建筑信用监管平台</w:t>
      </w:r>
      <w:r>
        <w:rPr>
          <w:rFonts w:hint="eastAsia" w:ascii="仿宋_GB2312" w:hAnsi="仿宋_GB2312" w:eastAsia="仿宋_GB2312" w:cs="仿宋_GB2312"/>
          <w:b w:val="0"/>
          <w:bCs w:val="0"/>
          <w:color w:val="auto"/>
          <w:sz w:val="32"/>
          <w:szCs w:val="32"/>
          <w:highlight w:val="none"/>
          <w:lang w:val="en-US" w:eastAsia="zh-CN"/>
        </w:rPr>
        <w:t>的建设和信用应用标准的制定。市政务服务办公室牵头负责交易系统的改造工作，调整相应的交易流程</w:t>
      </w:r>
      <w:r>
        <w:rPr>
          <w:rFonts w:hint="eastAsia" w:ascii="仿宋_GB2312" w:hAnsi="仿宋_GB2312" w:eastAsia="仿宋_GB2312" w:cs="仿宋_GB2312"/>
          <w:b w:val="0"/>
          <w:bCs w:val="0"/>
          <w:color w:val="auto"/>
          <w:sz w:val="32"/>
          <w:szCs w:val="32"/>
          <w:highlight w:val="none"/>
          <w:u w:val="none"/>
          <w:lang w:val="en-US" w:eastAsia="zh-CN"/>
        </w:rPr>
        <w:t>。各区、县（市）相关行政监督部门、招投标平台综合管理部门按职责做好相关应用实施工作。</w:t>
      </w:r>
    </w:p>
    <w:p>
      <w:pPr>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四、在示范文本实施过程中，招标人按照示范文本的要求，规范组织招标活动，同时应注意以下事项：</w:t>
      </w:r>
    </w:p>
    <w:p>
      <w:pPr>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1.在编制招标文件时应明确本次招标建安工程造价；编制工程量清单和招标控制价（即最高投标限价）及明细，招标控制价在招标文件或招标文件澄清（修改、补充）文件中明确，并不得超过建安工程造价。</w:t>
      </w:r>
    </w:p>
    <w:p>
      <w:pPr>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2.应根据示范文本及《“技术标打分制的综合评估法”的项目标准》等有关要求并结合招标项目情况，规范选择评标办法，合理设置投标资格条件和评标条款；合理确定澄清截止时间；</w:t>
      </w:r>
    </w:p>
    <w:p>
      <w:pPr>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3.采用电子投标评标的项目，招标人在制作唱标记录时，“密封情况”调整为“加、解密（密封）情况”；“签字”栏不作要求，但唱标记录应及时制作，供所有投标人在系统内查看。</w:t>
      </w:r>
    </w:p>
    <w:p>
      <w:pPr>
        <w:keepNext w:val="0"/>
        <w:keepLines w:val="0"/>
        <w:pageBreakBefore w:val="0"/>
        <w:numPr>
          <w:ilvl w:val="0"/>
          <w:numId w:val="0"/>
        </w:numPr>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4.招标人在递交招标文件备案时，应同时递交规定的前期审批资料。招标文件的澄清（修改、补充）文件可能影响资格预审申请文件或者投标文件编制的，应在提交资格预审申请文件截止时间至少3日前或者投标截止日至少15日前发布。</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五、投标人应按照招标文件的要求编制投标文件并参与投标活动，规范商务标工程量清单计价表式的编制工作，按要求递交投标保证金缴纳证明材料等投标文件的组成材料。</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六、各相关部门要加强工作配合，密切关注在示范文本实施过程中碰到的新情况和新问题，并及时进行完善和调整相关操作制度；及时做好宣贯</w:t>
      </w:r>
      <w:r>
        <w:rPr>
          <w:rFonts w:hint="eastAsia" w:ascii="仿宋_GB2312" w:hAnsi="仿宋_GB2312" w:eastAsia="仿宋_GB2312" w:cs="仿宋_GB2312"/>
          <w:color w:val="auto"/>
          <w:kern w:val="0"/>
          <w:sz w:val="32"/>
          <w:szCs w:val="32"/>
          <w:highlight w:val="none"/>
          <w:lang w:val="en-US" w:eastAsia="zh-CN" w:bidi="ar"/>
        </w:rPr>
        <w:t>工作，加强对建设单位、招标代理机构、造价咨询机构和投标企业等的培训指导，确保示范文本的顺利应用实施。</w:t>
      </w:r>
    </w:p>
    <w:p>
      <w:pPr>
        <w:pStyle w:val="2"/>
        <w:keepNext w:val="0"/>
        <w:keepLines w:val="0"/>
        <w:pageBreakBefore w:val="0"/>
        <w:kinsoku/>
        <w:wordWrap/>
        <w:overflowPunct/>
        <w:topLinePunct w:val="0"/>
        <w:autoSpaceDE/>
        <w:autoSpaceDN/>
        <w:bidi w:val="0"/>
        <w:adjustRightInd/>
        <w:spacing w:after="0" w:line="600" w:lineRule="exact"/>
        <w:jc w:val="both"/>
        <w:textAlignment w:val="auto"/>
        <w:rPr>
          <w:rFonts w:hint="eastAsia" w:ascii="仿宋_GB2312" w:hAnsi="仿宋_GB2312" w:eastAsia="仿宋_GB2312" w:cs="仿宋_GB2312"/>
          <w:b w:val="0"/>
          <w:bCs w:val="0"/>
          <w:color w:val="auto"/>
          <w:sz w:val="32"/>
          <w:szCs w:val="32"/>
          <w:highlight w:val="none"/>
          <w:lang w:val="en-US" w:eastAsia="zh-CN"/>
        </w:rPr>
      </w:pPr>
    </w:p>
    <w:p>
      <w:pPr>
        <w:pStyle w:val="2"/>
        <w:keepNext w:val="0"/>
        <w:keepLines w:val="0"/>
        <w:pageBreakBefore w:val="0"/>
        <w:kinsoku/>
        <w:wordWrap/>
        <w:overflowPunct/>
        <w:topLinePunct w:val="0"/>
        <w:autoSpaceDE/>
        <w:autoSpaceDN/>
        <w:bidi w:val="0"/>
        <w:adjustRightInd/>
        <w:spacing w:after="0" w:line="600" w:lineRule="exact"/>
        <w:ind w:left="1278" w:leftChars="304" w:hanging="640" w:hanging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附件：1.《“技术标打分制的综合评估法”的项目标准》</w:t>
      </w:r>
    </w:p>
    <w:p>
      <w:pPr>
        <w:pStyle w:val="2"/>
        <w:keepNext w:val="0"/>
        <w:keepLines w:val="0"/>
        <w:pageBreakBefore w:val="0"/>
        <w:kinsoku/>
        <w:wordWrap/>
        <w:overflowPunct/>
        <w:topLinePunct w:val="0"/>
        <w:autoSpaceDE/>
        <w:autoSpaceDN/>
        <w:bidi w:val="0"/>
        <w:adjustRightInd/>
        <w:spacing w:after="0" w:line="600" w:lineRule="exact"/>
        <w:ind w:left="1277" w:leftChars="608" w:firstLine="320" w:firstLineChars="1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2.《投标报价评审区间确定规则》</w:t>
      </w:r>
    </w:p>
    <w:p>
      <w:pPr>
        <w:pStyle w:val="2"/>
        <w:keepNext w:val="0"/>
        <w:keepLines w:val="0"/>
        <w:pageBreakBefore w:val="0"/>
        <w:numPr>
          <w:ilvl w:val="0"/>
          <w:numId w:val="0"/>
        </w:numPr>
        <w:kinsoku/>
        <w:wordWrap/>
        <w:overflowPunct/>
        <w:topLinePunct w:val="0"/>
        <w:autoSpaceDE/>
        <w:autoSpaceDN/>
        <w:bidi w:val="0"/>
        <w:adjustRightInd/>
        <w:spacing w:after="0" w:line="600" w:lineRule="exact"/>
        <w:ind w:leftChars="608" w:firstLine="320" w:firstLineChars="1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3.《评审区间确定规则》</w:t>
      </w:r>
    </w:p>
    <w:p>
      <w:pPr>
        <w:pStyle w:val="2"/>
        <w:keepNext w:val="0"/>
        <w:keepLines w:val="0"/>
        <w:pageBreakBefore w:val="0"/>
        <w:numPr>
          <w:ilvl w:val="0"/>
          <w:numId w:val="0"/>
        </w:numPr>
        <w:kinsoku/>
        <w:wordWrap/>
        <w:overflowPunct/>
        <w:topLinePunct w:val="0"/>
        <w:autoSpaceDE/>
        <w:autoSpaceDN/>
        <w:bidi w:val="0"/>
        <w:adjustRightInd/>
        <w:spacing w:after="0" w:line="600" w:lineRule="exact"/>
        <w:ind w:leftChars="608" w:firstLine="320" w:firstLineChars="1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4.《综合评审办法（一）》</w:t>
      </w:r>
    </w:p>
    <w:p>
      <w:pPr>
        <w:pStyle w:val="2"/>
        <w:keepNext w:val="0"/>
        <w:keepLines w:val="0"/>
        <w:pageBreakBefore w:val="0"/>
        <w:numPr>
          <w:ilvl w:val="0"/>
          <w:numId w:val="0"/>
        </w:numPr>
        <w:kinsoku/>
        <w:wordWrap/>
        <w:overflowPunct/>
        <w:topLinePunct w:val="0"/>
        <w:autoSpaceDE/>
        <w:autoSpaceDN/>
        <w:bidi w:val="0"/>
        <w:adjustRightInd/>
        <w:spacing w:after="0" w:line="600" w:lineRule="exact"/>
        <w:ind w:leftChars="608" w:firstLine="320" w:firstLineChars="1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5.《综合评审办法（二）》</w:t>
      </w:r>
    </w:p>
    <w:p>
      <w:pPr>
        <w:keepNext w:val="0"/>
        <w:keepLines w:val="0"/>
        <w:pageBreakBefore w:val="0"/>
        <w:kinsoku/>
        <w:wordWrap/>
        <w:overflowPunct/>
        <w:topLinePunct w:val="0"/>
        <w:autoSpaceDE/>
        <w:autoSpaceDN/>
        <w:bidi w:val="0"/>
        <w:adjustRightInd/>
        <w:spacing w:line="600" w:lineRule="exact"/>
        <w:ind w:left="2236" w:leftChars="760" w:hanging="640" w:hanging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6.《绍兴市房屋建筑和市政基础设施工程信用评价招投标应用标准（试行）》</w:t>
      </w:r>
    </w:p>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 xml:space="preserve">   </w:t>
      </w:r>
    </w:p>
    <w:p>
      <w:pPr>
        <w:keepNext w:val="0"/>
        <w:keepLines w:val="0"/>
        <w:pageBreakBefore w:val="0"/>
        <w:kinsoku/>
        <w:wordWrap/>
        <w:overflowPunct/>
        <w:topLinePunct w:val="0"/>
        <w:autoSpaceDE/>
        <w:autoSpaceDN/>
        <w:bidi w:val="0"/>
        <w:adjustRightInd/>
        <w:spacing w:line="600" w:lineRule="exact"/>
        <w:ind w:firstLine="320" w:firstLineChars="1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绍兴市政务服务办公室     绍兴市住房和城乡建设局</w:t>
      </w:r>
    </w:p>
    <w:p>
      <w:pPr>
        <w:pStyle w:val="2"/>
        <w:keepNext w:val="0"/>
        <w:keepLines w:val="0"/>
        <w:pageBreakBefore w:val="0"/>
        <w:kinsoku/>
        <w:wordWrap/>
        <w:overflowPunct/>
        <w:topLinePunct w:val="0"/>
        <w:autoSpaceDE/>
        <w:autoSpaceDN/>
        <w:bidi w:val="0"/>
        <w:adjustRightInd/>
        <w:spacing w:line="600" w:lineRule="exact"/>
        <w:ind w:firstLine="4800" w:firstLineChars="15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 xml:space="preserve">2022年 月  </w:t>
      </w:r>
      <w:bookmarkStart w:id="0" w:name="_GoBack"/>
      <w:bookmarkEnd w:id="0"/>
      <w:r>
        <w:rPr>
          <w:rFonts w:hint="eastAsia" w:ascii="仿宋_GB2312" w:hAnsi="仿宋_GB2312" w:eastAsia="仿宋_GB2312" w:cs="仿宋_GB2312"/>
          <w:b w:val="0"/>
          <w:bCs w:val="0"/>
          <w:color w:val="auto"/>
          <w:sz w:val="32"/>
          <w:szCs w:val="32"/>
          <w:highlight w:val="none"/>
          <w:lang w:val="en-US" w:eastAsia="zh-CN"/>
        </w:rPr>
        <w:t>日</w:t>
      </w:r>
    </w:p>
    <w:p>
      <w:pPr>
        <w:rPr>
          <w:rFonts w:hint="eastAsia" w:ascii="Times New Roman" w:hAnsi="Times New Roman" w:eastAsia="黑体" w:cs="黑体"/>
          <w:b w:val="0"/>
          <w:bCs w:val="0"/>
          <w:color w:val="auto"/>
          <w:sz w:val="32"/>
          <w:szCs w:val="32"/>
          <w:highlight w:val="none"/>
          <w:lang w:val="en-US" w:eastAsia="zh-CN"/>
        </w:rPr>
      </w:pPr>
      <w:r>
        <w:rPr>
          <w:rFonts w:hint="eastAsia" w:ascii="Times New Roman" w:hAnsi="Times New Roman" w:eastAsia="黑体" w:cs="黑体"/>
          <w:b w:val="0"/>
          <w:bCs w:val="0"/>
          <w:color w:val="auto"/>
          <w:sz w:val="32"/>
          <w:szCs w:val="32"/>
          <w:highlight w:val="none"/>
          <w:lang w:val="en-US" w:eastAsia="zh-CN"/>
        </w:rPr>
        <w:br w:type="page"/>
      </w:r>
    </w:p>
    <w:p>
      <w:pPr>
        <w:pStyle w:val="2"/>
        <w:rPr>
          <w:rFonts w:hint="eastAsia"/>
          <w:lang w:val="en-US" w:eastAsia="zh-CN"/>
        </w:rPr>
      </w:pPr>
    </w:p>
    <w:p>
      <w:pPr>
        <w:pageBreakBefore w:val="0"/>
        <w:numPr>
          <w:ilvl w:val="0"/>
          <w:numId w:val="0"/>
        </w:numPr>
        <w:kinsoku/>
        <w:wordWrap/>
        <w:topLinePunct w:val="0"/>
        <w:autoSpaceDE/>
        <w:autoSpaceDN/>
        <w:bidi w:val="0"/>
        <w:adjustRightInd/>
        <w:snapToGrid w:val="0"/>
        <w:spacing w:line="360" w:lineRule="auto"/>
        <w:ind w:left="0" w:leftChars="0"/>
        <w:jc w:val="left"/>
        <w:rPr>
          <w:rFonts w:hint="default" w:ascii="Times New Roman" w:hAnsi="Times New Roman" w:eastAsia="黑体" w:cs="黑体"/>
          <w:b w:val="0"/>
          <w:bCs w:val="0"/>
          <w:color w:val="auto"/>
          <w:sz w:val="32"/>
          <w:szCs w:val="32"/>
          <w:highlight w:val="none"/>
          <w:lang w:val="en-US" w:eastAsia="zh-CN"/>
        </w:rPr>
      </w:pPr>
      <w:r>
        <w:rPr>
          <w:rFonts w:hint="eastAsia" w:ascii="Times New Roman" w:hAnsi="Times New Roman" w:eastAsia="黑体" w:cs="黑体"/>
          <w:b w:val="0"/>
          <w:bCs w:val="0"/>
          <w:color w:val="auto"/>
          <w:sz w:val="32"/>
          <w:szCs w:val="32"/>
          <w:highlight w:val="none"/>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jc w:val="center"/>
        <w:textAlignment w:val="auto"/>
        <w:rPr>
          <w:rFonts w:hint="eastAsia" w:ascii="Times New Roman" w:hAnsi="Times New Roman"/>
          <w:b/>
          <w:bCs/>
          <w:color w:val="auto"/>
          <w:sz w:val="44"/>
          <w:szCs w:val="44"/>
          <w:highlight w:val="none"/>
        </w:rPr>
      </w:pPr>
      <w:r>
        <w:rPr>
          <w:rFonts w:hint="eastAsia" w:ascii="Times New Roman" w:hAnsi="Times New Roman" w:eastAsia="方正小标宋简体" w:cs="方正小标宋简体"/>
          <w:b w:val="0"/>
          <w:bCs w:val="0"/>
          <w:color w:val="auto"/>
          <w:sz w:val="44"/>
          <w:szCs w:val="44"/>
          <w:highlight w:val="none"/>
        </w:rPr>
        <w:t>“技术标打分制的综合评估法”的项目标准</w:t>
      </w:r>
    </w:p>
    <w:p>
      <w:pPr>
        <w:pStyle w:val="2"/>
        <w:pageBreakBefore w:val="0"/>
        <w:kinsoku/>
        <w:wordWrap/>
        <w:topLinePunct w:val="0"/>
        <w:autoSpaceDE/>
        <w:autoSpaceDN/>
        <w:bidi w:val="0"/>
        <w:adjustRightInd/>
        <w:spacing w:after="0"/>
        <w:ind w:left="0" w:leftChars="0"/>
        <w:rPr>
          <w:rFonts w:ascii="Times New Roman" w:hAnsi="Times New Roman"/>
          <w:color w:val="auto"/>
          <w:highlight w:val="none"/>
        </w:rPr>
      </w:pPr>
    </w:p>
    <w:tbl>
      <w:tblPr>
        <w:tblStyle w:val="9"/>
        <w:tblW w:w="93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1"/>
        <w:gridCol w:w="2112"/>
        <w:gridCol w:w="5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491" w:type="dxa"/>
            <w:noWrap w:val="0"/>
            <w:vAlign w:val="center"/>
          </w:tcPr>
          <w:p>
            <w:pPr>
              <w:pageBreakBefore w:val="0"/>
              <w:kinsoku/>
              <w:wordWrap/>
              <w:topLinePunct w:val="0"/>
              <w:autoSpaceDE/>
              <w:autoSpaceDN/>
              <w:bidi w:val="0"/>
              <w:adjustRightInd/>
              <w:snapToGrid w:val="0"/>
              <w:spacing w:line="440" w:lineRule="exact"/>
              <w:ind w:left="0" w:leftChars="0"/>
              <w:jc w:val="center"/>
              <w:rPr>
                <w:rFonts w:ascii="Times New Roman" w:hAnsi="Times New Roman" w:eastAsia="黑体"/>
                <w:color w:val="auto"/>
                <w:highlight w:val="none"/>
              </w:rPr>
            </w:pPr>
            <w:r>
              <w:rPr>
                <w:rFonts w:hint="eastAsia" w:ascii="Times New Roman" w:hAnsi="Times New Roman" w:eastAsia="黑体"/>
                <w:color w:val="auto"/>
                <w:highlight w:val="none"/>
              </w:rPr>
              <w:t>行业</w:t>
            </w:r>
          </w:p>
        </w:tc>
        <w:tc>
          <w:tcPr>
            <w:tcW w:w="2112" w:type="dxa"/>
            <w:noWrap w:val="0"/>
            <w:vAlign w:val="center"/>
          </w:tcPr>
          <w:p>
            <w:pPr>
              <w:pageBreakBefore w:val="0"/>
              <w:kinsoku/>
              <w:wordWrap/>
              <w:topLinePunct w:val="0"/>
              <w:autoSpaceDE/>
              <w:autoSpaceDN/>
              <w:bidi w:val="0"/>
              <w:adjustRightInd/>
              <w:snapToGrid w:val="0"/>
              <w:spacing w:line="440" w:lineRule="exact"/>
              <w:ind w:left="0" w:leftChars="0"/>
              <w:jc w:val="center"/>
              <w:rPr>
                <w:rFonts w:ascii="Times New Roman" w:hAnsi="Times New Roman" w:eastAsia="黑体"/>
                <w:color w:val="auto"/>
                <w:highlight w:val="none"/>
              </w:rPr>
            </w:pPr>
            <w:r>
              <w:rPr>
                <w:rFonts w:hint="eastAsia" w:ascii="Times New Roman" w:hAnsi="Times New Roman" w:eastAsia="黑体"/>
                <w:color w:val="auto"/>
                <w:highlight w:val="none"/>
              </w:rPr>
              <w:t>工程类别</w:t>
            </w:r>
          </w:p>
        </w:tc>
        <w:tc>
          <w:tcPr>
            <w:tcW w:w="5723" w:type="dxa"/>
            <w:noWrap w:val="0"/>
            <w:vAlign w:val="center"/>
          </w:tcPr>
          <w:p>
            <w:pPr>
              <w:pageBreakBefore w:val="0"/>
              <w:kinsoku/>
              <w:wordWrap/>
              <w:topLinePunct w:val="0"/>
              <w:autoSpaceDE/>
              <w:autoSpaceDN/>
              <w:bidi w:val="0"/>
              <w:adjustRightInd/>
              <w:snapToGrid w:val="0"/>
              <w:spacing w:line="440" w:lineRule="exact"/>
              <w:ind w:left="0" w:leftChars="0"/>
              <w:jc w:val="center"/>
              <w:rPr>
                <w:rFonts w:ascii="Times New Roman" w:hAnsi="Times New Roman" w:eastAsia="黑体"/>
                <w:color w:val="auto"/>
                <w:highlight w:val="none"/>
              </w:rPr>
            </w:pPr>
            <w:r>
              <w:rPr>
                <w:rFonts w:hint="eastAsia" w:ascii="Times New Roman" w:hAnsi="Times New Roman" w:eastAsia="黑体"/>
                <w:color w:val="auto"/>
                <w:highlight w:val="none"/>
              </w:rPr>
              <w:t>标段规模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1" w:type="dxa"/>
            <w:vMerge w:val="restart"/>
            <w:noWrap w:val="0"/>
            <w:vAlign w:val="center"/>
          </w:tcPr>
          <w:p>
            <w:pPr>
              <w:pageBreakBefore w:val="0"/>
              <w:kinsoku/>
              <w:wordWrap/>
              <w:topLinePunct w:val="0"/>
              <w:autoSpaceDE/>
              <w:autoSpaceDN/>
              <w:bidi w:val="0"/>
              <w:adjustRightInd/>
              <w:snapToGrid w:val="0"/>
              <w:spacing w:line="440" w:lineRule="exact"/>
              <w:ind w:left="0" w:leftChars="0"/>
              <w:jc w:val="center"/>
              <w:rPr>
                <w:rFonts w:ascii="Times New Roman" w:hAnsi="Times New Roman" w:eastAsia="宋体"/>
                <w:color w:val="auto"/>
                <w:sz w:val="21"/>
                <w:szCs w:val="21"/>
                <w:highlight w:val="none"/>
              </w:rPr>
            </w:pPr>
            <w:r>
              <w:rPr>
                <w:rFonts w:hint="eastAsia" w:ascii="Times New Roman" w:hAnsi="Times New Roman"/>
                <w:color w:val="auto"/>
                <w:sz w:val="21"/>
                <w:szCs w:val="21"/>
                <w:highlight w:val="none"/>
              </w:rPr>
              <w:t>房屋建筑工程</w:t>
            </w: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olor w:val="auto"/>
                <w:sz w:val="21"/>
                <w:szCs w:val="21"/>
                <w:highlight w:val="none"/>
              </w:rPr>
            </w:pPr>
            <w:r>
              <w:rPr>
                <w:rFonts w:hint="eastAsia" w:ascii="Times New Roman" w:hAnsi="Times New Roman" w:cs="宋体"/>
                <w:color w:val="auto"/>
                <w:sz w:val="21"/>
                <w:szCs w:val="21"/>
                <w:highlight w:val="none"/>
                <w:lang w:bidi="ar"/>
              </w:rPr>
              <w:t>一般房屋建筑工程</w:t>
            </w:r>
          </w:p>
        </w:tc>
        <w:tc>
          <w:tcPr>
            <w:tcW w:w="5723" w:type="dxa"/>
            <w:noWrap w:val="0"/>
            <w:vAlign w:val="center"/>
          </w:tcPr>
          <w:p>
            <w:pPr>
              <w:pageBreakBefore w:val="0"/>
              <w:widowControl/>
              <w:kinsoku/>
              <w:wordWrap/>
              <w:topLinePunct w:val="0"/>
              <w:autoSpaceDE/>
              <w:autoSpaceDN/>
              <w:bidi w:val="0"/>
              <w:adjustRightInd/>
              <w:ind w:left="0" w:leftChars="0"/>
              <w:jc w:val="both"/>
              <w:textAlignment w:val="center"/>
              <w:rPr>
                <w:rFonts w:ascii="Times New Roman" w:hAnsi="Times New Roman"/>
                <w:color w:val="auto"/>
                <w:sz w:val="21"/>
                <w:szCs w:val="21"/>
                <w:highlight w:val="none"/>
              </w:rPr>
            </w:pPr>
            <w:r>
              <w:rPr>
                <w:rStyle w:val="11"/>
                <w:rFonts w:hint="default" w:ascii="Times New Roman" w:hAnsi="Times New Roman"/>
                <w:color w:val="auto"/>
                <w:sz w:val="21"/>
                <w:szCs w:val="21"/>
                <w:highlight w:val="none"/>
                <w:lang w:bidi="ar"/>
              </w:rPr>
              <w:t>建筑物层数≥32层，或建筑物高度≥</w:t>
            </w:r>
            <w:r>
              <w:rPr>
                <w:rStyle w:val="12"/>
                <w:rFonts w:hint="default" w:ascii="Times New Roman" w:hAnsi="Times New Roman"/>
                <w:color w:val="auto"/>
                <w:sz w:val="21"/>
                <w:szCs w:val="21"/>
                <w:highlight w:val="none"/>
                <w:lang w:bidi="ar"/>
              </w:rPr>
              <w:t>80米，</w:t>
            </w:r>
            <w:r>
              <w:rPr>
                <w:rStyle w:val="11"/>
                <w:rFonts w:hint="default" w:ascii="Times New Roman" w:hAnsi="Times New Roman"/>
                <w:color w:val="auto"/>
                <w:sz w:val="21"/>
                <w:szCs w:val="21"/>
                <w:highlight w:val="none"/>
                <w:lang w:bidi="ar"/>
              </w:rPr>
              <w:t>或单跨跨度≥</w:t>
            </w:r>
            <w:r>
              <w:rPr>
                <w:rStyle w:val="13"/>
                <w:rFonts w:hint="default" w:ascii="Times New Roman" w:hAnsi="Times New Roman"/>
                <w:color w:val="auto"/>
                <w:sz w:val="21"/>
                <w:szCs w:val="21"/>
                <w:highlight w:val="none"/>
                <w:lang w:bidi="ar"/>
              </w:rPr>
              <w:t>36米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1" w:type="dxa"/>
            <w:vMerge w:val="continue"/>
            <w:noWrap w:val="0"/>
            <w:vAlign w:val="center"/>
          </w:tcPr>
          <w:p>
            <w:pPr>
              <w:pageBreakBefore w:val="0"/>
              <w:kinsoku/>
              <w:wordWrap/>
              <w:topLinePunct w:val="0"/>
              <w:autoSpaceDE/>
              <w:autoSpaceDN/>
              <w:bidi w:val="0"/>
              <w:adjustRightInd/>
              <w:snapToGrid w:val="0"/>
              <w:spacing w:line="440" w:lineRule="exact"/>
              <w:ind w:left="0" w:leftChars="0"/>
              <w:jc w:val="both"/>
              <w:rPr>
                <w:rFonts w:ascii="Times New Roman" w:hAnsi="Times New Roman"/>
                <w:color w:val="auto"/>
                <w:sz w:val="21"/>
                <w:szCs w:val="21"/>
                <w:highlight w:val="none"/>
              </w:rPr>
            </w:pP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olor w:val="auto"/>
                <w:sz w:val="21"/>
                <w:szCs w:val="21"/>
                <w:highlight w:val="none"/>
              </w:rPr>
            </w:pPr>
            <w:r>
              <w:rPr>
                <w:rFonts w:hint="eastAsia" w:ascii="Times New Roman" w:hAnsi="Times New Roman" w:cs="宋体"/>
                <w:color w:val="auto"/>
                <w:sz w:val="21"/>
                <w:szCs w:val="21"/>
                <w:highlight w:val="none"/>
                <w:lang w:bidi="ar"/>
              </w:rPr>
              <w:t>高耸构筑物工程</w:t>
            </w:r>
          </w:p>
        </w:tc>
        <w:tc>
          <w:tcPr>
            <w:tcW w:w="5723" w:type="dxa"/>
            <w:noWrap w:val="0"/>
            <w:vAlign w:val="center"/>
          </w:tcPr>
          <w:p>
            <w:pPr>
              <w:pageBreakBefore w:val="0"/>
              <w:widowControl/>
              <w:kinsoku/>
              <w:wordWrap/>
              <w:topLinePunct w:val="0"/>
              <w:autoSpaceDE/>
              <w:autoSpaceDN/>
              <w:bidi w:val="0"/>
              <w:adjustRightInd/>
              <w:ind w:left="0" w:leftChars="0"/>
              <w:jc w:val="both"/>
              <w:textAlignment w:val="center"/>
              <w:rPr>
                <w:rFonts w:ascii="Times New Roman" w:hAnsi="Times New Roman"/>
                <w:color w:val="auto"/>
                <w:sz w:val="21"/>
                <w:szCs w:val="21"/>
                <w:highlight w:val="none"/>
              </w:rPr>
            </w:pPr>
            <w:r>
              <w:rPr>
                <w:rFonts w:hint="eastAsia" w:ascii="Times New Roman" w:hAnsi="Times New Roman" w:cs="宋体"/>
                <w:color w:val="auto"/>
                <w:sz w:val="21"/>
                <w:szCs w:val="21"/>
                <w:highlight w:val="none"/>
                <w:lang w:bidi="ar"/>
              </w:rPr>
              <w:t>构筑物高度≥</w:t>
            </w:r>
            <w:r>
              <w:rPr>
                <w:rFonts w:ascii="Times New Roman" w:hAnsi="Times New Roman" w:cs="宋体"/>
                <w:color w:val="auto"/>
                <w:sz w:val="21"/>
                <w:szCs w:val="21"/>
                <w:highlight w:val="none"/>
                <w:lang w:bidi="ar"/>
              </w:rPr>
              <w:t>100米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1" w:type="dxa"/>
            <w:vMerge w:val="continue"/>
            <w:noWrap w:val="0"/>
            <w:vAlign w:val="center"/>
          </w:tcPr>
          <w:p>
            <w:pPr>
              <w:pageBreakBefore w:val="0"/>
              <w:kinsoku/>
              <w:wordWrap/>
              <w:topLinePunct w:val="0"/>
              <w:autoSpaceDE/>
              <w:autoSpaceDN/>
              <w:bidi w:val="0"/>
              <w:adjustRightInd/>
              <w:snapToGrid w:val="0"/>
              <w:spacing w:line="440" w:lineRule="exact"/>
              <w:ind w:left="0" w:leftChars="0"/>
              <w:jc w:val="both"/>
              <w:rPr>
                <w:rFonts w:ascii="Times New Roman" w:hAnsi="Times New Roman"/>
                <w:color w:val="auto"/>
                <w:sz w:val="21"/>
                <w:szCs w:val="21"/>
                <w:highlight w:val="none"/>
              </w:rPr>
            </w:pP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olor w:val="auto"/>
                <w:sz w:val="21"/>
                <w:szCs w:val="21"/>
                <w:highlight w:val="none"/>
              </w:rPr>
            </w:pPr>
            <w:r>
              <w:rPr>
                <w:rFonts w:hint="eastAsia" w:ascii="Times New Roman" w:hAnsi="Times New Roman" w:cs="宋体"/>
                <w:color w:val="auto"/>
                <w:sz w:val="21"/>
                <w:szCs w:val="21"/>
                <w:highlight w:val="none"/>
                <w:lang w:bidi="ar"/>
              </w:rPr>
              <w:t>地基与基础工程</w:t>
            </w:r>
          </w:p>
        </w:tc>
        <w:tc>
          <w:tcPr>
            <w:tcW w:w="5723" w:type="dxa"/>
            <w:noWrap w:val="0"/>
            <w:vAlign w:val="center"/>
          </w:tcPr>
          <w:p>
            <w:pPr>
              <w:pageBreakBefore w:val="0"/>
              <w:widowControl/>
              <w:kinsoku/>
              <w:wordWrap/>
              <w:topLinePunct w:val="0"/>
              <w:autoSpaceDE/>
              <w:autoSpaceDN/>
              <w:bidi w:val="0"/>
              <w:adjustRightInd/>
              <w:ind w:left="0" w:leftChars="0"/>
              <w:jc w:val="both"/>
              <w:textAlignment w:val="center"/>
              <w:rPr>
                <w:rFonts w:ascii="Times New Roman" w:hAnsi="Times New Roman"/>
                <w:color w:val="auto"/>
                <w:sz w:val="21"/>
                <w:szCs w:val="21"/>
                <w:highlight w:val="none"/>
              </w:rPr>
            </w:pPr>
            <w:r>
              <w:rPr>
                <w:rFonts w:hint="eastAsia" w:ascii="Times New Roman" w:hAnsi="Times New Roman" w:cs="宋体"/>
                <w:color w:val="auto"/>
                <w:sz w:val="21"/>
                <w:szCs w:val="21"/>
                <w:highlight w:val="none"/>
                <w:lang w:bidi="ar"/>
              </w:rPr>
              <w:t>基坑深度≥</w:t>
            </w:r>
            <w:r>
              <w:rPr>
                <w:rFonts w:ascii="Times New Roman" w:hAnsi="Times New Roman" w:cs="宋体"/>
                <w:color w:val="auto"/>
                <w:sz w:val="21"/>
                <w:szCs w:val="21"/>
                <w:highlight w:val="none"/>
                <w:lang w:bidi="ar"/>
              </w:rPr>
              <w:t>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1" w:type="dxa"/>
            <w:vMerge w:val="continue"/>
            <w:noWrap w:val="0"/>
            <w:vAlign w:val="center"/>
          </w:tcPr>
          <w:p>
            <w:pPr>
              <w:pageBreakBefore w:val="0"/>
              <w:kinsoku/>
              <w:wordWrap/>
              <w:topLinePunct w:val="0"/>
              <w:autoSpaceDE/>
              <w:autoSpaceDN/>
              <w:bidi w:val="0"/>
              <w:adjustRightInd/>
              <w:snapToGrid w:val="0"/>
              <w:spacing w:line="440" w:lineRule="exact"/>
              <w:ind w:left="0" w:leftChars="0"/>
              <w:jc w:val="both"/>
              <w:rPr>
                <w:rFonts w:ascii="Times New Roman" w:hAnsi="Times New Roman"/>
                <w:color w:val="auto"/>
                <w:sz w:val="21"/>
                <w:szCs w:val="21"/>
                <w:highlight w:val="none"/>
              </w:rPr>
            </w:pP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olor w:val="auto"/>
                <w:sz w:val="21"/>
                <w:szCs w:val="21"/>
                <w:highlight w:val="none"/>
              </w:rPr>
            </w:pPr>
            <w:r>
              <w:rPr>
                <w:rFonts w:hint="eastAsia" w:ascii="Times New Roman" w:hAnsi="Times New Roman" w:cs="宋体"/>
                <w:color w:val="auto"/>
                <w:sz w:val="21"/>
                <w:szCs w:val="21"/>
                <w:highlight w:val="none"/>
                <w:lang w:bidi="ar"/>
              </w:rPr>
              <w:t>钢结构工程</w:t>
            </w:r>
          </w:p>
        </w:tc>
        <w:tc>
          <w:tcPr>
            <w:tcW w:w="5723" w:type="dxa"/>
            <w:noWrap w:val="0"/>
            <w:vAlign w:val="center"/>
          </w:tcPr>
          <w:p>
            <w:pPr>
              <w:pageBreakBefore w:val="0"/>
              <w:widowControl/>
              <w:kinsoku/>
              <w:wordWrap/>
              <w:topLinePunct w:val="0"/>
              <w:autoSpaceDE/>
              <w:autoSpaceDN/>
              <w:bidi w:val="0"/>
              <w:adjustRightInd/>
              <w:ind w:left="0" w:leftChars="0"/>
              <w:jc w:val="both"/>
              <w:textAlignment w:val="center"/>
              <w:rPr>
                <w:rFonts w:ascii="Times New Roman" w:hAnsi="Times New Roman"/>
                <w:color w:val="auto"/>
                <w:sz w:val="21"/>
                <w:szCs w:val="21"/>
                <w:highlight w:val="none"/>
              </w:rPr>
            </w:pPr>
            <w:r>
              <w:rPr>
                <w:rFonts w:hint="eastAsia" w:ascii="Times New Roman" w:hAnsi="Times New Roman" w:cs="宋体"/>
                <w:color w:val="auto"/>
                <w:sz w:val="21"/>
                <w:szCs w:val="21"/>
                <w:highlight w:val="none"/>
                <w:lang w:bidi="ar"/>
              </w:rPr>
              <w:t>钢结构：跨度≥</w:t>
            </w:r>
            <w:r>
              <w:rPr>
                <w:rFonts w:ascii="Times New Roman" w:hAnsi="Times New Roman" w:cs="宋体"/>
                <w:color w:val="auto"/>
                <w:sz w:val="21"/>
                <w:szCs w:val="21"/>
                <w:highlight w:val="none"/>
                <w:lang w:bidi="ar"/>
              </w:rPr>
              <w:t>36米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1" w:type="dxa"/>
            <w:vMerge w:val="continue"/>
            <w:noWrap w:val="0"/>
            <w:vAlign w:val="center"/>
          </w:tcPr>
          <w:p>
            <w:pPr>
              <w:pageBreakBefore w:val="0"/>
              <w:kinsoku/>
              <w:wordWrap/>
              <w:topLinePunct w:val="0"/>
              <w:autoSpaceDE/>
              <w:autoSpaceDN/>
              <w:bidi w:val="0"/>
              <w:adjustRightInd/>
              <w:snapToGrid w:val="0"/>
              <w:spacing w:line="440" w:lineRule="exact"/>
              <w:ind w:left="0" w:leftChars="0"/>
              <w:jc w:val="both"/>
              <w:rPr>
                <w:rFonts w:ascii="Times New Roman" w:hAnsi="Times New Roman"/>
                <w:color w:val="auto"/>
                <w:sz w:val="21"/>
                <w:szCs w:val="21"/>
                <w:highlight w:val="none"/>
              </w:rPr>
            </w:pP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olor w:val="auto"/>
                <w:sz w:val="21"/>
                <w:szCs w:val="21"/>
                <w:highlight w:val="none"/>
              </w:rPr>
            </w:pPr>
            <w:r>
              <w:rPr>
                <w:rFonts w:hint="eastAsia" w:ascii="Times New Roman" w:hAnsi="Times New Roman" w:cs="宋体"/>
                <w:color w:val="auto"/>
                <w:sz w:val="21"/>
                <w:szCs w:val="21"/>
                <w:highlight w:val="none"/>
                <w:lang w:bidi="ar"/>
              </w:rPr>
              <w:t>室外附属工程</w:t>
            </w:r>
          </w:p>
        </w:tc>
        <w:tc>
          <w:tcPr>
            <w:tcW w:w="5723" w:type="dxa"/>
            <w:noWrap w:val="0"/>
            <w:vAlign w:val="center"/>
          </w:tcPr>
          <w:p>
            <w:pPr>
              <w:pageBreakBefore w:val="0"/>
              <w:widowControl/>
              <w:kinsoku/>
              <w:wordWrap/>
              <w:topLinePunct w:val="0"/>
              <w:autoSpaceDE/>
              <w:autoSpaceDN/>
              <w:bidi w:val="0"/>
              <w:adjustRightInd/>
              <w:ind w:left="0" w:leftChars="0"/>
              <w:jc w:val="both"/>
              <w:textAlignment w:val="center"/>
              <w:rPr>
                <w:rFonts w:hint="eastAsia" w:ascii="Times New Roman" w:hAnsi="Times New Roman" w:eastAsia="宋体"/>
                <w:color w:val="auto"/>
                <w:sz w:val="21"/>
                <w:szCs w:val="21"/>
                <w:highlight w:val="none"/>
                <w:lang w:eastAsia="zh-CN"/>
              </w:rPr>
            </w:pPr>
            <w:r>
              <w:rPr>
                <w:rFonts w:hint="eastAsia" w:ascii="Times New Roman" w:hAnsi="Times New Roman" w:cs="宋体"/>
                <w:color w:val="auto"/>
                <w:sz w:val="21"/>
                <w:szCs w:val="21"/>
                <w:highlight w:val="none"/>
                <w:lang w:bidi="ar"/>
              </w:rPr>
              <w:t>新建项目单体工程建筑面积≥</w:t>
            </w:r>
            <w:r>
              <w:rPr>
                <w:rFonts w:ascii="Times New Roman" w:hAnsi="Times New Roman" w:cs="宋体"/>
                <w:color w:val="auto"/>
                <w:sz w:val="21"/>
                <w:szCs w:val="21"/>
                <w:highlight w:val="none"/>
                <w:lang w:bidi="ar"/>
              </w:rPr>
              <w:t>3.2万平方米的室外附属工程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1" w:type="dxa"/>
            <w:vMerge w:val="continue"/>
            <w:noWrap w:val="0"/>
            <w:vAlign w:val="center"/>
          </w:tcPr>
          <w:p>
            <w:pPr>
              <w:pageBreakBefore w:val="0"/>
              <w:kinsoku/>
              <w:wordWrap/>
              <w:topLinePunct w:val="0"/>
              <w:autoSpaceDE/>
              <w:autoSpaceDN/>
              <w:bidi w:val="0"/>
              <w:adjustRightInd/>
              <w:snapToGrid w:val="0"/>
              <w:spacing w:line="440" w:lineRule="exact"/>
              <w:ind w:left="0" w:leftChars="0"/>
              <w:jc w:val="both"/>
              <w:rPr>
                <w:rFonts w:ascii="Times New Roman" w:hAnsi="Times New Roman"/>
                <w:color w:val="auto"/>
                <w:sz w:val="21"/>
                <w:szCs w:val="21"/>
                <w:highlight w:val="none"/>
              </w:rPr>
            </w:pP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olor w:val="auto"/>
                <w:sz w:val="21"/>
                <w:szCs w:val="21"/>
                <w:highlight w:val="none"/>
                <w:u w:val="none"/>
              </w:rPr>
            </w:pPr>
            <w:r>
              <w:rPr>
                <w:rFonts w:hint="eastAsia" w:ascii="Times New Roman" w:hAnsi="Times New Roman" w:cs="宋体"/>
                <w:color w:val="auto"/>
                <w:sz w:val="21"/>
                <w:szCs w:val="21"/>
                <w:highlight w:val="none"/>
                <w:u w:val="none"/>
                <w:lang w:bidi="ar"/>
              </w:rPr>
              <w:t>装配式建筑工程</w:t>
            </w:r>
          </w:p>
        </w:tc>
        <w:tc>
          <w:tcPr>
            <w:tcW w:w="5723" w:type="dxa"/>
            <w:noWrap w:val="0"/>
            <w:vAlign w:val="center"/>
          </w:tcPr>
          <w:p>
            <w:pPr>
              <w:pageBreakBefore w:val="0"/>
              <w:widowControl/>
              <w:kinsoku/>
              <w:wordWrap/>
              <w:topLinePunct w:val="0"/>
              <w:autoSpaceDE/>
              <w:autoSpaceDN/>
              <w:bidi w:val="0"/>
              <w:adjustRightInd/>
              <w:ind w:left="0" w:leftChars="0"/>
              <w:jc w:val="both"/>
              <w:textAlignment w:val="center"/>
              <w:rPr>
                <w:rFonts w:hint="eastAsia" w:ascii="Times New Roman" w:hAnsi="Times New Roman" w:eastAsia="宋体"/>
                <w:color w:val="auto"/>
                <w:sz w:val="21"/>
                <w:szCs w:val="21"/>
                <w:highlight w:val="none"/>
                <w:u w:val="none"/>
                <w:lang w:eastAsia="zh-CN"/>
              </w:rPr>
            </w:pPr>
            <w:r>
              <w:rPr>
                <w:rFonts w:hint="eastAsia" w:ascii="Times New Roman" w:hAnsi="Times New Roman"/>
                <w:color w:val="auto"/>
                <w:sz w:val="21"/>
                <w:szCs w:val="21"/>
                <w:highlight w:val="none"/>
                <w:u w:val="none"/>
                <w:lang w:val="en-US" w:eastAsia="zh-CN"/>
              </w:rPr>
              <w:t>建筑</w:t>
            </w:r>
            <w:r>
              <w:rPr>
                <w:rFonts w:hint="eastAsia" w:ascii="Times New Roman" w:hAnsi="Times New Roman" w:eastAsia="宋体"/>
                <w:color w:val="auto"/>
                <w:sz w:val="21"/>
                <w:szCs w:val="21"/>
                <w:highlight w:val="none"/>
                <w:u w:val="none"/>
                <w:lang w:eastAsia="zh-CN"/>
              </w:rPr>
              <w:t>面积4万m2以上的装配式建筑项目；或根据《装配式建筑评价标准》（DB33/T 1165-2019）评价为A级及以上的装配式建筑项目；或符合《近零能耗建筑技术标准》（GB/T 51350-2019）要求的超低能耗建筑、近零能耗建筑、零能耗建筑的装配式建筑项目。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1" w:type="dxa"/>
            <w:vMerge w:val="continue"/>
            <w:noWrap w:val="0"/>
            <w:vAlign w:val="center"/>
          </w:tcPr>
          <w:p>
            <w:pPr>
              <w:pageBreakBefore w:val="0"/>
              <w:kinsoku/>
              <w:wordWrap/>
              <w:topLinePunct w:val="0"/>
              <w:autoSpaceDE/>
              <w:autoSpaceDN/>
              <w:bidi w:val="0"/>
              <w:adjustRightInd/>
              <w:snapToGrid w:val="0"/>
              <w:spacing w:line="440" w:lineRule="exact"/>
              <w:ind w:left="0" w:leftChars="0"/>
              <w:jc w:val="both"/>
              <w:rPr>
                <w:rFonts w:ascii="Times New Roman" w:hAnsi="Times New Roman"/>
                <w:color w:val="auto"/>
                <w:sz w:val="21"/>
                <w:szCs w:val="21"/>
                <w:highlight w:val="none"/>
              </w:rPr>
            </w:pP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olor w:val="auto"/>
                <w:sz w:val="21"/>
                <w:szCs w:val="21"/>
                <w:highlight w:val="none"/>
              </w:rPr>
            </w:pPr>
            <w:r>
              <w:rPr>
                <w:rFonts w:hint="eastAsia" w:ascii="Times New Roman" w:hAnsi="Times New Roman" w:cs="宋体"/>
                <w:color w:val="auto"/>
                <w:sz w:val="21"/>
                <w:szCs w:val="21"/>
                <w:highlight w:val="none"/>
                <w:lang w:bidi="ar"/>
              </w:rPr>
              <w:t>古建筑、保护性建筑修缮工程</w:t>
            </w:r>
          </w:p>
        </w:tc>
        <w:tc>
          <w:tcPr>
            <w:tcW w:w="5723" w:type="dxa"/>
            <w:noWrap w:val="0"/>
            <w:vAlign w:val="center"/>
          </w:tcPr>
          <w:p>
            <w:pPr>
              <w:pageBreakBefore w:val="0"/>
              <w:widowControl/>
              <w:kinsoku/>
              <w:wordWrap/>
              <w:topLinePunct w:val="0"/>
              <w:autoSpaceDE/>
              <w:autoSpaceDN/>
              <w:bidi w:val="0"/>
              <w:adjustRightInd/>
              <w:ind w:left="0" w:leftChars="0"/>
              <w:jc w:val="both"/>
              <w:textAlignment w:val="center"/>
              <w:rPr>
                <w:rFonts w:ascii="Times New Roman" w:hAnsi="Times New Roman"/>
                <w:color w:val="auto"/>
                <w:sz w:val="21"/>
                <w:szCs w:val="21"/>
                <w:highlight w:val="none"/>
              </w:rPr>
            </w:pPr>
            <w:r>
              <w:rPr>
                <w:rFonts w:hint="eastAsia" w:ascii="Times New Roman" w:hAnsi="Times New Roman" w:cs="宋体"/>
                <w:color w:val="auto"/>
                <w:sz w:val="21"/>
                <w:szCs w:val="21"/>
                <w:highlight w:val="none"/>
                <w:lang w:bidi="ar"/>
              </w:rPr>
              <w:t>古建筑、保护性建筑修缮工程：修缮建筑面积≥</w:t>
            </w:r>
            <w:r>
              <w:rPr>
                <w:rFonts w:ascii="Times New Roman" w:hAnsi="Times New Roman" w:cs="宋体"/>
                <w:color w:val="auto"/>
                <w:sz w:val="21"/>
                <w:szCs w:val="21"/>
                <w:highlight w:val="none"/>
                <w:lang w:bidi="ar"/>
              </w:rPr>
              <w:t>400平方米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1" w:type="dxa"/>
            <w:vMerge w:val="continue"/>
            <w:noWrap w:val="0"/>
            <w:vAlign w:val="center"/>
          </w:tcPr>
          <w:p>
            <w:pPr>
              <w:pageBreakBefore w:val="0"/>
              <w:kinsoku/>
              <w:wordWrap/>
              <w:topLinePunct w:val="0"/>
              <w:autoSpaceDE/>
              <w:autoSpaceDN/>
              <w:bidi w:val="0"/>
              <w:adjustRightInd/>
              <w:snapToGrid w:val="0"/>
              <w:spacing w:line="440" w:lineRule="exact"/>
              <w:ind w:left="0" w:leftChars="0"/>
              <w:jc w:val="both"/>
              <w:rPr>
                <w:rFonts w:ascii="Times New Roman" w:hAnsi="Times New Roman"/>
                <w:color w:val="auto"/>
                <w:sz w:val="21"/>
                <w:szCs w:val="21"/>
                <w:highlight w:val="none"/>
              </w:rPr>
            </w:pP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olor w:val="auto"/>
                <w:sz w:val="21"/>
                <w:szCs w:val="21"/>
                <w:highlight w:val="none"/>
              </w:rPr>
            </w:pPr>
            <w:r>
              <w:rPr>
                <w:rFonts w:hint="eastAsia" w:ascii="Times New Roman" w:hAnsi="Times New Roman" w:cs="宋体"/>
                <w:color w:val="auto"/>
                <w:sz w:val="21"/>
                <w:szCs w:val="21"/>
                <w:highlight w:val="none"/>
                <w:lang w:bidi="ar"/>
              </w:rPr>
              <w:t>其他房屋建筑工程</w:t>
            </w:r>
          </w:p>
        </w:tc>
        <w:tc>
          <w:tcPr>
            <w:tcW w:w="5723" w:type="dxa"/>
            <w:noWrap w:val="0"/>
            <w:vAlign w:val="center"/>
          </w:tcPr>
          <w:p>
            <w:pPr>
              <w:pageBreakBefore w:val="0"/>
              <w:widowControl/>
              <w:kinsoku/>
              <w:wordWrap/>
              <w:topLinePunct w:val="0"/>
              <w:autoSpaceDE/>
              <w:autoSpaceDN/>
              <w:bidi w:val="0"/>
              <w:adjustRightInd/>
              <w:ind w:left="0" w:leftChars="0"/>
              <w:jc w:val="both"/>
              <w:textAlignment w:val="center"/>
              <w:rPr>
                <w:rFonts w:hint="eastAsia" w:ascii="Times New Roman" w:hAnsi="Times New Roman" w:eastAsia="宋体"/>
                <w:color w:val="auto"/>
                <w:sz w:val="21"/>
                <w:szCs w:val="21"/>
                <w:highlight w:val="none"/>
                <w:lang w:eastAsia="zh-CN"/>
              </w:rPr>
            </w:pPr>
            <w:r>
              <w:rPr>
                <w:rFonts w:hint="eastAsia" w:ascii="Times New Roman" w:hAnsi="Times New Roman" w:cs="宋体"/>
                <w:color w:val="auto"/>
                <w:sz w:val="21"/>
                <w:szCs w:val="21"/>
                <w:highlight w:val="none"/>
                <w:u w:val="none"/>
                <w:lang w:bidi="ar"/>
              </w:rPr>
              <w:t>涉及地铁保护、名胜古迹保护的房屋建筑工程（以相关部门批复为准）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1" w:type="dxa"/>
            <w:vMerge w:val="restart"/>
            <w:noWrap w:val="0"/>
            <w:vAlign w:val="center"/>
          </w:tcPr>
          <w:p>
            <w:pPr>
              <w:pageBreakBefore w:val="0"/>
              <w:kinsoku/>
              <w:wordWrap/>
              <w:topLinePunct w:val="0"/>
              <w:autoSpaceDE/>
              <w:autoSpaceDN/>
              <w:bidi w:val="0"/>
              <w:adjustRightInd/>
              <w:snapToGrid w:val="0"/>
              <w:spacing w:line="440" w:lineRule="exact"/>
              <w:ind w:left="0" w:leftChars="0"/>
              <w:jc w:val="center"/>
              <w:rPr>
                <w:rFonts w:ascii="Times New Roman" w:hAnsi="Times New Roman" w:eastAsia="宋体"/>
                <w:color w:val="auto"/>
                <w:sz w:val="21"/>
                <w:szCs w:val="21"/>
                <w:highlight w:val="none"/>
              </w:rPr>
            </w:pPr>
            <w:r>
              <w:rPr>
                <w:rFonts w:hint="eastAsia" w:ascii="Times New Roman" w:hAnsi="Times New Roman"/>
                <w:color w:val="auto"/>
                <w:sz w:val="21"/>
                <w:szCs w:val="21"/>
                <w:highlight w:val="none"/>
              </w:rPr>
              <w:t>市政公用工程</w:t>
            </w: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城市道路</w:t>
            </w:r>
          </w:p>
        </w:tc>
        <w:tc>
          <w:tcPr>
            <w:tcW w:w="5723" w:type="dxa"/>
            <w:noWrap w:val="0"/>
            <w:vAlign w:val="center"/>
          </w:tcPr>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城市快速路、主干道路≥</w:t>
            </w:r>
            <w:r>
              <w:rPr>
                <w:rFonts w:ascii="Times New Roman" w:hAnsi="Times New Roman" w:cs="宋体"/>
                <w:color w:val="auto"/>
                <w:sz w:val="21"/>
                <w:szCs w:val="21"/>
                <w:highlight w:val="none"/>
                <w:lang w:bidi="ar"/>
              </w:rPr>
              <w:t>8千米；或城市快速路、主干道路面积≥12万平方米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1" w:type="dxa"/>
            <w:vMerge w:val="continue"/>
            <w:noWrap w:val="0"/>
            <w:vAlign w:val="center"/>
          </w:tcPr>
          <w:p>
            <w:pPr>
              <w:pageBreakBefore w:val="0"/>
              <w:kinsoku/>
              <w:wordWrap/>
              <w:topLinePunct w:val="0"/>
              <w:autoSpaceDE/>
              <w:autoSpaceDN/>
              <w:bidi w:val="0"/>
              <w:adjustRightInd/>
              <w:snapToGrid w:val="0"/>
              <w:spacing w:line="440" w:lineRule="exact"/>
              <w:ind w:left="0" w:leftChars="0"/>
              <w:jc w:val="center"/>
              <w:rPr>
                <w:rFonts w:ascii="Times New Roman" w:hAnsi="Times New Roman"/>
                <w:color w:val="auto"/>
                <w:sz w:val="21"/>
                <w:szCs w:val="21"/>
                <w:highlight w:val="none"/>
              </w:rPr>
            </w:pP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城市公共广场</w:t>
            </w:r>
          </w:p>
          <w:p>
            <w:pPr>
              <w:pageBreakBefore w:val="0"/>
              <w:widowControl/>
              <w:kinsoku/>
              <w:wordWrap/>
              <w:topLinePunct w:val="0"/>
              <w:autoSpaceDE/>
              <w:autoSpaceDN/>
              <w:bidi w:val="0"/>
              <w:adjustRightInd/>
              <w:ind w:left="0" w:leftChars="0"/>
              <w:jc w:val="center"/>
              <w:textAlignment w:val="center"/>
              <w:rPr>
                <w:rFonts w:ascii="Times New Roman" w:hAnsi="Times New Roman" w:cs="宋体"/>
                <w:color w:val="auto"/>
                <w:sz w:val="21"/>
                <w:szCs w:val="21"/>
                <w:highlight w:val="none"/>
                <w:lang w:bidi="ar"/>
              </w:rPr>
            </w:pPr>
            <w:r>
              <w:rPr>
                <w:rFonts w:ascii="Times New Roman" w:hAnsi="Times New Roman" w:cs="宋体"/>
                <w:color w:val="auto"/>
                <w:sz w:val="21"/>
                <w:szCs w:val="21"/>
                <w:highlight w:val="none"/>
                <w:lang w:bidi="ar"/>
              </w:rPr>
              <w:t>(</w:t>
            </w:r>
            <w:r>
              <w:rPr>
                <w:rFonts w:hint="eastAsia" w:ascii="Times New Roman" w:hAnsi="Times New Roman" w:cs="宋体"/>
                <w:color w:val="auto"/>
                <w:sz w:val="21"/>
                <w:szCs w:val="21"/>
                <w:highlight w:val="none"/>
                <w:lang w:bidi="ar"/>
              </w:rPr>
              <w:t>含体育场</w:t>
            </w:r>
            <w:r>
              <w:rPr>
                <w:rFonts w:ascii="Times New Roman" w:hAnsi="Times New Roman" w:cs="宋体"/>
                <w:color w:val="auto"/>
                <w:sz w:val="21"/>
                <w:szCs w:val="21"/>
                <w:highlight w:val="none"/>
                <w:lang w:bidi="ar"/>
              </w:rPr>
              <w:t>)</w:t>
            </w:r>
          </w:p>
        </w:tc>
        <w:tc>
          <w:tcPr>
            <w:tcW w:w="5723" w:type="dxa"/>
            <w:noWrap w:val="0"/>
            <w:vAlign w:val="center"/>
          </w:tcPr>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广场面积≥</w:t>
            </w:r>
            <w:r>
              <w:rPr>
                <w:rFonts w:ascii="Times New Roman" w:hAnsi="Times New Roman" w:cs="宋体"/>
                <w:color w:val="auto"/>
                <w:sz w:val="21"/>
                <w:szCs w:val="21"/>
                <w:highlight w:val="none"/>
                <w:lang w:bidi="ar"/>
              </w:rPr>
              <w:t>8万平方米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1" w:type="dxa"/>
            <w:vMerge w:val="continue"/>
            <w:noWrap w:val="0"/>
            <w:vAlign w:val="center"/>
          </w:tcPr>
          <w:p>
            <w:pPr>
              <w:pageBreakBefore w:val="0"/>
              <w:kinsoku/>
              <w:wordWrap/>
              <w:topLinePunct w:val="0"/>
              <w:autoSpaceDE/>
              <w:autoSpaceDN/>
              <w:bidi w:val="0"/>
              <w:adjustRightInd/>
              <w:snapToGrid w:val="0"/>
              <w:spacing w:line="440" w:lineRule="exact"/>
              <w:ind w:left="0" w:leftChars="0"/>
              <w:jc w:val="center"/>
              <w:rPr>
                <w:rFonts w:ascii="Times New Roman" w:hAnsi="Times New Roman"/>
                <w:color w:val="auto"/>
                <w:sz w:val="21"/>
                <w:szCs w:val="21"/>
                <w:highlight w:val="none"/>
              </w:rPr>
            </w:pP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桥梁工程</w:t>
            </w:r>
          </w:p>
        </w:tc>
        <w:tc>
          <w:tcPr>
            <w:tcW w:w="5723" w:type="dxa"/>
            <w:noWrap w:val="0"/>
            <w:vAlign w:val="center"/>
          </w:tcPr>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单跨跨度≥</w:t>
            </w:r>
            <w:r>
              <w:rPr>
                <w:rFonts w:ascii="Times New Roman" w:hAnsi="Times New Roman" w:cs="宋体"/>
                <w:color w:val="auto"/>
                <w:sz w:val="21"/>
                <w:szCs w:val="21"/>
                <w:highlight w:val="none"/>
                <w:lang w:bidi="ar"/>
              </w:rPr>
              <w:t>64米；或墩高≥40米的桥梁；或铺装面积≥8000平方米的装配式桥梁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1" w:type="dxa"/>
            <w:vMerge w:val="continue"/>
            <w:noWrap w:val="0"/>
            <w:vAlign w:val="center"/>
          </w:tcPr>
          <w:p>
            <w:pPr>
              <w:pageBreakBefore w:val="0"/>
              <w:kinsoku/>
              <w:wordWrap/>
              <w:topLinePunct w:val="0"/>
              <w:autoSpaceDE/>
              <w:autoSpaceDN/>
              <w:bidi w:val="0"/>
              <w:adjustRightInd/>
              <w:snapToGrid w:val="0"/>
              <w:spacing w:line="440" w:lineRule="exact"/>
              <w:ind w:left="0" w:leftChars="0"/>
              <w:jc w:val="center"/>
              <w:rPr>
                <w:rFonts w:ascii="Times New Roman" w:hAnsi="Times New Roman"/>
                <w:color w:val="auto"/>
                <w:sz w:val="21"/>
                <w:szCs w:val="21"/>
                <w:highlight w:val="none"/>
              </w:rPr>
            </w:pP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地下交通</w:t>
            </w:r>
          </w:p>
        </w:tc>
        <w:tc>
          <w:tcPr>
            <w:tcW w:w="5723" w:type="dxa"/>
            <w:noWrap w:val="0"/>
            <w:vAlign w:val="center"/>
          </w:tcPr>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隧道工程：内径≥</w:t>
            </w:r>
            <w:r>
              <w:rPr>
                <w:rFonts w:ascii="Times New Roman" w:hAnsi="Times New Roman" w:cs="宋体"/>
                <w:color w:val="auto"/>
                <w:sz w:val="21"/>
                <w:szCs w:val="21"/>
                <w:highlight w:val="none"/>
                <w:lang w:bidi="ar"/>
              </w:rPr>
              <w:t>6米，或单洞洞长≥1600米，或单洞断面面积≥40平方米</w:t>
            </w:r>
          </w:p>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车站工程：基坑深度≥</w:t>
            </w:r>
            <w:r>
              <w:rPr>
                <w:rFonts w:ascii="Times New Roman" w:hAnsi="Times New Roman" w:cs="宋体"/>
                <w:color w:val="auto"/>
                <w:sz w:val="21"/>
                <w:szCs w:val="21"/>
                <w:highlight w:val="none"/>
                <w:lang w:bidi="ar"/>
              </w:rPr>
              <w:t>8米</w:t>
            </w:r>
          </w:p>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深基坑工程：基坑深度≥</w:t>
            </w:r>
            <w:r>
              <w:rPr>
                <w:rFonts w:ascii="Times New Roman" w:hAnsi="Times New Roman" w:cs="宋体"/>
                <w:color w:val="auto"/>
                <w:sz w:val="21"/>
                <w:szCs w:val="21"/>
                <w:highlight w:val="none"/>
                <w:lang w:bidi="ar"/>
              </w:rPr>
              <w:t>8米</w:t>
            </w:r>
          </w:p>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临近既有线路</w:t>
            </w:r>
            <w:r>
              <w:rPr>
                <w:rFonts w:ascii="Times New Roman" w:hAnsi="Times New Roman" w:cs="宋体"/>
                <w:color w:val="auto"/>
                <w:sz w:val="21"/>
                <w:szCs w:val="21"/>
                <w:highlight w:val="none"/>
                <w:lang w:bidi="ar"/>
              </w:rPr>
              <w:t>30m范围内的基坑工程、地基处理工程、隧道工程等：基坑与轨道交通结构外边线的净距≤30米的旁侧基坑工程；</w:t>
            </w:r>
          </w:p>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基坑深度≥</w:t>
            </w:r>
            <w:r>
              <w:rPr>
                <w:rFonts w:ascii="Times New Roman" w:hAnsi="Times New Roman" w:cs="宋体"/>
                <w:color w:val="auto"/>
                <w:sz w:val="21"/>
                <w:szCs w:val="21"/>
                <w:highlight w:val="none"/>
                <w:lang w:bidi="ar"/>
              </w:rPr>
              <w:t>2米的轨道交通上方基坑工程；</w:t>
            </w:r>
          </w:p>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涉轨道交通的穿越工程（桥涵、隧道、地下管线工程）；</w:t>
            </w:r>
          </w:p>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净距≤</w:t>
            </w:r>
            <w:r>
              <w:rPr>
                <w:rFonts w:ascii="Times New Roman" w:hAnsi="Times New Roman" w:cs="宋体"/>
                <w:color w:val="auto"/>
                <w:sz w:val="21"/>
                <w:szCs w:val="21"/>
                <w:highlight w:val="none"/>
                <w:lang w:bidi="ar"/>
              </w:rPr>
              <w:t>30米的涉轨道交通的并行工程（桥涵、隧道、地下管线工程）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1" w:type="dxa"/>
            <w:vMerge w:val="continue"/>
            <w:noWrap w:val="0"/>
            <w:vAlign w:val="center"/>
          </w:tcPr>
          <w:p>
            <w:pPr>
              <w:pageBreakBefore w:val="0"/>
              <w:kinsoku/>
              <w:wordWrap/>
              <w:topLinePunct w:val="0"/>
              <w:autoSpaceDE/>
              <w:autoSpaceDN/>
              <w:bidi w:val="0"/>
              <w:adjustRightInd/>
              <w:snapToGrid w:val="0"/>
              <w:spacing w:line="440" w:lineRule="exact"/>
              <w:ind w:left="0" w:leftChars="0"/>
              <w:jc w:val="center"/>
              <w:rPr>
                <w:rFonts w:ascii="Times New Roman" w:hAnsi="Times New Roman"/>
                <w:color w:val="auto"/>
                <w:sz w:val="21"/>
                <w:szCs w:val="21"/>
                <w:highlight w:val="none"/>
              </w:rPr>
            </w:pP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其他地下工程</w:t>
            </w:r>
          </w:p>
        </w:tc>
        <w:tc>
          <w:tcPr>
            <w:tcW w:w="5723" w:type="dxa"/>
            <w:noWrap w:val="0"/>
            <w:vAlign w:val="center"/>
          </w:tcPr>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城市综合管廊工程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491" w:type="dxa"/>
            <w:vMerge w:val="continue"/>
            <w:noWrap w:val="0"/>
            <w:vAlign w:val="center"/>
          </w:tcPr>
          <w:p>
            <w:pPr>
              <w:pageBreakBefore w:val="0"/>
              <w:kinsoku/>
              <w:wordWrap/>
              <w:topLinePunct w:val="0"/>
              <w:autoSpaceDE/>
              <w:autoSpaceDN/>
              <w:bidi w:val="0"/>
              <w:adjustRightInd/>
              <w:snapToGrid w:val="0"/>
              <w:spacing w:line="440" w:lineRule="exact"/>
              <w:ind w:left="0" w:leftChars="0"/>
              <w:jc w:val="center"/>
              <w:rPr>
                <w:rFonts w:ascii="Times New Roman" w:hAnsi="Times New Roman"/>
                <w:color w:val="auto"/>
                <w:sz w:val="21"/>
                <w:szCs w:val="21"/>
                <w:highlight w:val="none"/>
              </w:rPr>
            </w:pP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城市供水</w:t>
            </w:r>
          </w:p>
        </w:tc>
        <w:tc>
          <w:tcPr>
            <w:tcW w:w="5723" w:type="dxa"/>
            <w:noWrap w:val="0"/>
            <w:vAlign w:val="center"/>
          </w:tcPr>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日处理量≥</w:t>
            </w:r>
            <w:r>
              <w:rPr>
                <w:rFonts w:ascii="Times New Roman" w:hAnsi="Times New Roman" w:cs="宋体"/>
                <w:color w:val="auto"/>
                <w:sz w:val="21"/>
                <w:szCs w:val="21"/>
                <w:highlight w:val="none"/>
                <w:lang w:bidi="ar"/>
              </w:rPr>
              <w:t>20万吨的供水厂，或管径≥1.5米的供水管道工程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491" w:type="dxa"/>
            <w:vMerge w:val="continue"/>
            <w:noWrap w:val="0"/>
            <w:vAlign w:val="center"/>
          </w:tcPr>
          <w:p>
            <w:pPr>
              <w:pageBreakBefore w:val="0"/>
              <w:kinsoku/>
              <w:wordWrap/>
              <w:topLinePunct w:val="0"/>
              <w:autoSpaceDE/>
              <w:autoSpaceDN/>
              <w:bidi w:val="0"/>
              <w:adjustRightInd/>
              <w:snapToGrid w:val="0"/>
              <w:spacing w:line="440" w:lineRule="exact"/>
              <w:ind w:left="0" w:leftChars="0"/>
              <w:jc w:val="center"/>
              <w:rPr>
                <w:rFonts w:ascii="Times New Roman" w:hAnsi="Times New Roman"/>
                <w:color w:val="auto"/>
                <w:sz w:val="21"/>
                <w:szCs w:val="21"/>
                <w:highlight w:val="none"/>
              </w:rPr>
            </w:pP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城市排水</w:t>
            </w:r>
          </w:p>
        </w:tc>
        <w:tc>
          <w:tcPr>
            <w:tcW w:w="5723" w:type="dxa"/>
            <w:noWrap w:val="0"/>
            <w:vAlign w:val="center"/>
          </w:tcPr>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日处理量≥</w:t>
            </w:r>
            <w:r>
              <w:rPr>
                <w:rFonts w:ascii="Times New Roman" w:hAnsi="Times New Roman" w:cs="宋体"/>
                <w:color w:val="auto"/>
                <w:sz w:val="21"/>
                <w:szCs w:val="21"/>
                <w:highlight w:val="none"/>
                <w:lang w:bidi="ar"/>
              </w:rPr>
              <w:t>12万吨的污水处理厂，或管径≥1.5米的排水管道工程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491" w:type="dxa"/>
            <w:vMerge w:val="continue"/>
            <w:noWrap w:val="0"/>
            <w:vAlign w:val="center"/>
          </w:tcPr>
          <w:p>
            <w:pPr>
              <w:pageBreakBefore w:val="0"/>
              <w:kinsoku/>
              <w:wordWrap/>
              <w:topLinePunct w:val="0"/>
              <w:autoSpaceDE/>
              <w:autoSpaceDN/>
              <w:bidi w:val="0"/>
              <w:adjustRightInd/>
              <w:snapToGrid w:val="0"/>
              <w:spacing w:line="440" w:lineRule="exact"/>
              <w:ind w:left="0" w:leftChars="0"/>
              <w:jc w:val="center"/>
              <w:rPr>
                <w:rFonts w:ascii="Times New Roman" w:hAnsi="Times New Roman"/>
                <w:color w:val="auto"/>
                <w:sz w:val="21"/>
                <w:szCs w:val="21"/>
                <w:highlight w:val="none"/>
              </w:rPr>
            </w:pP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城市供气</w:t>
            </w:r>
          </w:p>
        </w:tc>
        <w:tc>
          <w:tcPr>
            <w:tcW w:w="5723" w:type="dxa"/>
            <w:noWrap w:val="0"/>
            <w:vAlign w:val="center"/>
          </w:tcPr>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燃气管道工程：超高压管道；</w:t>
            </w:r>
          </w:p>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储备厂（站）工程：设计压力≥</w:t>
            </w:r>
            <w:r>
              <w:rPr>
                <w:rFonts w:ascii="Times New Roman" w:hAnsi="Times New Roman" w:cs="宋体"/>
                <w:color w:val="auto"/>
                <w:sz w:val="21"/>
                <w:szCs w:val="21"/>
                <w:highlight w:val="none"/>
                <w:lang w:bidi="ar"/>
              </w:rPr>
              <w:t>4兆帕、或总贮存容量≥1200立方米的液化石油气贮罐厂（站）、或总贮存容量≥400立方米的液化天然气贮罐厂（站）、或供气规模≥20万立方米/日的燃气工程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1" w:type="dxa"/>
            <w:vMerge w:val="continue"/>
            <w:noWrap w:val="0"/>
            <w:vAlign w:val="center"/>
          </w:tcPr>
          <w:p>
            <w:pPr>
              <w:pageBreakBefore w:val="0"/>
              <w:kinsoku/>
              <w:wordWrap/>
              <w:topLinePunct w:val="0"/>
              <w:autoSpaceDE/>
              <w:autoSpaceDN/>
              <w:bidi w:val="0"/>
              <w:adjustRightInd/>
              <w:snapToGrid w:val="0"/>
              <w:spacing w:line="440" w:lineRule="exact"/>
              <w:ind w:left="0" w:leftChars="0"/>
              <w:jc w:val="center"/>
              <w:rPr>
                <w:rFonts w:ascii="Times New Roman" w:hAnsi="Times New Roman"/>
                <w:color w:val="auto"/>
                <w:sz w:val="21"/>
                <w:szCs w:val="21"/>
                <w:highlight w:val="none"/>
              </w:rPr>
            </w:pP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生活垃圾</w:t>
            </w:r>
          </w:p>
        </w:tc>
        <w:tc>
          <w:tcPr>
            <w:tcW w:w="5723" w:type="dxa"/>
            <w:noWrap w:val="0"/>
            <w:vAlign w:val="center"/>
          </w:tcPr>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填埋场工程：日处理量≥</w:t>
            </w:r>
            <w:r>
              <w:rPr>
                <w:rFonts w:ascii="Times New Roman" w:hAnsi="Times New Roman" w:cs="宋体"/>
                <w:color w:val="auto"/>
                <w:sz w:val="21"/>
                <w:szCs w:val="21"/>
                <w:highlight w:val="none"/>
                <w:lang w:bidi="ar"/>
              </w:rPr>
              <w:t>500吨；</w:t>
            </w:r>
          </w:p>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焚烧厂工程：日处理量≥</w:t>
            </w:r>
            <w:r>
              <w:rPr>
                <w:rFonts w:ascii="Times New Roman" w:hAnsi="Times New Roman" w:cs="宋体"/>
                <w:color w:val="auto"/>
                <w:sz w:val="21"/>
                <w:szCs w:val="21"/>
                <w:highlight w:val="none"/>
                <w:lang w:bidi="ar"/>
              </w:rPr>
              <w:t>100吨；</w:t>
            </w:r>
          </w:p>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餐厨（厨余）垃圾处理工程：日处理量≥</w:t>
            </w:r>
            <w:r>
              <w:rPr>
                <w:rFonts w:ascii="Times New Roman" w:hAnsi="Times New Roman" w:cs="宋体"/>
                <w:color w:val="auto"/>
                <w:sz w:val="21"/>
                <w:szCs w:val="21"/>
                <w:highlight w:val="none"/>
                <w:lang w:bidi="ar"/>
              </w:rPr>
              <w:t>100</w:t>
            </w:r>
            <w:r>
              <w:rPr>
                <w:rFonts w:hint="eastAsia" w:ascii="Times New Roman" w:hAnsi="Times New Roman" w:cs="宋体"/>
                <w:color w:val="auto"/>
                <w:sz w:val="21"/>
                <w:szCs w:val="21"/>
                <w:highlight w:val="none"/>
                <w:lang w:bidi="ar"/>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1" w:type="dxa"/>
            <w:vMerge w:val="continue"/>
            <w:noWrap w:val="0"/>
            <w:vAlign w:val="center"/>
          </w:tcPr>
          <w:p>
            <w:pPr>
              <w:pageBreakBefore w:val="0"/>
              <w:kinsoku/>
              <w:wordWrap/>
              <w:topLinePunct w:val="0"/>
              <w:autoSpaceDE/>
              <w:autoSpaceDN/>
              <w:bidi w:val="0"/>
              <w:adjustRightInd/>
              <w:snapToGrid w:val="0"/>
              <w:spacing w:line="440" w:lineRule="exact"/>
              <w:ind w:left="0" w:leftChars="0"/>
              <w:jc w:val="center"/>
              <w:rPr>
                <w:rFonts w:ascii="Times New Roman" w:hAnsi="Times New Roman"/>
                <w:color w:val="auto"/>
                <w:sz w:val="21"/>
                <w:szCs w:val="21"/>
                <w:highlight w:val="none"/>
              </w:rPr>
            </w:pP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轻轨交通</w:t>
            </w:r>
          </w:p>
        </w:tc>
        <w:tc>
          <w:tcPr>
            <w:tcW w:w="5723" w:type="dxa"/>
            <w:noWrap w:val="0"/>
            <w:vAlign w:val="center"/>
          </w:tcPr>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单跨跨度≥</w:t>
            </w:r>
            <w:r>
              <w:rPr>
                <w:rFonts w:ascii="Times New Roman" w:hAnsi="Times New Roman" w:cs="宋体"/>
                <w:color w:val="auto"/>
                <w:sz w:val="21"/>
                <w:szCs w:val="21"/>
                <w:highlight w:val="none"/>
                <w:lang w:bidi="ar"/>
              </w:rPr>
              <w:t>48米的桥涵工程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1" w:type="dxa"/>
            <w:vMerge w:val="restart"/>
            <w:noWrap w:val="0"/>
            <w:vAlign w:val="center"/>
          </w:tcPr>
          <w:p>
            <w:pPr>
              <w:pageBreakBefore w:val="0"/>
              <w:kinsoku/>
              <w:wordWrap/>
              <w:topLinePunct w:val="0"/>
              <w:autoSpaceDE/>
              <w:autoSpaceDN/>
              <w:bidi w:val="0"/>
              <w:adjustRightInd/>
              <w:snapToGrid w:val="0"/>
              <w:ind w:left="0" w:leftChars="0"/>
              <w:jc w:val="center"/>
              <w:rPr>
                <w:rFonts w:ascii="Times New Roman" w:hAnsi="Times New Roman" w:eastAsia="宋体"/>
                <w:color w:val="auto"/>
                <w:sz w:val="21"/>
                <w:szCs w:val="21"/>
                <w:highlight w:val="none"/>
              </w:rPr>
            </w:pPr>
            <w:r>
              <w:rPr>
                <w:rFonts w:hint="eastAsia" w:ascii="Times New Roman" w:hAnsi="Times New Roman"/>
                <w:color w:val="auto"/>
                <w:sz w:val="21"/>
                <w:szCs w:val="21"/>
                <w:highlight w:val="none"/>
              </w:rPr>
              <w:t>机电安装工程</w:t>
            </w: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一般工民建工程</w:t>
            </w:r>
          </w:p>
        </w:tc>
        <w:tc>
          <w:tcPr>
            <w:tcW w:w="5723" w:type="dxa"/>
            <w:noWrap w:val="0"/>
            <w:vAlign w:val="center"/>
          </w:tcPr>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通风空调工程：空调制冷量≥</w:t>
            </w:r>
            <w:r>
              <w:rPr>
                <w:rFonts w:ascii="Times New Roman" w:hAnsi="Times New Roman" w:cs="宋体"/>
                <w:color w:val="auto"/>
                <w:sz w:val="21"/>
                <w:szCs w:val="21"/>
                <w:highlight w:val="none"/>
                <w:lang w:bidi="ar"/>
              </w:rPr>
              <w:t>2000冷吨；</w:t>
            </w:r>
          </w:p>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消防工程：建筑面积≥</w:t>
            </w:r>
            <w:r>
              <w:rPr>
                <w:rFonts w:ascii="Times New Roman" w:hAnsi="Times New Roman" w:cs="宋体"/>
                <w:color w:val="auto"/>
                <w:sz w:val="21"/>
                <w:szCs w:val="21"/>
                <w:highlight w:val="none"/>
                <w:lang w:bidi="ar"/>
              </w:rPr>
              <w:t>8万平方米；</w:t>
            </w:r>
          </w:p>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自动控制系统工程：计算机或可编程控制器≥</w:t>
            </w:r>
            <w:r>
              <w:rPr>
                <w:rFonts w:ascii="Times New Roman" w:hAnsi="Times New Roman" w:cs="宋体"/>
                <w:color w:val="auto"/>
                <w:sz w:val="21"/>
                <w:szCs w:val="21"/>
                <w:highlight w:val="none"/>
                <w:lang w:bidi="ar"/>
              </w:rPr>
              <w:t>60台（套）；</w:t>
            </w:r>
          </w:p>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建筑智能化工程：智能化系统≥</w:t>
            </w:r>
            <w:r>
              <w:rPr>
                <w:rFonts w:ascii="Times New Roman" w:hAnsi="Times New Roman" w:cs="宋体"/>
                <w:color w:val="auto"/>
                <w:sz w:val="21"/>
                <w:szCs w:val="21"/>
                <w:highlight w:val="none"/>
                <w:lang w:bidi="ar"/>
              </w:rPr>
              <w:t>12个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1" w:type="dxa"/>
            <w:vMerge w:val="continue"/>
            <w:noWrap w:val="0"/>
            <w:vAlign w:val="center"/>
          </w:tcPr>
          <w:p>
            <w:pPr>
              <w:pageBreakBefore w:val="0"/>
              <w:kinsoku/>
              <w:wordWrap/>
              <w:topLinePunct w:val="0"/>
              <w:autoSpaceDE/>
              <w:autoSpaceDN/>
              <w:bidi w:val="0"/>
              <w:adjustRightInd/>
              <w:snapToGrid w:val="0"/>
              <w:ind w:left="0" w:leftChars="0"/>
              <w:jc w:val="center"/>
              <w:rPr>
                <w:rFonts w:ascii="Times New Roman" w:hAnsi="Times New Roman"/>
                <w:color w:val="auto"/>
                <w:sz w:val="21"/>
                <w:szCs w:val="21"/>
                <w:highlight w:val="none"/>
              </w:rPr>
            </w:pP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净化工程</w:t>
            </w:r>
          </w:p>
        </w:tc>
        <w:tc>
          <w:tcPr>
            <w:tcW w:w="5723" w:type="dxa"/>
            <w:noWrap w:val="0"/>
            <w:vAlign w:val="center"/>
          </w:tcPr>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洁净等级≥</w:t>
            </w:r>
            <w:r>
              <w:rPr>
                <w:rFonts w:ascii="Times New Roman" w:hAnsi="Times New Roman" w:cs="宋体"/>
                <w:color w:val="auto"/>
                <w:sz w:val="21"/>
                <w:szCs w:val="21"/>
                <w:highlight w:val="none"/>
                <w:lang w:bidi="ar"/>
              </w:rPr>
              <w:t>5级（即千级及以上）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1" w:type="dxa"/>
            <w:vMerge w:val="continue"/>
            <w:noWrap w:val="0"/>
            <w:vAlign w:val="center"/>
          </w:tcPr>
          <w:p>
            <w:pPr>
              <w:pageBreakBefore w:val="0"/>
              <w:kinsoku/>
              <w:wordWrap/>
              <w:topLinePunct w:val="0"/>
              <w:autoSpaceDE/>
              <w:autoSpaceDN/>
              <w:bidi w:val="0"/>
              <w:adjustRightInd/>
              <w:snapToGrid w:val="0"/>
              <w:ind w:left="0" w:leftChars="0"/>
              <w:jc w:val="center"/>
              <w:rPr>
                <w:rFonts w:ascii="Times New Roman" w:hAnsi="Times New Roman"/>
                <w:color w:val="auto"/>
                <w:sz w:val="21"/>
                <w:szCs w:val="21"/>
                <w:highlight w:val="none"/>
              </w:rPr>
            </w:pP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环保工程</w:t>
            </w:r>
          </w:p>
        </w:tc>
        <w:tc>
          <w:tcPr>
            <w:tcW w:w="5723" w:type="dxa"/>
            <w:noWrap w:val="0"/>
            <w:vAlign w:val="center"/>
          </w:tcPr>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医疗污水处理工程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1" w:type="dxa"/>
            <w:vMerge w:val="restart"/>
            <w:noWrap w:val="0"/>
            <w:vAlign w:val="center"/>
          </w:tcPr>
          <w:p>
            <w:pPr>
              <w:pageBreakBefore w:val="0"/>
              <w:kinsoku/>
              <w:wordWrap/>
              <w:topLinePunct w:val="0"/>
              <w:autoSpaceDE/>
              <w:autoSpaceDN/>
              <w:bidi w:val="0"/>
              <w:adjustRightInd/>
              <w:snapToGrid w:val="0"/>
              <w:ind w:left="0" w:leftChars="0"/>
              <w:jc w:val="center"/>
              <w:rPr>
                <w:rFonts w:ascii="Times New Roman" w:hAnsi="Times New Roman" w:eastAsia="宋体"/>
                <w:color w:val="auto"/>
                <w:sz w:val="21"/>
                <w:szCs w:val="21"/>
                <w:highlight w:val="none"/>
              </w:rPr>
            </w:pPr>
            <w:r>
              <w:rPr>
                <w:rFonts w:hint="eastAsia" w:ascii="Times New Roman" w:hAnsi="Times New Roman"/>
                <w:color w:val="auto"/>
                <w:sz w:val="21"/>
                <w:szCs w:val="21"/>
                <w:highlight w:val="none"/>
              </w:rPr>
              <w:t>装饰装修工程</w:t>
            </w: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装饰装修工程</w:t>
            </w:r>
          </w:p>
        </w:tc>
        <w:tc>
          <w:tcPr>
            <w:tcW w:w="5723" w:type="dxa"/>
            <w:noWrap w:val="0"/>
            <w:vAlign w:val="center"/>
          </w:tcPr>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单项装修面积≥</w:t>
            </w:r>
            <w:r>
              <w:rPr>
                <w:rFonts w:ascii="Times New Roman" w:hAnsi="Times New Roman" w:cs="宋体"/>
                <w:color w:val="auto"/>
                <w:sz w:val="21"/>
                <w:szCs w:val="21"/>
                <w:highlight w:val="none"/>
                <w:lang w:bidi="ar"/>
              </w:rPr>
              <w:t>20000平方米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1" w:type="dxa"/>
            <w:vMerge w:val="continue"/>
            <w:noWrap w:val="0"/>
            <w:vAlign w:val="center"/>
          </w:tcPr>
          <w:p>
            <w:pPr>
              <w:pageBreakBefore w:val="0"/>
              <w:kinsoku/>
              <w:wordWrap/>
              <w:topLinePunct w:val="0"/>
              <w:autoSpaceDE/>
              <w:autoSpaceDN/>
              <w:bidi w:val="0"/>
              <w:adjustRightInd/>
              <w:snapToGrid w:val="0"/>
              <w:ind w:left="0" w:leftChars="0"/>
              <w:jc w:val="center"/>
              <w:rPr>
                <w:rFonts w:ascii="Times New Roman" w:hAnsi="Times New Roman"/>
                <w:color w:val="auto"/>
                <w:sz w:val="21"/>
                <w:szCs w:val="21"/>
                <w:highlight w:val="none"/>
              </w:rPr>
            </w:pP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幕墙工程</w:t>
            </w:r>
          </w:p>
        </w:tc>
        <w:tc>
          <w:tcPr>
            <w:tcW w:w="5723" w:type="dxa"/>
            <w:noWrap w:val="0"/>
            <w:vAlign w:val="center"/>
          </w:tcPr>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单体建筑幕墙高度≥</w:t>
            </w:r>
            <w:r>
              <w:rPr>
                <w:rFonts w:ascii="Times New Roman" w:hAnsi="Times New Roman" w:cs="宋体"/>
                <w:color w:val="auto"/>
                <w:sz w:val="21"/>
                <w:szCs w:val="21"/>
                <w:highlight w:val="none"/>
                <w:lang w:bidi="ar"/>
              </w:rPr>
              <w:t>80米，或面积≥8000平方米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1"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olor w:val="auto"/>
                <w:sz w:val="21"/>
                <w:szCs w:val="21"/>
                <w:highlight w:val="none"/>
              </w:rPr>
            </w:pPr>
            <w:r>
              <w:rPr>
                <w:rFonts w:hint="eastAsia" w:ascii="Times New Roman" w:hAnsi="Times New Roman" w:cs="宋体"/>
                <w:color w:val="auto"/>
                <w:sz w:val="21"/>
                <w:szCs w:val="21"/>
                <w:highlight w:val="none"/>
                <w:lang w:bidi="ar"/>
              </w:rPr>
              <w:t>特种工程</w:t>
            </w: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特种工程</w:t>
            </w:r>
          </w:p>
        </w:tc>
        <w:tc>
          <w:tcPr>
            <w:tcW w:w="5723" w:type="dxa"/>
            <w:noWrap w:val="0"/>
            <w:vAlign w:val="center"/>
          </w:tcPr>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特殊专业工程（建筑物纠偏和平移、结构补强、特殊设备起重吊装、特种防雷等特殊工程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1" w:type="dxa"/>
            <w:vMerge w:val="restart"/>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其他专业工程</w:t>
            </w: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石油天然气工程</w:t>
            </w:r>
          </w:p>
        </w:tc>
        <w:tc>
          <w:tcPr>
            <w:tcW w:w="5723" w:type="dxa"/>
            <w:noWrap w:val="0"/>
            <w:vAlign w:val="center"/>
          </w:tcPr>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大型石油化工工程主体工程（具体标准按照《建筑业企业资质标准》确定）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1" w:type="dxa"/>
            <w:vMerge w:val="continue"/>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s="宋体"/>
                <w:color w:val="auto"/>
                <w:sz w:val="21"/>
                <w:szCs w:val="21"/>
                <w:highlight w:val="none"/>
                <w:lang w:bidi="ar"/>
              </w:rPr>
            </w:pP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穿跨越工程</w:t>
            </w:r>
          </w:p>
        </w:tc>
        <w:tc>
          <w:tcPr>
            <w:tcW w:w="5723" w:type="dxa"/>
            <w:noWrap w:val="0"/>
            <w:vAlign w:val="center"/>
          </w:tcPr>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顶管工程：单条穿越长度≥</w:t>
            </w:r>
            <w:r>
              <w:rPr>
                <w:rFonts w:ascii="Times New Roman" w:hAnsi="Times New Roman" w:cs="宋体"/>
                <w:color w:val="auto"/>
                <w:sz w:val="21"/>
                <w:szCs w:val="21"/>
                <w:highlight w:val="none"/>
                <w:lang w:bidi="ar"/>
              </w:rPr>
              <w:t>80米，或工作井深度≥8米；</w:t>
            </w:r>
          </w:p>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隧道穿越工程：单洞洞长≥</w:t>
            </w:r>
            <w:r>
              <w:rPr>
                <w:rFonts w:ascii="Times New Roman" w:hAnsi="Times New Roman" w:cs="宋体"/>
                <w:color w:val="auto"/>
                <w:sz w:val="21"/>
                <w:szCs w:val="21"/>
                <w:highlight w:val="none"/>
                <w:lang w:bidi="ar"/>
              </w:rPr>
              <w:t>1600米；</w:t>
            </w:r>
          </w:p>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定向钻穿越工程：单条穿越长度≥</w:t>
            </w:r>
            <w:r>
              <w:rPr>
                <w:rFonts w:ascii="Times New Roman" w:hAnsi="Times New Roman" w:cs="宋体"/>
                <w:color w:val="auto"/>
                <w:sz w:val="21"/>
                <w:szCs w:val="21"/>
                <w:highlight w:val="none"/>
                <w:lang w:bidi="ar"/>
              </w:rPr>
              <w:t>600米，或者穿越地质为卵石层、松散状砂土或者粗砂层与破碎岩石层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1" w:type="dxa"/>
            <w:vMerge w:val="continue"/>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s="宋体"/>
                <w:color w:val="auto"/>
                <w:sz w:val="21"/>
                <w:szCs w:val="21"/>
                <w:highlight w:val="none"/>
                <w:lang w:bidi="ar"/>
              </w:rPr>
            </w:pPr>
          </w:p>
        </w:tc>
        <w:tc>
          <w:tcPr>
            <w:tcW w:w="2112" w:type="dxa"/>
            <w:noWrap w:val="0"/>
            <w:vAlign w:val="center"/>
          </w:tcPr>
          <w:p>
            <w:pPr>
              <w:pageBreakBefore w:val="0"/>
              <w:kinsoku/>
              <w:wordWrap/>
              <w:topLinePunct w:val="0"/>
              <w:autoSpaceDE/>
              <w:autoSpaceDN/>
              <w:bidi w:val="0"/>
              <w:adjustRightInd/>
              <w:snapToGrid w:val="0"/>
              <w:ind w:left="0" w:leftChars="0"/>
              <w:jc w:val="center"/>
              <w:rPr>
                <w:rFonts w:ascii="Times New Roman" w:hAnsi="Times New Roman" w:cs="宋体"/>
                <w:color w:val="auto"/>
                <w:sz w:val="21"/>
                <w:szCs w:val="21"/>
                <w:highlight w:val="none"/>
                <w:lang w:bidi="ar"/>
              </w:rPr>
            </w:pPr>
            <w:r>
              <w:rPr>
                <w:rFonts w:hint="eastAsia" w:ascii="Times New Roman" w:hAnsi="Times New Roman"/>
                <w:color w:val="auto"/>
                <w:sz w:val="21"/>
                <w:szCs w:val="21"/>
                <w:highlight w:val="none"/>
              </w:rPr>
              <w:t>爆破与拆除工程</w:t>
            </w:r>
          </w:p>
        </w:tc>
        <w:tc>
          <w:tcPr>
            <w:tcW w:w="5723" w:type="dxa"/>
            <w:noWrap w:val="0"/>
            <w:vAlign w:val="top"/>
          </w:tcPr>
          <w:p>
            <w:pPr>
              <w:pageBreakBefore w:val="0"/>
              <w:kinsoku/>
              <w:wordWrap/>
              <w:topLinePunct w:val="0"/>
              <w:autoSpaceDE/>
              <w:autoSpaceDN/>
              <w:bidi w:val="0"/>
              <w:adjustRightInd/>
              <w:snapToGrid w:val="0"/>
              <w:ind w:left="0" w:leftChars="0"/>
              <w:jc w:val="both"/>
              <w:rPr>
                <w:rFonts w:ascii="Times New Roman" w:hAnsi="Times New Roman" w:cs="宋体"/>
                <w:color w:val="auto"/>
                <w:sz w:val="21"/>
                <w:szCs w:val="21"/>
                <w:highlight w:val="none"/>
                <w:lang w:bidi="ar"/>
              </w:rPr>
            </w:pPr>
            <w:r>
              <w:rPr>
                <w:rFonts w:ascii="Times New Roman" w:hAnsi="Times New Roman"/>
                <w:color w:val="auto"/>
                <w:sz w:val="21"/>
                <w:szCs w:val="21"/>
                <w:highlight w:val="none"/>
              </w:rPr>
              <w:t>C</w:t>
            </w:r>
            <w:r>
              <w:rPr>
                <w:rFonts w:hint="eastAsia" w:ascii="Times New Roman" w:hAnsi="Times New Roman"/>
                <w:color w:val="auto"/>
                <w:sz w:val="21"/>
                <w:szCs w:val="21"/>
                <w:highlight w:val="none"/>
              </w:rPr>
              <w:t>级以上大爆破工程、</w:t>
            </w:r>
            <w:r>
              <w:rPr>
                <w:rFonts w:ascii="Times New Roman" w:hAnsi="Times New Roman"/>
                <w:color w:val="auto"/>
                <w:sz w:val="21"/>
                <w:szCs w:val="21"/>
                <w:highlight w:val="none"/>
              </w:rPr>
              <w:t>B</w:t>
            </w:r>
            <w:r>
              <w:rPr>
                <w:rFonts w:hint="eastAsia" w:ascii="Times New Roman" w:hAnsi="Times New Roman"/>
                <w:color w:val="auto"/>
                <w:sz w:val="21"/>
                <w:szCs w:val="21"/>
                <w:highlight w:val="none"/>
              </w:rPr>
              <w:t>级以上复杂环境深孔爆破、拆除爆破及城市控制爆破及其他爆破拆除工程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1" w:type="dxa"/>
            <w:vMerge w:val="continue"/>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s="宋体"/>
                <w:color w:val="auto"/>
                <w:sz w:val="21"/>
                <w:szCs w:val="21"/>
                <w:highlight w:val="none"/>
                <w:lang w:bidi="ar"/>
              </w:rPr>
            </w:pP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盾构隧道</w:t>
            </w:r>
          </w:p>
        </w:tc>
        <w:tc>
          <w:tcPr>
            <w:tcW w:w="5723" w:type="dxa"/>
            <w:noWrap w:val="0"/>
            <w:vAlign w:val="center"/>
          </w:tcPr>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highlight w:val="none"/>
                <w:lang w:bidi="ar"/>
              </w:rPr>
            </w:pPr>
            <w:r>
              <w:rPr>
                <w:rFonts w:hint="eastAsia" w:ascii="Times New Roman" w:hAnsi="Times New Roman" w:cs="宋体"/>
                <w:color w:val="auto"/>
                <w:sz w:val="21"/>
                <w:szCs w:val="21"/>
                <w:highlight w:val="none"/>
                <w:lang w:bidi="ar"/>
              </w:rPr>
              <w:t>单洞洞长≥</w:t>
            </w:r>
            <w:r>
              <w:rPr>
                <w:rFonts w:ascii="Times New Roman" w:hAnsi="Times New Roman" w:cs="宋体"/>
                <w:color w:val="auto"/>
                <w:sz w:val="21"/>
                <w:szCs w:val="21"/>
                <w:highlight w:val="none"/>
                <w:lang w:bidi="ar"/>
              </w:rPr>
              <w:t>2000米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1491" w:type="dxa"/>
            <w:vMerge w:val="continue"/>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s="宋体"/>
                <w:color w:val="auto"/>
                <w:sz w:val="21"/>
                <w:szCs w:val="21"/>
                <w:highlight w:val="none"/>
                <w:lang w:bidi="ar"/>
              </w:rPr>
            </w:pPr>
          </w:p>
        </w:tc>
        <w:tc>
          <w:tcPr>
            <w:tcW w:w="2112" w:type="dxa"/>
            <w:noWrap w:val="0"/>
            <w:vAlign w:val="center"/>
          </w:tcPr>
          <w:p>
            <w:pPr>
              <w:pageBreakBefore w:val="0"/>
              <w:kinsoku/>
              <w:wordWrap/>
              <w:topLinePunct w:val="0"/>
              <w:autoSpaceDE/>
              <w:autoSpaceDN/>
              <w:bidi w:val="0"/>
              <w:adjustRightInd/>
              <w:snapToGrid w:val="0"/>
              <w:ind w:left="0" w:leftChars="0"/>
              <w:jc w:val="center"/>
              <w:rPr>
                <w:rFonts w:ascii="Times New Roman" w:hAnsi="Times New Roman" w:cs="宋体"/>
                <w:color w:val="auto"/>
                <w:sz w:val="21"/>
                <w:szCs w:val="21"/>
                <w:highlight w:val="none"/>
                <w:lang w:bidi="ar"/>
              </w:rPr>
            </w:pPr>
            <w:r>
              <w:rPr>
                <w:rFonts w:hint="eastAsia" w:ascii="Times New Roman" w:hAnsi="Times New Roman"/>
                <w:color w:val="auto"/>
                <w:sz w:val="21"/>
                <w:szCs w:val="21"/>
                <w:highlight w:val="none"/>
              </w:rPr>
              <w:t>其他专业工程</w:t>
            </w:r>
          </w:p>
        </w:tc>
        <w:tc>
          <w:tcPr>
            <w:tcW w:w="5723" w:type="dxa"/>
            <w:noWrap w:val="0"/>
            <w:vAlign w:val="center"/>
          </w:tcPr>
          <w:p>
            <w:pPr>
              <w:pageBreakBefore w:val="0"/>
              <w:kinsoku/>
              <w:wordWrap/>
              <w:topLinePunct w:val="0"/>
              <w:autoSpaceDE/>
              <w:autoSpaceDN/>
              <w:bidi w:val="0"/>
              <w:adjustRightInd/>
              <w:snapToGrid w:val="0"/>
              <w:ind w:left="0" w:leftChars="0"/>
              <w:jc w:val="both"/>
              <w:rPr>
                <w:rFonts w:ascii="Times New Roman" w:hAnsi="Times New Roman" w:cs="宋体"/>
                <w:color w:val="auto"/>
                <w:sz w:val="21"/>
                <w:szCs w:val="21"/>
                <w:highlight w:val="none"/>
                <w:u w:val="single"/>
                <w:lang w:bidi="ar"/>
              </w:rPr>
            </w:pPr>
          </w:p>
        </w:tc>
      </w:tr>
    </w:tbl>
    <w:p>
      <w:pPr>
        <w:pStyle w:val="4"/>
        <w:pageBreakBefore w:val="0"/>
        <w:numPr>
          <w:ilvl w:val="0"/>
          <w:numId w:val="0"/>
        </w:numPr>
        <w:kinsoku/>
        <w:wordWrap/>
        <w:topLinePunct w:val="0"/>
        <w:autoSpaceDE/>
        <w:autoSpaceDN/>
        <w:bidi w:val="0"/>
        <w:adjustRightInd/>
        <w:ind w:left="0" w:leftChars="0"/>
        <w:rPr>
          <w:rFonts w:ascii="Times New Roman" w:hAnsi="Times New Roman"/>
          <w:color w:val="auto"/>
          <w:highlight w:val="none"/>
        </w:rPr>
      </w:pPr>
    </w:p>
    <w:p>
      <w:pPr>
        <w:pStyle w:val="2"/>
        <w:pageBreakBefore w:val="0"/>
        <w:kinsoku/>
        <w:wordWrap/>
        <w:topLinePunct w:val="0"/>
        <w:autoSpaceDE/>
        <w:autoSpaceDN/>
        <w:bidi w:val="0"/>
        <w:adjustRightInd/>
        <w:spacing w:after="0"/>
        <w:ind w:left="0" w:leftChars="0"/>
        <w:rPr>
          <w:rFonts w:hint="default" w:ascii="Times New Roman" w:hAnsi="Times New Roman"/>
          <w:color w:val="auto"/>
          <w:highlight w:val="none"/>
          <w:lang w:val="en-US" w:eastAsia="zh-CN"/>
        </w:rPr>
      </w:pPr>
      <w:r>
        <w:rPr>
          <w:rFonts w:hint="eastAsia" w:ascii="Times New Roman" w:hAnsi="Times New Roman"/>
          <w:color w:val="auto"/>
          <w:highlight w:val="none"/>
          <w:lang w:val="en-US" w:eastAsia="zh-CN"/>
        </w:rPr>
        <w:br w:type="page"/>
      </w:r>
      <w:r>
        <w:rPr>
          <w:rFonts w:hint="eastAsia" w:ascii="Times New Roman" w:hAnsi="Times New Roman" w:eastAsia="黑体" w:cs="黑体"/>
          <w:color w:val="auto"/>
          <w:sz w:val="32"/>
          <w:szCs w:val="32"/>
          <w:highlight w:val="none"/>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jc w:val="center"/>
        <w:textAlignment w:val="auto"/>
        <w:rPr>
          <w:rFonts w:hint="eastAsia" w:ascii="Times New Roman" w:hAnsi="Times New Roman" w:eastAsia="方正小标宋简体" w:cs="方正小标宋简体"/>
          <w:b w:val="0"/>
          <w:bCs w:val="0"/>
          <w:color w:val="auto"/>
          <w:sz w:val="44"/>
          <w:szCs w:val="44"/>
          <w:highlight w:val="none"/>
          <w:lang w:val="en-US" w:eastAsia="zh-CN"/>
        </w:rPr>
      </w:pPr>
      <w:r>
        <w:rPr>
          <w:rFonts w:hint="eastAsia" w:ascii="Times New Roman" w:hAnsi="Times New Roman" w:eastAsia="方正小标宋简体" w:cs="方正小标宋简体"/>
          <w:b w:val="0"/>
          <w:bCs w:val="0"/>
          <w:color w:val="auto"/>
          <w:sz w:val="44"/>
          <w:szCs w:val="44"/>
          <w:highlight w:val="none"/>
          <w:lang w:val="en-US"/>
        </w:rPr>
        <w:t>投标报价评审区间确定</w:t>
      </w:r>
      <w:r>
        <w:rPr>
          <w:rFonts w:hint="eastAsia" w:ascii="Times New Roman" w:hAnsi="Times New Roman" w:eastAsia="方正小标宋简体" w:cs="方正小标宋简体"/>
          <w:b w:val="0"/>
          <w:bCs w:val="0"/>
          <w:color w:val="auto"/>
          <w:sz w:val="44"/>
          <w:szCs w:val="44"/>
          <w:highlight w:val="none"/>
          <w:lang w:val="en-US" w:eastAsia="zh-CN"/>
        </w:rPr>
        <w:t>规则</w:t>
      </w:r>
    </w:p>
    <w:p>
      <w:pPr>
        <w:pageBreakBefore w:val="0"/>
        <w:kinsoku/>
        <w:wordWrap/>
        <w:topLinePunct w:val="0"/>
        <w:autoSpaceDE/>
        <w:autoSpaceDN/>
        <w:bidi w:val="0"/>
        <w:adjustRightInd/>
        <w:ind w:left="0" w:leftChars="0"/>
        <w:jc w:val="center"/>
        <w:rPr>
          <w:rFonts w:hint="eastAsia" w:ascii="Times New Roman" w:hAnsi="Times New Roman" w:eastAsia="楷体_GB2312" w:cs="楷体_GB2312"/>
          <w:color w:val="auto"/>
          <w:highlight w:val="none"/>
          <w:lang w:val="en-US" w:eastAsia="zh-CN"/>
        </w:rPr>
      </w:pPr>
      <w:r>
        <w:rPr>
          <w:rFonts w:hint="eastAsia" w:ascii="Times New Roman" w:hAnsi="Times New Roman" w:eastAsia="楷体_GB2312" w:cs="楷体_GB2312"/>
          <w:b w:val="0"/>
          <w:bCs w:val="0"/>
          <w:color w:val="auto"/>
          <w:sz w:val="32"/>
          <w:szCs w:val="32"/>
          <w:highlight w:val="none"/>
          <w:lang w:val="en-US" w:eastAsia="zh-CN"/>
        </w:rPr>
        <w:t>（适用</w:t>
      </w:r>
      <w:r>
        <w:rPr>
          <w:rFonts w:hint="eastAsia" w:ascii="Times New Roman" w:hAnsi="Times New Roman" w:eastAsia="楷体_GB2312" w:cs="楷体_GB2312"/>
          <w:b w:val="0"/>
          <w:bCs w:val="0"/>
          <w:color w:val="auto"/>
          <w:sz w:val="32"/>
          <w:szCs w:val="32"/>
          <w:highlight w:val="none"/>
        </w:rPr>
        <w:t>经评审的最低投标价法</w:t>
      </w:r>
      <w:r>
        <w:rPr>
          <w:rFonts w:hint="eastAsia" w:ascii="Times New Roman" w:hAnsi="Times New Roman" w:eastAsia="楷体_GB2312" w:cs="楷体_GB2312"/>
          <w:b w:val="0"/>
          <w:bCs w:val="0"/>
          <w:color w:val="auto"/>
          <w:sz w:val="32"/>
          <w:szCs w:val="32"/>
          <w:highlight w:val="none"/>
          <w:lang w:val="en-US" w:eastAsia="zh-CN"/>
        </w:rPr>
        <w:t>）</w:t>
      </w:r>
    </w:p>
    <w:p>
      <w:pPr>
        <w:pageBreakBefore w:val="0"/>
        <w:kinsoku/>
        <w:wordWrap/>
        <w:topLinePunct w:val="0"/>
        <w:autoSpaceDE/>
        <w:autoSpaceDN/>
        <w:bidi w:val="0"/>
        <w:adjustRightInd/>
        <w:ind w:left="0" w:leftChars="0"/>
        <w:rPr>
          <w:rFonts w:hint="eastAsia" w:ascii="Times New Roman" w:hAnsi="Times New Roman" w:eastAsia="仿宋" w:cs="仿宋"/>
          <w:color w:val="auto"/>
          <w:sz w:val="32"/>
          <w:szCs w:val="32"/>
          <w:highlight w:val="none"/>
          <w:lang w:val="en-US" w:eastAsia="zh-CN"/>
        </w:rPr>
      </w:pPr>
    </w:p>
    <w:p>
      <w:pPr>
        <w:pStyle w:val="2"/>
        <w:keepNext w:val="0"/>
        <w:keepLines w:val="0"/>
        <w:pageBreakBefore w:val="0"/>
        <w:numPr>
          <w:ilvl w:val="0"/>
          <w:numId w:val="0"/>
        </w:numPr>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lang w:val="en-US" w:eastAsia="zh-CN" w:bidi="ar-SA"/>
        </w:rPr>
        <w:t>一、当投标截止时间止前递交的投标文件在去掉报价超过最高报价限价和未缴纳投标保证金的投标后≥11家时，可启用评审区间。</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lang w:val="en-US" w:eastAsia="zh-CN" w:bidi="ar-SA"/>
        </w:rPr>
        <w:t>二、评审区间的确定</w:t>
      </w:r>
    </w:p>
    <w:p>
      <w:pPr>
        <w:pStyle w:val="14"/>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lang w:val="en-US" w:eastAsia="zh-CN" w:bidi="ar-SA"/>
        </w:rPr>
        <w:t>（一）投标报价评审区间最低价的确定</w:t>
      </w:r>
    </w:p>
    <w:p>
      <w:pPr>
        <w:pStyle w:val="14"/>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仿宋_GB2312"/>
          <w:b w:val="0"/>
          <w:bCs w:val="0"/>
          <w:color w:val="auto"/>
          <w:sz w:val="32"/>
          <w:szCs w:val="32"/>
          <w:highlight w:val="none"/>
          <w:lang w:val="en-US" w:eastAsia="zh-CN" w:bidi="ar-SA"/>
        </w:rPr>
      </w:pPr>
      <w:r>
        <w:rPr>
          <w:rFonts w:hint="eastAsia" w:ascii="Times New Roman" w:hAnsi="Times New Roman" w:eastAsia="仿宋_GB2312" w:cs="仿宋_GB2312"/>
          <w:b w:val="0"/>
          <w:bCs w:val="0"/>
          <w:color w:val="auto"/>
          <w:sz w:val="32"/>
          <w:szCs w:val="32"/>
          <w:highlight w:val="none"/>
          <w:lang w:val="en-US" w:eastAsia="zh-CN" w:bidi="ar-SA"/>
        </w:rPr>
        <w:t>在所有投标报价中去掉超过最高报价限价和未缴纳投标保证金（以交易系统查询数据为准）的投标后，再去掉最高和最低的报价各20%个（按去掉超过最高报价限价和未缴纳投标保证金的投标后的投标人数量为基数；不为整数的，按四舍五入取整）后进行算术平均并进行下浮（下浮比例K暂定为３％～８％，抽取值均匀分布数量不少于11个，由招标人在开标时随机抽取），确定投标报价评审区间最低价。</w:t>
      </w:r>
    </w:p>
    <w:p>
      <w:pPr>
        <w:pStyle w:val="14"/>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仿宋_GB2312"/>
          <w:b w:val="0"/>
          <w:bCs w:val="0"/>
          <w:color w:val="auto"/>
          <w:sz w:val="32"/>
          <w:szCs w:val="32"/>
          <w:highlight w:val="none"/>
          <w:lang w:val="en-US" w:eastAsia="zh-CN" w:bidi="ar-SA"/>
        </w:rPr>
      </w:pPr>
      <w:r>
        <w:rPr>
          <w:rFonts w:hint="eastAsia" w:ascii="Times New Roman" w:hAnsi="Times New Roman" w:eastAsia="仿宋_GB2312" w:cs="仿宋_GB2312"/>
          <w:b w:val="0"/>
          <w:bCs w:val="0"/>
          <w:color w:val="auto"/>
          <w:sz w:val="32"/>
          <w:szCs w:val="32"/>
          <w:highlight w:val="none"/>
          <w:lang w:val="en-US" w:eastAsia="zh-CN" w:bidi="ar-SA"/>
        </w:rPr>
        <w:t>投标报价评审区间最低价计算精度保留到分，除计算差错外，评标过程中投标报价评审区间最低价保持不变。</w:t>
      </w:r>
    </w:p>
    <w:p>
      <w:pPr>
        <w:pStyle w:val="14"/>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仿宋_GB2312"/>
          <w:b w:val="0"/>
          <w:bCs w:val="0"/>
          <w:color w:val="auto"/>
          <w:sz w:val="32"/>
          <w:szCs w:val="32"/>
          <w:highlight w:val="none"/>
          <w:lang w:val="en-US" w:eastAsia="zh-CN" w:bidi="ar-SA"/>
        </w:rPr>
      </w:pPr>
      <w:r>
        <w:rPr>
          <w:rFonts w:hint="eastAsia" w:ascii="Times New Roman" w:hAnsi="Times New Roman" w:eastAsia="仿宋_GB2312" w:cs="仿宋_GB2312"/>
          <w:b w:val="0"/>
          <w:bCs w:val="0"/>
          <w:color w:val="auto"/>
          <w:sz w:val="32"/>
          <w:szCs w:val="32"/>
          <w:highlight w:val="none"/>
          <w:lang w:val="en-US" w:eastAsia="zh-CN" w:bidi="ar-SA"/>
        </w:rPr>
        <w:t>计算差错，仅限于以下两种情况：（1）纯算术性四则运算差错；（2）未按约定的计算方法，多计或者少计投标人报价的。由于评标差错，导致否决投标错误，重新评标纠正等其他情况，不属于计算差错。</w:t>
      </w:r>
    </w:p>
    <w:p>
      <w:pPr>
        <w:pStyle w:val="14"/>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仿宋_GB2312"/>
          <w:b w:val="0"/>
          <w:bCs w:val="0"/>
          <w:color w:val="auto"/>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lang w:val="en-US" w:eastAsia="zh-CN" w:bidi="ar-SA"/>
        </w:rPr>
        <w:t>（二）确定评审区间：</w:t>
      </w:r>
      <w:r>
        <w:rPr>
          <w:rFonts w:hint="eastAsia" w:ascii="Times New Roman" w:hAnsi="Times New Roman" w:eastAsia="仿宋_GB2312" w:cs="仿宋_GB2312"/>
          <w:b w:val="0"/>
          <w:bCs w:val="0"/>
          <w:color w:val="auto"/>
          <w:sz w:val="32"/>
          <w:szCs w:val="32"/>
          <w:highlight w:val="none"/>
          <w:lang w:val="en-US" w:eastAsia="zh-CN" w:bidi="ar-SA"/>
        </w:rPr>
        <w:t>投标报价≥投标报价评审区间最低价的投标，按投标报价从低至高的次序进行排序；投标报价＜投标报价评审区间最低价的投标，按无效投标处理，不进入下一阶段的评审。去掉报价超过最高报价限价和未缴纳投标保证金的投标后，投标未超过10家的，全部投标按投标报价从低至高的次序进行排序。</w:t>
      </w:r>
    </w:p>
    <w:p>
      <w:pPr>
        <w:pStyle w:val="14"/>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bidi="ar-SA"/>
        </w:rPr>
      </w:pPr>
      <w:r>
        <w:rPr>
          <w:rFonts w:hint="eastAsia" w:ascii="仿宋_GB2312" w:hAnsi="仿宋_GB2312" w:eastAsia="仿宋_GB2312" w:cs="仿宋_GB2312"/>
          <w:b w:val="0"/>
          <w:bCs w:val="0"/>
          <w:color w:val="auto"/>
          <w:sz w:val="32"/>
          <w:szCs w:val="32"/>
          <w:highlight w:val="none"/>
          <w:lang w:val="en-US" w:eastAsia="zh-CN" w:bidi="ar-SA"/>
        </w:rPr>
        <w:t>三、根据排序，在进入评审区间的投标中按报价从低到高的次序确定5家投标进行资格审查、符合性评审和商务评审，报价相同的投标可同时进入评审。相关投标存在各类废标情形的，评标委员会应否决其投标；否决投标后，导致进入评审的有效投标不足3家的，在进入评审区间的其他投标中按报价低到高的次序补充确定进入评审的投标，报价相同的投标可同时补充进入评审。按以上办法，最终确定3家有效投标，并确定报价最低的投标为中标候选人。经评审，所有进入评审区间的投标中有效投标不足3家的，评标委员会可以否决全部投标。</w:t>
      </w:r>
    </w:p>
    <w:p>
      <w:pPr>
        <w:pStyle w:val="14"/>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仿宋_GB2312"/>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bidi="ar-SA"/>
        </w:rPr>
        <w:br w:type="page"/>
      </w:r>
      <w:r>
        <w:rPr>
          <w:rFonts w:hint="eastAsia" w:ascii="Times New Roman" w:hAnsi="Times New Roman" w:eastAsia="黑体" w:cs="黑体"/>
          <w:b w:val="0"/>
          <w:bCs w:val="0"/>
          <w:color w:val="auto"/>
          <w:sz w:val="32"/>
          <w:szCs w:val="32"/>
          <w:highlight w:val="none"/>
          <w:lang w:val="en-US" w:eastAsia="zh-CN"/>
        </w:rPr>
        <w:t>附件3</w:t>
      </w:r>
    </w:p>
    <w:p>
      <w:pPr>
        <w:pStyle w:val="2"/>
        <w:keepNext w:val="0"/>
        <w:keepLines w:val="0"/>
        <w:pageBreakBefore w:val="0"/>
        <w:kinsoku/>
        <w:wordWrap/>
        <w:overflowPunct/>
        <w:topLinePunct w:val="0"/>
        <w:autoSpaceDE/>
        <w:autoSpaceDN/>
        <w:bidi w:val="0"/>
        <w:adjustRightInd/>
        <w:spacing w:after="0" w:line="560" w:lineRule="exact"/>
        <w:ind w:left="0" w:leftChars="0"/>
        <w:jc w:val="center"/>
        <w:textAlignment w:val="auto"/>
        <w:rPr>
          <w:rFonts w:hint="eastAsia" w:ascii="Times New Roman" w:hAnsi="Times New Roman" w:eastAsia="方正小标宋简体" w:cs="方正小标宋简体"/>
          <w:b w:val="0"/>
          <w:bCs w:val="0"/>
          <w:color w:val="auto"/>
          <w:kern w:val="2"/>
          <w:sz w:val="44"/>
          <w:szCs w:val="44"/>
          <w:highlight w:val="none"/>
          <w:lang w:val="en-US" w:eastAsia="zh-CN" w:bidi="ar-SA"/>
        </w:rPr>
      </w:pPr>
      <w:r>
        <w:rPr>
          <w:rFonts w:hint="eastAsia" w:ascii="Times New Roman" w:hAnsi="Times New Roman" w:eastAsia="方正小标宋简体" w:cs="方正小标宋简体"/>
          <w:b w:val="0"/>
          <w:bCs w:val="0"/>
          <w:color w:val="auto"/>
          <w:kern w:val="2"/>
          <w:sz w:val="44"/>
          <w:szCs w:val="44"/>
          <w:highlight w:val="none"/>
          <w:lang w:val="en-US" w:eastAsia="zh-CN" w:bidi="ar-SA"/>
        </w:rPr>
        <w:t>评审区间确定规则</w:t>
      </w:r>
    </w:p>
    <w:p>
      <w:pPr>
        <w:pStyle w:val="2"/>
        <w:keepNext w:val="0"/>
        <w:keepLines w:val="0"/>
        <w:pageBreakBefore w:val="0"/>
        <w:kinsoku/>
        <w:wordWrap/>
        <w:overflowPunct/>
        <w:topLinePunct w:val="0"/>
        <w:autoSpaceDE/>
        <w:autoSpaceDN/>
        <w:bidi w:val="0"/>
        <w:adjustRightInd/>
        <w:spacing w:after="0" w:line="560" w:lineRule="exact"/>
        <w:ind w:left="0" w:leftChars="0"/>
        <w:jc w:val="center"/>
        <w:textAlignment w:val="auto"/>
        <w:rPr>
          <w:rFonts w:hint="eastAsia" w:ascii="Times New Roman" w:hAnsi="Times New Roman" w:eastAsia="楷体_GB2312" w:cs="楷体_GB2312"/>
          <w:b w:val="0"/>
          <w:bCs/>
          <w:color w:val="auto"/>
          <w:sz w:val="32"/>
          <w:szCs w:val="32"/>
          <w:highlight w:val="none"/>
        </w:rPr>
      </w:pPr>
      <w:r>
        <w:rPr>
          <w:rFonts w:hint="eastAsia" w:ascii="Times New Roman" w:hAnsi="Times New Roman" w:eastAsia="楷体_GB2312" w:cs="楷体_GB2312"/>
          <w:b w:val="0"/>
          <w:bCs/>
          <w:color w:val="auto"/>
          <w:sz w:val="32"/>
          <w:szCs w:val="32"/>
          <w:highlight w:val="none"/>
          <w:lang w:val="en-US" w:eastAsia="zh-CN"/>
        </w:rPr>
        <w:t>（适用</w:t>
      </w:r>
      <w:r>
        <w:rPr>
          <w:rFonts w:hint="eastAsia" w:ascii="Times New Roman" w:hAnsi="Times New Roman" w:eastAsia="楷体_GB2312" w:cs="楷体_GB2312"/>
          <w:b w:val="0"/>
          <w:bCs/>
          <w:color w:val="auto"/>
          <w:sz w:val="32"/>
          <w:szCs w:val="32"/>
          <w:highlight w:val="none"/>
        </w:rPr>
        <w:t>技术标通过制的综合评估法</w:t>
      </w:r>
      <w:r>
        <w:rPr>
          <w:rFonts w:hint="eastAsia" w:ascii="Times New Roman" w:hAnsi="Times New Roman" w:eastAsia="楷体_GB2312" w:cs="楷体_GB2312"/>
          <w:b w:val="0"/>
          <w:bCs/>
          <w:color w:val="auto"/>
          <w:sz w:val="32"/>
          <w:szCs w:val="32"/>
          <w:highlight w:val="none"/>
          <w:lang w:val="en-US" w:eastAsia="zh-CN"/>
        </w:rPr>
        <w:t>）</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textAlignment w:val="auto"/>
        <w:rPr>
          <w:rFonts w:hint="eastAsia" w:ascii="Times New Roman" w:hAnsi="Times New Roman" w:eastAsia="仿宋_GB2312" w:cs="仿宋_GB2312"/>
          <w:color w:val="auto"/>
          <w:sz w:val="32"/>
          <w:szCs w:val="32"/>
          <w:highlight w:val="none"/>
        </w:rPr>
      </w:pP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textAlignment w:val="auto"/>
        <w:rPr>
          <w:rFonts w:hint="eastAsia" w:ascii="Times New Roman" w:hAnsi="Times New Roman" w:eastAsia="黑体" w:cs="黑体"/>
          <w:b w:val="0"/>
          <w:bCs w:val="0"/>
          <w:color w:val="auto"/>
          <w:kern w:val="0"/>
          <w:sz w:val="32"/>
          <w:szCs w:val="32"/>
          <w:highlight w:val="none"/>
          <w:lang w:val="en-US" w:eastAsia="zh-CN" w:bidi="ar-SA"/>
        </w:rPr>
      </w:pPr>
      <w:r>
        <w:rPr>
          <w:rFonts w:hint="eastAsia" w:ascii="Times New Roman" w:hAnsi="Times New Roman" w:eastAsia="黑体" w:cs="黑体"/>
          <w:b w:val="0"/>
          <w:bCs w:val="0"/>
          <w:color w:val="auto"/>
          <w:kern w:val="0"/>
          <w:sz w:val="32"/>
          <w:szCs w:val="32"/>
          <w:highlight w:val="none"/>
          <w:lang w:val="en-US" w:eastAsia="zh-CN" w:bidi="ar-SA"/>
        </w:rPr>
        <w:t>一、评审区间的启用</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1.当投标截止时间止前递交的投标文件在去掉报价超过最高报价限价和未缴纳投标保证金（以交易系统查询数据为准）的投标后＞</w:t>
      </w:r>
      <w:r>
        <w:rPr>
          <w:rFonts w:hint="eastAsia" w:ascii="Times New Roman" w:hAnsi="Times New Roman" w:eastAsia="仿宋_GB2312" w:cs="仿宋_GB2312"/>
          <w:b w:val="0"/>
          <w:bCs w:val="0"/>
          <w:color w:val="auto"/>
          <w:kern w:val="0"/>
          <w:sz w:val="32"/>
          <w:szCs w:val="32"/>
          <w:highlight w:val="none"/>
          <w:u w:val="single"/>
          <w:lang w:val="en-US" w:eastAsia="zh-CN" w:bidi="ar-SA"/>
        </w:rPr>
        <w:t>15</w:t>
      </w:r>
      <w:r>
        <w:rPr>
          <w:rFonts w:hint="eastAsia" w:ascii="Times New Roman" w:hAnsi="Times New Roman" w:eastAsia="仿宋_GB2312" w:cs="仿宋_GB2312"/>
          <w:b w:val="0"/>
          <w:bCs w:val="0"/>
          <w:color w:val="auto"/>
          <w:kern w:val="0"/>
          <w:sz w:val="32"/>
          <w:szCs w:val="32"/>
          <w:highlight w:val="none"/>
          <w:lang w:val="en-US" w:eastAsia="zh-CN" w:bidi="ar-SA"/>
        </w:rPr>
        <w:t>家时，可启用评审区间；≤15家的所有投标人进入评审区间；</w:t>
      </w:r>
    </w:p>
    <w:p>
      <w:pPr>
        <w:pStyle w:val="2"/>
        <w:keepNext w:val="0"/>
        <w:keepLines w:val="0"/>
        <w:pageBreakBefore w:val="0"/>
        <w:kinsoku/>
        <w:wordWrap/>
        <w:overflowPunct/>
        <w:topLinePunct w:val="0"/>
        <w:autoSpaceDE/>
        <w:autoSpaceDN/>
        <w:bidi w:val="0"/>
        <w:adjustRightInd/>
        <w:spacing w:after="0" w:line="560" w:lineRule="exact"/>
        <w:ind w:left="0" w:leftChars="0"/>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 xml:space="preserve">    2.在未超过最高报价限价且已缴纳投标保证金的投标人中取投标报价与评审区间评标基准价之差绝对值最小的前15家投标人进入评审区间，绝对值相同时取报价低的，报价也相同的并列进入评审区间。</w:t>
      </w:r>
    </w:p>
    <w:p>
      <w:pPr>
        <w:pStyle w:val="2"/>
        <w:keepNext w:val="0"/>
        <w:keepLines w:val="0"/>
        <w:pageBreakBefore w:val="0"/>
        <w:kinsoku/>
        <w:wordWrap/>
        <w:overflowPunct/>
        <w:topLinePunct w:val="0"/>
        <w:autoSpaceDE/>
        <w:autoSpaceDN/>
        <w:bidi w:val="0"/>
        <w:adjustRightInd/>
        <w:spacing w:after="0" w:line="560" w:lineRule="exact"/>
        <w:ind w:left="0" w:leftChars="0" w:firstLine="640" w:firstLineChars="200"/>
        <w:textAlignment w:val="auto"/>
        <w:rPr>
          <w:rFonts w:hint="eastAsia" w:ascii="Times New Roman" w:hAnsi="Times New Roman" w:eastAsia="黑体" w:cs="黑体"/>
          <w:b w:val="0"/>
          <w:bCs w:val="0"/>
          <w:color w:val="auto"/>
          <w:kern w:val="0"/>
          <w:sz w:val="32"/>
          <w:szCs w:val="32"/>
          <w:highlight w:val="none"/>
          <w:lang w:val="en-US" w:eastAsia="zh-CN" w:bidi="ar-SA"/>
        </w:rPr>
      </w:pPr>
      <w:r>
        <w:rPr>
          <w:rFonts w:hint="eastAsia" w:ascii="Times New Roman" w:hAnsi="Times New Roman" w:eastAsia="黑体" w:cs="黑体"/>
          <w:b w:val="0"/>
          <w:bCs w:val="0"/>
          <w:color w:val="auto"/>
          <w:kern w:val="0"/>
          <w:sz w:val="32"/>
          <w:szCs w:val="32"/>
          <w:highlight w:val="none"/>
          <w:lang w:val="en-US" w:eastAsia="zh-CN" w:bidi="ar-SA"/>
        </w:rPr>
        <w:t>二、计算进入评审区间评标基准价D</w:t>
      </w:r>
    </w:p>
    <w:p>
      <w:pPr>
        <w:pStyle w:val="2"/>
        <w:keepNext w:val="0"/>
        <w:keepLines w:val="0"/>
        <w:pageBreakBefore w:val="0"/>
        <w:kinsoku/>
        <w:wordWrap/>
        <w:overflowPunct/>
        <w:topLinePunct w:val="0"/>
        <w:autoSpaceDE/>
        <w:autoSpaceDN/>
        <w:bidi w:val="0"/>
        <w:adjustRightInd/>
        <w:spacing w:after="0" w:line="560" w:lineRule="exact"/>
        <w:ind w:left="0" w:leftChars="0" w:firstLine="640" w:firstLineChars="200"/>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Ｄ</w:t>
      </w:r>
      <w:r>
        <w:rPr>
          <w:rFonts w:hint="eastAsia" w:ascii="Times New Roman" w:hAnsi="Times New Roman" w:eastAsia="仿宋_GB2312" w:cs="仿宋_GB2312"/>
          <w:b w:val="0"/>
          <w:bCs w:val="0"/>
          <w:color w:val="auto"/>
          <w:kern w:val="0"/>
          <w:sz w:val="32"/>
          <w:szCs w:val="32"/>
          <w:highlight w:val="none"/>
          <w:vertAlign w:val="subscript"/>
          <w:lang w:val="en-US" w:eastAsia="zh-CN" w:bidi="ar-SA"/>
        </w:rPr>
        <w:t>1</w:t>
      </w:r>
      <w:r>
        <w:rPr>
          <w:rFonts w:hint="eastAsia" w:ascii="Times New Roman" w:hAnsi="Times New Roman" w:eastAsia="仿宋_GB2312" w:cs="仿宋_GB2312"/>
          <w:b w:val="0"/>
          <w:bCs w:val="0"/>
          <w:color w:val="auto"/>
          <w:kern w:val="0"/>
          <w:sz w:val="32"/>
          <w:szCs w:val="32"/>
          <w:highlight w:val="none"/>
          <w:lang w:val="en-US" w:eastAsia="zh-CN" w:bidi="ar-SA"/>
        </w:rPr>
        <w:t>=Ｋ</w:t>
      </w:r>
      <w:r>
        <w:rPr>
          <w:rFonts w:hint="eastAsia" w:ascii="Times New Roman" w:hAnsi="Times New Roman" w:eastAsia="仿宋_GB2312" w:cs="仿宋_GB2312"/>
          <w:b w:val="0"/>
          <w:bCs w:val="0"/>
          <w:color w:val="auto"/>
          <w:kern w:val="0"/>
          <w:sz w:val="32"/>
          <w:szCs w:val="32"/>
          <w:highlight w:val="none"/>
          <w:vertAlign w:val="subscript"/>
          <w:lang w:val="en-US" w:eastAsia="zh-CN" w:bidi="ar-SA"/>
        </w:rPr>
        <w:t>１</w:t>
      </w:r>
      <w:r>
        <w:rPr>
          <w:rFonts w:hint="eastAsia" w:ascii="Times New Roman" w:hAnsi="Times New Roman" w:eastAsia="仿宋_GB2312" w:cs="仿宋_GB2312"/>
          <w:b w:val="0"/>
          <w:bCs w:val="0"/>
          <w:color w:val="auto"/>
          <w:kern w:val="0"/>
          <w:sz w:val="32"/>
          <w:szCs w:val="32"/>
          <w:highlight w:val="none"/>
          <w:lang w:val="en-US" w:eastAsia="zh-CN" w:bidi="ar-SA"/>
        </w:rPr>
        <w:t>*Ａ+（１-Ｋ</w:t>
      </w:r>
      <w:r>
        <w:rPr>
          <w:rFonts w:hint="eastAsia" w:ascii="Times New Roman" w:hAnsi="Times New Roman" w:eastAsia="仿宋_GB2312" w:cs="仿宋_GB2312"/>
          <w:b w:val="0"/>
          <w:bCs w:val="0"/>
          <w:color w:val="auto"/>
          <w:kern w:val="0"/>
          <w:sz w:val="32"/>
          <w:szCs w:val="32"/>
          <w:highlight w:val="none"/>
          <w:vertAlign w:val="subscript"/>
          <w:lang w:val="en-US" w:eastAsia="zh-CN" w:bidi="ar-SA"/>
        </w:rPr>
        <w:t>１</w:t>
      </w:r>
      <w:r>
        <w:rPr>
          <w:rFonts w:hint="eastAsia" w:ascii="Times New Roman" w:hAnsi="Times New Roman" w:eastAsia="仿宋_GB2312" w:cs="仿宋_GB2312"/>
          <w:b w:val="0"/>
          <w:bCs w:val="0"/>
          <w:color w:val="auto"/>
          <w:kern w:val="0"/>
          <w:sz w:val="32"/>
          <w:szCs w:val="32"/>
          <w:highlight w:val="none"/>
          <w:lang w:val="en-US" w:eastAsia="zh-CN" w:bidi="ar-SA"/>
        </w:rPr>
        <w:t>）*Ｂ*Ｋ</w:t>
      </w:r>
      <w:r>
        <w:rPr>
          <w:rFonts w:hint="eastAsia" w:ascii="Times New Roman" w:hAnsi="Times New Roman" w:eastAsia="仿宋_GB2312" w:cs="仿宋_GB2312"/>
          <w:b w:val="0"/>
          <w:bCs w:val="0"/>
          <w:color w:val="auto"/>
          <w:kern w:val="0"/>
          <w:sz w:val="32"/>
          <w:szCs w:val="32"/>
          <w:highlight w:val="none"/>
          <w:vertAlign w:val="subscript"/>
          <w:lang w:val="en-US" w:eastAsia="zh-CN" w:bidi="ar-SA"/>
        </w:rPr>
        <w:t>２</w:t>
      </w:r>
    </w:p>
    <w:p>
      <w:pPr>
        <w:pStyle w:val="2"/>
        <w:keepNext w:val="0"/>
        <w:keepLines w:val="0"/>
        <w:pageBreakBefore w:val="0"/>
        <w:kinsoku/>
        <w:wordWrap/>
        <w:overflowPunct/>
        <w:topLinePunct w:val="0"/>
        <w:autoSpaceDE/>
        <w:autoSpaceDN/>
        <w:bidi w:val="0"/>
        <w:adjustRightInd/>
        <w:spacing w:after="0" w:line="560" w:lineRule="exact"/>
        <w:ind w:left="0" w:leftChars="0" w:firstLine="640" w:firstLineChars="200"/>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Ｄ</w:t>
      </w:r>
      <w:r>
        <w:rPr>
          <w:rFonts w:hint="eastAsia" w:ascii="Times New Roman" w:hAnsi="Times New Roman" w:eastAsia="仿宋_GB2312" w:cs="仿宋_GB2312"/>
          <w:b w:val="0"/>
          <w:bCs w:val="0"/>
          <w:color w:val="auto"/>
          <w:kern w:val="0"/>
          <w:sz w:val="32"/>
          <w:szCs w:val="32"/>
          <w:highlight w:val="none"/>
          <w:vertAlign w:val="subscript"/>
          <w:lang w:val="en-US" w:eastAsia="zh-CN" w:bidi="ar-SA"/>
        </w:rPr>
        <w:t>2</w:t>
      </w:r>
      <w:r>
        <w:rPr>
          <w:rFonts w:hint="eastAsia" w:ascii="Times New Roman" w:hAnsi="Times New Roman" w:eastAsia="仿宋_GB2312" w:cs="仿宋_GB2312"/>
          <w:b w:val="0"/>
          <w:bCs w:val="0"/>
          <w:color w:val="auto"/>
          <w:kern w:val="0"/>
          <w:sz w:val="32"/>
          <w:szCs w:val="32"/>
          <w:highlight w:val="none"/>
          <w:lang w:val="en-US" w:eastAsia="zh-CN" w:bidi="ar-SA"/>
        </w:rPr>
        <w:t>=Ｋ</w:t>
      </w:r>
      <w:r>
        <w:rPr>
          <w:rFonts w:hint="eastAsia" w:ascii="Times New Roman" w:hAnsi="Times New Roman" w:eastAsia="仿宋_GB2312" w:cs="仿宋_GB2312"/>
          <w:b w:val="0"/>
          <w:bCs w:val="0"/>
          <w:color w:val="auto"/>
          <w:kern w:val="0"/>
          <w:sz w:val="32"/>
          <w:szCs w:val="32"/>
          <w:highlight w:val="none"/>
          <w:vertAlign w:val="subscript"/>
          <w:lang w:val="en-US" w:eastAsia="zh-CN" w:bidi="ar-SA"/>
        </w:rPr>
        <w:t>１</w:t>
      </w:r>
      <w:r>
        <w:rPr>
          <w:rFonts w:hint="eastAsia" w:ascii="Times New Roman" w:hAnsi="Times New Roman" w:eastAsia="仿宋_GB2312" w:cs="仿宋_GB2312"/>
          <w:b w:val="0"/>
          <w:bCs w:val="0"/>
          <w:color w:val="auto"/>
          <w:kern w:val="0"/>
          <w:sz w:val="32"/>
          <w:szCs w:val="32"/>
          <w:highlight w:val="none"/>
          <w:lang w:val="en-US" w:eastAsia="zh-CN" w:bidi="ar-SA"/>
        </w:rPr>
        <w:t>*Ａ+（１-Ｋ</w:t>
      </w:r>
      <w:r>
        <w:rPr>
          <w:rFonts w:hint="eastAsia" w:ascii="Times New Roman" w:hAnsi="Times New Roman" w:eastAsia="仿宋_GB2312" w:cs="仿宋_GB2312"/>
          <w:b w:val="0"/>
          <w:bCs w:val="0"/>
          <w:color w:val="auto"/>
          <w:kern w:val="0"/>
          <w:sz w:val="32"/>
          <w:szCs w:val="32"/>
          <w:highlight w:val="none"/>
          <w:vertAlign w:val="subscript"/>
          <w:lang w:val="en-US" w:eastAsia="zh-CN" w:bidi="ar-SA"/>
        </w:rPr>
        <w:t>１</w:t>
      </w:r>
      <w:r>
        <w:rPr>
          <w:rFonts w:hint="eastAsia" w:ascii="Times New Roman" w:hAnsi="Times New Roman" w:eastAsia="仿宋_GB2312" w:cs="仿宋_GB2312"/>
          <w:b w:val="0"/>
          <w:bCs w:val="0"/>
          <w:color w:val="auto"/>
          <w:kern w:val="0"/>
          <w:sz w:val="32"/>
          <w:szCs w:val="32"/>
          <w:highlight w:val="none"/>
          <w:lang w:val="en-US" w:eastAsia="zh-CN" w:bidi="ar-SA"/>
        </w:rPr>
        <w:t>）*Ｂ*（Ｋ</w:t>
      </w:r>
      <w:r>
        <w:rPr>
          <w:rFonts w:hint="eastAsia" w:ascii="Times New Roman" w:hAnsi="Times New Roman" w:eastAsia="仿宋_GB2312" w:cs="仿宋_GB2312"/>
          <w:b w:val="0"/>
          <w:bCs w:val="0"/>
          <w:color w:val="auto"/>
          <w:kern w:val="0"/>
          <w:sz w:val="32"/>
          <w:szCs w:val="32"/>
          <w:highlight w:val="none"/>
          <w:vertAlign w:val="subscript"/>
          <w:lang w:val="en-US" w:eastAsia="zh-CN" w:bidi="ar-SA"/>
        </w:rPr>
        <w:t>２</w:t>
      </w:r>
      <w:r>
        <w:rPr>
          <w:rFonts w:hint="eastAsia" w:ascii="Times New Roman" w:hAnsi="Times New Roman" w:eastAsia="仿宋_GB2312" w:cs="仿宋_GB2312"/>
          <w:b w:val="0"/>
          <w:bCs w:val="0"/>
          <w:color w:val="auto"/>
          <w:kern w:val="0"/>
          <w:sz w:val="32"/>
          <w:szCs w:val="32"/>
          <w:highlight w:val="none"/>
          <w:lang w:val="en-US" w:eastAsia="zh-CN" w:bidi="ar-SA"/>
        </w:rPr>
        <w:t>-2%）</w:t>
      </w:r>
    </w:p>
    <w:p>
      <w:pPr>
        <w:pStyle w:val="2"/>
        <w:keepNext w:val="0"/>
        <w:keepLines w:val="0"/>
        <w:pageBreakBefore w:val="0"/>
        <w:kinsoku/>
        <w:wordWrap/>
        <w:overflowPunct/>
        <w:topLinePunct w:val="0"/>
        <w:autoSpaceDE/>
        <w:autoSpaceDN/>
        <w:bidi w:val="0"/>
        <w:adjustRightInd/>
        <w:spacing w:after="0" w:line="560" w:lineRule="exact"/>
        <w:ind w:left="0" w:leftChars="0" w:firstLine="640" w:firstLineChars="200"/>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Ｄ</w:t>
      </w:r>
      <w:r>
        <w:rPr>
          <w:rFonts w:hint="eastAsia" w:ascii="Times New Roman" w:hAnsi="Times New Roman" w:eastAsia="仿宋_GB2312" w:cs="仿宋_GB2312"/>
          <w:b w:val="0"/>
          <w:bCs w:val="0"/>
          <w:color w:val="auto"/>
          <w:kern w:val="0"/>
          <w:sz w:val="32"/>
          <w:szCs w:val="32"/>
          <w:highlight w:val="none"/>
          <w:vertAlign w:val="subscript"/>
          <w:lang w:val="en-US" w:eastAsia="zh-CN" w:bidi="ar-SA"/>
        </w:rPr>
        <w:t>3</w:t>
      </w:r>
      <w:r>
        <w:rPr>
          <w:rFonts w:hint="eastAsia" w:ascii="Times New Roman" w:hAnsi="Times New Roman" w:eastAsia="仿宋_GB2312" w:cs="仿宋_GB2312"/>
          <w:b w:val="0"/>
          <w:bCs w:val="0"/>
          <w:color w:val="auto"/>
          <w:kern w:val="0"/>
          <w:sz w:val="32"/>
          <w:szCs w:val="32"/>
          <w:highlight w:val="none"/>
          <w:lang w:val="en-US" w:eastAsia="zh-CN" w:bidi="ar-SA"/>
        </w:rPr>
        <w:t>=Ｋ</w:t>
      </w:r>
      <w:r>
        <w:rPr>
          <w:rFonts w:hint="eastAsia" w:ascii="Times New Roman" w:hAnsi="Times New Roman" w:eastAsia="仿宋_GB2312" w:cs="仿宋_GB2312"/>
          <w:b w:val="0"/>
          <w:bCs w:val="0"/>
          <w:color w:val="auto"/>
          <w:kern w:val="0"/>
          <w:sz w:val="32"/>
          <w:szCs w:val="32"/>
          <w:highlight w:val="none"/>
          <w:vertAlign w:val="subscript"/>
          <w:lang w:val="en-US" w:eastAsia="zh-CN" w:bidi="ar-SA"/>
        </w:rPr>
        <w:t>１</w:t>
      </w:r>
      <w:r>
        <w:rPr>
          <w:rFonts w:hint="eastAsia" w:ascii="Times New Roman" w:hAnsi="Times New Roman" w:eastAsia="仿宋_GB2312" w:cs="仿宋_GB2312"/>
          <w:b w:val="0"/>
          <w:bCs w:val="0"/>
          <w:color w:val="auto"/>
          <w:kern w:val="0"/>
          <w:sz w:val="32"/>
          <w:szCs w:val="32"/>
          <w:highlight w:val="none"/>
          <w:lang w:val="en-US" w:eastAsia="zh-CN" w:bidi="ar-SA"/>
        </w:rPr>
        <w:t>*Ａ+（１-Ｋ</w:t>
      </w:r>
      <w:r>
        <w:rPr>
          <w:rFonts w:hint="eastAsia" w:ascii="Times New Roman" w:hAnsi="Times New Roman" w:eastAsia="仿宋_GB2312" w:cs="仿宋_GB2312"/>
          <w:b w:val="0"/>
          <w:bCs w:val="0"/>
          <w:color w:val="auto"/>
          <w:kern w:val="0"/>
          <w:sz w:val="32"/>
          <w:szCs w:val="32"/>
          <w:highlight w:val="none"/>
          <w:vertAlign w:val="subscript"/>
          <w:lang w:val="en-US" w:eastAsia="zh-CN" w:bidi="ar-SA"/>
        </w:rPr>
        <w:t>１</w:t>
      </w:r>
      <w:r>
        <w:rPr>
          <w:rFonts w:hint="eastAsia" w:ascii="Times New Roman" w:hAnsi="Times New Roman" w:eastAsia="仿宋_GB2312" w:cs="仿宋_GB2312"/>
          <w:b w:val="0"/>
          <w:bCs w:val="0"/>
          <w:color w:val="auto"/>
          <w:kern w:val="0"/>
          <w:sz w:val="32"/>
          <w:szCs w:val="32"/>
          <w:highlight w:val="none"/>
          <w:lang w:val="en-US" w:eastAsia="zh-CN" w:bidi="ar-SA"/>
        </w:rPr>
        <w:t>）*Ｂ*（Ｋ</w:t>
      </w:r>
      <w:r>
        <w:rPr>
          <w:rFonts w:hint="eastAsia" w:ascii="Times New Roman" w:hAnsi="Times New Roman" w:eastAsia="仿宋_GB2312" w:cs="仿宋_GB2312"/>
          <w:b w:val="0"/>
          <w:bCs w:val="0"/>
          <w:color w:val="auto"/>
          <w:kern w:val="0"/>
          <w:sz w:val="32"/>
          <w:szCs w:val="32"/>
          <w:highlight w:val="none"/>
          <w:vertAlign w:val="subscript"/>
          <w:lang w:val="en-US" w:eastAsia="zh-CN" w:bidi="ar-SA"/>
        </w:rPr>
        <w:t>２</w:t>
      </w:r>
      <w:r>
        <w:rPr>
          <w:rFonts w:hint="eastAsia" w:ascii="Times New Roman" w:hAnsi="Times New Roman" w:eastAsia="仿宋_GB2312" w:cs="仿宋_GB2312"/>
          <w:b w:val="0"/>
          <w:bCs w:val="0"/>
          <w:color w:val="auto"/>
          <w:kern w:val="0"/>
          <w:sz w:val="32"/>
          <w:szCs w:val="32"/>
          <w:highlight w:val="none"/>
          <w:lang w:val="en-US" w:eastAsia="zh-CN" w:bidi="ar-SA"/>
        </w:rPr>
        <w:t>+2%）</w:t>
      </w:r>
    </w:p>
    <w:p>
      <w:pPr>
        <w:pStyle w:val="2"/>
        <w:keepNext w:val="0"/>
        <w:keepLines w:val="0"/>
        <w:pageBreakBefore w:val="0"/>
        <w:kinsoku/>
        <w:wordWrap/>
        <w:overflowPunct/>
        <w:topLinePunct w:val="0"/>
        <w:autoSpaceDE/>
        <w:autoSpaceDN/>
        <w:bidi w:val="0"/>
        <w:adjustRightInd/>
        <w:spacing w:after="0" w:line="560" w:lineRule="exact"/>
        <w:ind w:left="0" w:leftChars="0" w:firstLine="640" w:firstLineChars="200"/>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Ｋ</w:t>
      </w:r>
      <w:r>
        <w:rPr>
          <w:rFonts w:hint="eastAsia" w:ascii="Times New Roman" w:hAnsi="Times New Roman" w:eastAsia="仿宋_GB2312" w:cs="仿宋_GB2312"/>
          <w:b w:val="0"/>
          <w:bCs w:val="0"/>
          <w:color w:val="auto"/>
          <w:kern w:val="0"/>
          <w:sz w:val="32"/>
          <w:szCs w:val="32"/>
          <w:highlight w:val="none"/>
          <w:vertAlign w:val="subscript"/>
          <w:lang w:val="en-US" w:eastAsia="zh-CN" w:bidi="ar-SA"/>
        </w:rPr>
        <w:t>１</w:t>
      </w:r>
      <w:r>
        <w:rPr>
          <w:rFonts w:hint="eastAsia" w:ascii="Times New Roman" w:hAnsi="Times New Roman" w:eastAsia="仿宋_GB2312" w:cs="仿宋_GB2312"/>
          <w:b w:val="0"/>
          <w:bCs w:val="0"/>
          <w:color w:val="auto"/>
          <w:kern w:val="0"/>
          <w:sz w:val="32"/>
          <w:szCs w:val="32"/>
          <w:highlight w:val="none"/>
          <w:lang w:val="en-US" w:eastAsia="zh-CN" w:bidi="ar-SA"/>
        </w:rPr>
        <w:t>（权重系数），由招标人在开标现场随机抽取确定，范围暂定为0.4～0.6，抽取值均匀分布数量不少于５个，具体应在招标文件中明确；</w:t>
      </w:r>
    </w:p>
    <w:p>
      <w:pPr>
        <w:pStyle w:val="2"/>
        <w:keepNext w:val="0"/>
        <w:keepLines w:val="0"/>
        <w:pageBreakBefore w:val="0"/>
        <w:kinsoku/>
        <w:wordWrap/>
        <w:overflowPunct/>
        <w:topLinePunct w:val="0"/>
        <w:autoSpaceDE/>
        <w:autoSpaceDN/>
        <w:bidi w:val="0"/>
        <w:adjustRightInd/>
        <w:spacing w:after="0" w:line="560" w:lineRule="exact"/>
        <w:ind w:left="0" w:leftChars="0"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Ａ（投标报价算术平均值）：在所有投标报价中去掉超过最高报价限价和未缴纳投标保证金（以交易系统查询数据为准）的投标后，再去除报价最高和最低各20％个（按去掉超过最高报价限价和未缴纳投标保证金的投标后的投标人数量为基数；不为整数的，按四舍五入取整）后进行算术平均。</w:t>
      </w:r>
    </w:p>
    <w:p>
      <w:pPr>
        <w:pStyle w:val="2"/>
        <w:keepNext w:val="0"/>
        <w:keepLines w:val="0"/>
        <w:pageBreakBefore w:val="0"/>
        <w:kinsoku/>
        <w:wordWrap/>
        <w:overflowPunct/>
        <w:topLinePunct w:val="0"/>
        <w:autoSpaceDE/>
        <w:autoSpaceDN/>
        <w:bidi w:val="0"/>
        <w:adjustRightInd/>
        <w:spacing w:after="0" w:line="560" w:lineRule="exact"/>
        <w:ind w:left="0" w:leftChars="0"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Ｂ＝最高报价限价。</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Ｋ</w:t>
      </w:r>
      <w:r>
        <w:rPr>
          <w:rFonts w:hint="eastAsia" w:ascii="Times New Roman" w:hAnsi="Times New Roman" w:eastAsia="仿宋_GB2312" w:cs="仿宋_GB2312"/>
          <w:b w:val="0"/>
          <w:bCs w:val="0"/>
          <w:color w:val="auto"/>
          <w:kern w:val="0"/>
          <w:sz w:val="32"/>
          <w:szCs w:val="32"/>
          <w:highlight w:val="none"/>
          <w:vertAlign w:val="subscript"/>
          <w:lang w:val="en-US" w:eastAsia="zh-CN" w:bidi="ar-SA"/>
        </w:rPr>
        <w:t>２</w:t>
      </w:r>
      <w:r>
        <w:rPr>
          <w:rFonts w:hint="eastAsia" w:ascii="Times New Roman" w:hAnsi="Times New Roman" w:eastAsia="仿宋_GB2312" w:cs="仿宋_GB2312"/>
          <w:b w:val="0"/>
          <w:bCs w:val="0"/>
          <w:color w:val="auto"/>
          <w:kern w:val="0"/>
          <w:sz w:val="32"/>
          <w:szCs w:val="32"/>
          <w:highlight w:val="none"/>
          <w:lang w:val="en-US" w:eastAsia="zh-CN" w:bidi="ar-SA"/>
        </w:rPr>
        <w:t>（平均浮动系数），范围暂定为：93%～87%（招标文件中设定具体范围，上下区间的均值应小于90%，幅度为6个百分点），抽取值均匀分布且数量不少于10个（具体在招标文件中明确），由招标人在开标会现场随机抽取确定。</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分三阶段确定15家投标人进入评审区间：</w:t>
      </w:r>
    </w:p>
    <w:p>
      <w:pPr>
        <w:pStyle w:val="2"/>
        <w:keepNext w:val="0"/>
        <w:keepLines w:val="0"/>
        <w:pageBreakBefore w:val="0"/>
        <w:kinsoku/>
        <w:wordWrap/>
        <w:overflowPunct/>
        <w:topLinePunct w:val="0"/>
        <w:autoSpaceDE/>
        <w:autoSpaceDN/>
        <w:bidi w:val="0"/>
        <w:adjustRightInd/>
        <w:spacing w:after="0" w:line="560" w:lineRule="exact"/>
        <w:ind w:left="0" w:leftChars="0"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1.以Ｄ</w:t>
      </w:r>
      <w:r>
        <w:rPr>
          <w:rFonts w:hint="eastAsia" w:ascii="Times New Roman" w:hAnsi="Times New Roman" w:eastAsia="仿宋_GB2312" w:cs="仿宋_GB2312"/>
          <w:b w:val="0"/>
          <w:bCs w:val="0"/>
          <w:color w:val="auto"/>
          <w:kern w:val="0"/>
          <w:sz w:val="32"/>
          <w:szCs w:val="32"/>
          <w:highlight w:val="none"/>
          <w:vertAlign w:val="subscript"/>
          <w:lang w:val="en-US" w:eastAsia="zh-CN" w:bidi="ar-SA"/>
        </w:rPr>
        <w:t>2</w:t>
      </w:r>
      <w:r>
        <w:rPr>
          <w:rFonts w:hint="eastAsia" w:ascii="Times New Roman" w:hAnsi="Times New Roman" w:eastAsia="仿宋_GB2312" w:cs="仿宋_GB2312"/>
          <w:b w:val="0"/>
          <w:bCs w:val="0"/>
          <w:color w:val="auto"/>
          <w:kern w:val="0"/>
          <w:sz w:val="32"/>
          <w:szCs w:val="32"/>
          <w:highlight w:val="none"/>
          <w:lang w:val="en-US" w:eastAsia="zh-CN" w:bidi="ar-SA"/>
        </w:rPr>
        <w:t>为基准确定6家投标人（绝对值相同时取报价低的，报价也相同的并列进入评审区间）</w:t>
      </w:r>
    </w:p>
    <w:p>
      <w:pPr>
        <w:pStyle w:val="2"/>
        <w:keepNext w:val="0"/>
        <w:keepLines w:val="0"/>
        <w:pageBreakBefore w:val="0"/>
        <w:kinsoku/>
        <w:wordWrap/>
        <w:overflowPunct/>
        <w:topLinePunct w:val="0"/>
        <w:autoSpaceDE/>
        <w:autoSpaceDN/>
        <w:bidi w:val="0"/>
        <w:adjustRightInd/>
        <w:spacing w:after="0" w:line="560" w:lineRule="exact"/>
        <w:ind w:left="0" w:leftChars="0"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2.以Ｄ</w:t>
      </w:r>
      <w:r>
        <w:rPr>
          <w:rFonts w:hint="eastAsia" w:ascii="Times New Roman" w:hAnsi="Times New Roman" w:eastAsia="仿宋_GB2312" w:cs="仿宋_GB2312"/>
          <w:b w:val="0"/>
          <w:bCs w:val="0"/>
          <w:color w:val="auto"/>
          <w:kern w:val="0"/>
          <w:sz w:val="32"/>
          <w:szCs w:val="32"/>
          <w:highlight w:val="none"/>
          <w:vertAlign w:val="subscript"/>
          <w:lang w:val="en-US" w:eastAsia="zh-CN" w:bidi="ar-SA"/>
        </w:rPr>
        <w:t>1</w:t>
      </w:r>
      <w:r>
        <w:rPr>
          <w:rFonts w:hint="eastAsia" w:ascii="Times New Roman" w:hAnsi="Times New Roman" w:eastAsia="仿宋_GB2312" w:cs="仿宋_GB2312"/>
          <w:b w:val="0"/>
          <w:bCs w:val="0"/>
          <w:color w:val="auto"/>
          <w:kern w:val="0"/>
          <w:sz w:val="32"/>
          <w:szCs w:val="32"/>
          <w:highlight w:val="none"/>
          <w:lang w:val="en-US" w:eastAsia="zh-CN" w:bidi="ar-SA"/>
        </w:rPr>
        <w:t>为基准确定5家投标人（经（1）确定投标人后，可进入评审区间投标人数量已不足5家的，按实际数量计；绝对值相同时取报价低的，报价也相同的并列进入评审区间）</w:t>
      </w:r>
    </w:p>
    <w:p>
      <w:pPr>
        <w:pStyle w:val="2"/>
        <w:keepNext w:val="0"/>
        <w:keepLines w:val="0"/>
        <w:pageBreakBefore w:val="0"/>
        <w:kinsoku/>
        <w:wordWrap/>
        <w:overflowPunct/>
        <w:topLinePunct w:val="0"/>
        <w:autoSpaceDE/>
        <w:autoSpaceDN/>
        <w:bidi w:val="0"/>
        <w:adjustRightInd/>
        <w:spacing w:after="0" w:line="560" w:lineRule="exact"/>
        <w:ind w:left="0" w:leftChars="0"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3.以Ｄ3为基准确定4家投标人（经（1）、（2）确定投标人后，可进入评审区间投标人数量已不足4家的，按实际数量计；绝对值相同时取报价低的，报价也相同的并列进入评审区间）</w:t>
      </w:r>
    </w:p>
    <w:p>
      <w:pPr>
        <w:ind w:firstLine="640" w:firstLineChars="200"/>
        <w:rPr>
          <w:rFonts w:hint="default"/>
          <w:color w:val="auto"/>
          <w:highlight w:val="none"/>
          <w:lang w:val="en-US" w:eastAsia="zh-CN"/>
        </w:rPr>
      </w:pPr>
      <w:r>
        <w:rPr>
          <w:rFonts w:hint="eastAsia" w:ascii="Times New Roman" w:hAnsi="Times New Roman" w:eastAsia="仿宋_GB2312" w:cs="仿宋_GB2312"/>
          <w:b w:val="0"/>
          <w:bCs w:val="0"/>
          <w:color w:val="auto"/>
          <w:kern w:val="0"/>
          <w:sz w:val="32"/>
          <w:szCs w:val="32"/>
          <w:highlight w:val="none"/>
          <w:lang w:val="en-US" w:eastAsia="zh-CN" w:bidi="ar-SA"/>
        </w:rPr>
        <w:t>4.进入评审区间的投标人经评审，有效标不足3家的，以Ｄ</w:t>
      </w:r>
      <w:r>
        <w:rPr>
          <w:rFonts w:hint="eastAsia" w:ascii="Times New Roman" w:hAnsi="Times New Roman" w:eastAsia="仿宋_GB2312" w:cs="仿宋_GB2312"/>
          <w:b w:val="0"/>
          <w:bCs w:val="0"/>
          <w:color w:val="auto"/>
          <w:kern w:val="0"/>
          <w:sz w:val="32"/>
          <w:szCs w:val="32"/>
          <w:highlight w:val="none"/>
          <w:vertAlign w:val="subscript"/>
          <w:lang w:val="en-US" w:eastAsia="zh-CN" w:bidi="ar-SA"/>
        </w:rPr>
        <w:t>2</w:t>
      </w:r>
      <w:r>
        <w:rPr>
          <w:rFonts w:hint="eastAsia" w:ascii="Times New Roman" w:hAnsi="Times New Roman" w:eastAsia="仿宋_GB2312" w:cs="仿宋_GB2312"/>
          <w:b w:val="0"/>
          <w:bCs w:val="0"/>
          <w:color w:val="auto"/>
          <w:kern w:val="0"/>
          <w:sz w:val="32"/>
          <w:szCs w:val="32"/>
          <w:highlight w:val="none"/>
          <w:lang w:val="en-US" w:eastAsia="zh-CN" w:bidi="ar-SA"/>
        </w:rPr>
        <w:t>为基准补充确定进入评审区间的投标人，直至有效标数量满足3家（绝对值相同时取报价低的，报价也相同的并列进入评审区间）。</w:t>
      </w:r>
    </w:p>
    <w:p>
      <w:pPr>
        <w:pStyle w:val="2"/>
        <w:keepNext w:val="0"/>
        <w:keepLines w:val="0"/>
        <w:pageBreakBefore w:val="0"/>
        <w:kinsoku/>
        <w:wordWrap/>
        <w:overflowPunct/>
        <w:topLinePunct w:val="0"/>
        <w:autoSpaceDE/>
        <w:autoSpaceDN/>
        <w:bidi w:val="0"/>
        <w:adjustRightInd/>
        <w:spacing w:after="0" w:line="560" w:lineRule="exact"/>
        <w:ind w:left="0" w:leftChars="0"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5.评审区间评标基准价D计算精度保留到分，除计算差错外，评标过程中基准价保持不变。</w:t>
      </w:r>
    </w:p>
    <w:p>
      <w:pPr>
        <w:pStyle w:val="14"/>
        <w:keepNext w:val="0"/>
        <w:keepLines w:val="0"/>
        <w:pageBreakBefore w:val="0"/>
        <w:numPr>
          <w:ilvl w:val="0"/>
          <w:numId w:val="0"/>
        </w:numPr>
        <w:kinsoku/>
        <w:wordWrap/>
        <w:overflowPunct/>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计算差错，仅限于以下两种情况：（1）纯算术性四则运算差错；（2）未按约定的计算方法，多计或者少计投标人报价的。由于评标差错，导致否决投标错误，重新评标纠正等其他情况，不属于计算差错。</w:t>
      </w:r>
    </w:p>
    <w:p>
      <w:pPr>
        <w:keepNext w:val="0"/>
        <w:keepLines w:val="0"/>
        <w:pageBreakBefore w:val="0"/>
        <w:widowControl/>
        <w:kinsoku/>
        <w:wordWrap/>
        <w:overflowPunct/>
        <w:topLinePunct w:val="0"/>
        <w:autoSpaceDE/>
        <w:autoSpaceDN/>
        <w:bidi w:val="0"/>
        <w:adjustRightInd/>
        <w:snapToGrid w:val="0"/>
        <w:spacing w:line="560" w:lineRule="exact"/>
        <w:textAlignment w:val="auto"/>
        <w:rPr>
          <w:rFonts w:hint="eastAsia" w:ascii="Times New Roman" w:hAnsi="Times New Roman" w:eastAsia="黑体" w:cs="黑体"/>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br w:type="page"/>
      </w:r>
      <w:r>
        <w:rPr>
          <w:rFonts w:hint="eastAsia" w:ascii="Times New Roman" w:hAnsi="Times New Roman" w:eastAsia="黑体" w:cs="黑体"/>
          <w:b w:val="0"/>
          <w:bCs w:val="0"/>
          <w:color w:val="auto"/>
          <w:kern w:val="0"/>
          <w:sz w:val="32"/>
          <w:szCs w:val="32"/>
          <w:highlight w:val="none"/>
          <w:lang w:val="en-US" w:eastAsia="zh-CN" w:bidi="ar-SA"/>
        </w:rPr>
        <w:t>附件4</w:t>
      </w:r>
    </w:p>
    <w:p>
      <w:pPr>
        <w:pStyle w:val="2"/>
        <w:keepNext w:val="0"/>
        <w:keepLines w:val="0"/>
        <w:pageBreakBefore w:val="0"/>
        <w:kinsoku/>
        <w:wordWrap/>
        <w:overflowPunct/>
        <w:topLinePunct w:val="0"/>
        <w:autoSpaceDE/>
        <w:autoSpaceDN/>
        <w:bidi w:val="0"/>
        <w:adjustRightInd/>
        <w:spacing w:after="0" w:line="560" w:lineRule="exact"/>
        <w:ind w:left="0" w:leftChars="0"/>
        <w:jc w:val="center"/>
        <w:textAlignment w:val="auto"/>
        <w:rPr>
          <w:rFonts w:hint="eastAsia" w:ascii="Times New Roman" w:hAnsi="Times New Roman" w:eastAsia="方正小标宋简体" w:cs="方正小标宋简体"/>
          <w:b w:val="0"/>
          <w:bCs w:val="0"/>
          <w:color w:val="auto"/>
          <w:kern w:val="2"/>
          <w:sz w:val="44"/>
          <w:szCs w:val="44"/>
          <w:highlight w:val="none"/>
          <w:lang w:val="en-US" w:eastAsia="zh-CN" w:bidi="ar-SA"/>
        </w:rPr>
      </w:pPr>
      <w:r>
        <w:rPr>
          <w:rFonts w:hint="eastAsia" w:ascii="Times New Roman" w:hAnsi="Times New Roman" w:eastAsia="方正小标宋简体" w:cs="方正小标宋简体"/>
          <w:b w:val="0"/>
          <w:bCs w:val="0"/>
          <w:color w:val="auto"/>
          <w:kern w:val="2"/>
          <w:sz w:val="44"/>
          <w:szCs w:val="44"/>
          <w:highlight w:val="none"/>
          <w:lang w:val="en-US" w:eastAsia="zh-CN" w:bidi="ar-SA"/>
        </w:rPr>
        <w:t>综合评审办法（一）</w:t>
      </w: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Times New Roman" w:hAnsi="Times New Roman" w:eastAsia="楷体_GB2312" w:cs="楷体_GB2312"/>
          <w:b w:val="0"/>
          <w:bCs/>
          <w:color w:val="auto"/>
          <w:sz w:val="32"/>
          <w:szCs w:val="32"/>
          <w:highlight w:val="none"/>
        </w:rPr>
      </w:pPr>
      <w:r>
        <w:rPr>
          <w:rFonts w:hint="eastAsia" w:ascii="Times New Roman" w:hAnsi="Times New Roman" w:eastAsia="楷体_GB2312" w:cs="楷体_GB2312"/>
          <w:b w:val="0"/>
          <w:bCs/>
          <w:color w:val="auto"/>
          <w:sz w:val="32"/>
          <w:szCs w:val="32"/>
          <w:highlight w:val="none"/>
          <w:lang w:val="en-US" w:eastAsia="zh-CN"/>
        </w:rPr>
        <w:t>（适用</w:t>
      </w:r>
      <w:r>
        <w:rPr>
          <w:rFonts w:hint="eastAsia" w:ascii="Times New Roman" w:hAnsi="Times New Roman" w:eastAsia="楷体_GB2312" w:cs="楷体_GB2312"/>
          <w:b w:val="0"/>
          <w:bCs/>
          <w:color w:val="auto"/>
          <w:sz w:val="32"/>
          <w:szCs w:val="32"/>
          <w:highlight w:val="none"/>
        </w:rPr>
        <w:t>技术标通过制的综合评估法</w:t>
      </w:r>
      <w:r>
        <w:rPr>
          <w:rFonts w:hint="eastAsia" w:ascii="Times New Roman" w:hAnsi="Times New Roman" w:eastAsia="楷体_GB2312" w:cs="楷体_GB2312"/>
          <w:b w:val="0"/>
          <w:bCs/>
          <w:color w:val="auto"/>
          <w:sz w:val="32"/>
          <w:szCs w:val="32"/>
          <w:highlight w:val="none"/>
          <w:lang w:val="en-US" w:eastAsia="zh-CN"/>
        </w:rPr>
        <w:t>）</w:t>
      </w: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textAlignment w:val="auto"/>
        <w:rPr>
          <w:rFonts w:hint="eastAsia" w:ascii="Times New Roman" w:hAnsi="Times New Roman" w:eastAsia="仿宋_GB2312" w:cs="仿宋_GB2312"/>
          <w:color w:val="auto"/>
          <w:sz w:val="32"/>
          <w:szCs w:val="32"/>
          <w:highlight w:val="none"/>
        </w:rPr>
      </w:pPr>
    </w:p>
    <w:p>
      <w:pPr>
        <w:keepNext w:val="0"/>
        <w:keepLines w:val="0"/>
        <w:pageBreakBefore w:val="0"/>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综合评审评分=商务总报价评分（≥85分）</w:t>
      </w:r>
      <w:r>
        <w:rPr>
          <w:rFonts w:hint="eastAsia" w:ascii="Times New Roman" w:hAnsi="Times New Roman" w:eastAsia="仿宋_GB2312" w:cs="仿宋_GB2312"/>
          <w:b w:val="0"/>
          <w:bCs w:val="0"/>
          <w:color w:val="auto"/>
          <w:kern w:val="0"/>
          <w:sz w:val="32"/>
          <w:szCs w:val="32"/>
          <w:highlight w:val="none"/>
          <w:u w:val="single"/>
          <w:lang w:val="en-US" w:eastAsia="zh-CN" w:bidi="ar-SA"/>
        </w:rPr>
        <w:t xml:space="preserve">    </w:t>
      </w:r>
      <w:r>
        <w:rPr>
          <w:rFonts w:hint="eastAsia" w:ascii="Times New Roman" w:hAnsi="Times New Roman" w:eastAsia="仿宋_GB2312" w:cs="仿宋_GB2312"/>
          <w:b w:val="0"/>
          <w:bCs w:val="0"/>
          <w:color w:val="auto"/>
          <w:kern w:val="0"/>
          <w:sz w:val="32"/>
          <w:szCs w:val="32"/>
          <w:highlight w:val="none"/>
          <w:lang w:val="en-US" w:eastAsia="zh-CN" w:bidi="ar-SA"/>
        </w:rPr>
        <w:t>分、工程量清单综合单价评分（≤10分</w:t>
      </w:r>
      <w:r>
        <w:rPr>
          <w:rFonts w:hint="eastAsia" w:ascii="Times New Roman" w:hAnsi="Times New Roman" w:eastAsia="仿宋_GB2312" w:cs="仿宋_GB2312"/>
          <w:b w:val="0"/>
          <w:bCs w:val="0"/>
          <w:color w:val="auto"/>
          <w:kern w:val="0"/>
          <w:sz w:val="32"/>
          <w:szCs w:val="32"/>
          <w:highlight w:val="none"/>
          <w:u w:val="none"/>
          <w:lang w:val="en-US" w:eastAsia="zh-CN" w:bidi="ar-SA"/>
        </w:rPr>
        <w:t>）</w:t>
      </w:r>
      <w:r>
        <w:rPr>
          <w:rFonts w:hint="eastAsia" w:ascii="Times New Roman" w:hAnsi="Times New Roman" w:eastAsia="仿宋_GB2312" w:cs="仿宋_GB2312"/>
          <w:b w:val="0"/>
          <w:bCs w:val="0"/>
          <w:color w:val="auto"/>
          <w:kern w:val="0"/>
          <w:sz w:val="32"/>
          <w:szCs w:val="32"/>
          <w:highlight w:val="none"/>
          <w:u w:val="single"/>
          <w:lang w:val="en-US" w:eastAsia="zh-CN" w:bidi="ar-SA"/>
        </w:rPr>
        <w:t xml:space="preserve">    </w:t>
      </w:r>
      <w:r>
        <w:rPr>
          <w:rFonts w:hint="eastAsia" w:ascii="Times New Roman" w:hAnsi="Times New Roman" w:eastAsia="仿宋_GB2312" w:cs="仿宋_GB2312"/>
          <w:b w:val="0"/>
          <w:bCs w:val="0"/>
          <w:color w:val="auto"/>
          <w:kern w:val="0"/>
          <w:sz w:val="32"/>
          <w:szCs w:val="32"/>
          <w:highlight w:val="none"/>
          <w:lang w:val="en-US" w:eastAsia="zh-CN" w:bidi="ar-SA"/>
        </w:rPr>
        <w:t>分、信用评价（履约评价）评分（≤5分）</w:t>
      </w:r>
      <w:r>
        <w:rPr>
          <w:rFonts w:hint="eastAsia" w:ascii="Times New Roman" w:hAnsi="Times New Roman" w:eastAsia="仿宋_GB2312" w:cs="仿宋_GB2312"/>
          <w:b w:val="0"/>
          <w:bCs w:val="0"/>
          <w:color w:val="auto"/>
          <w:kern w:val="0"/>
          <w:sz w:val="32"/>
          <w:szCs w:val="32"/>
          <w:highlight w:val="none"/>
          <w:u w:val="single"/>
          <w:lang w:val="en-US" w:eastAsia="zh-CN" w:bidi="ar-SA"/>
        </w:rPr>
        <w:t xml:space="preserve">    </w:t>
      </w:r>
      <w:r>
        <w:rPr>
          <w:rFonts w:hint="eastAsia" w:ascii="Times New Roman" w:hAnsi="Times New Roman" w:eastAsia="仿宋_GB2312" w:cs="仿宋_GB2312"/>
          <w:b w:val="0"/>
          <w:bCs w:val="0"/>
          <w:color w:val="auto"/>
          <w:kern w:val="0"/>
          <w:sz w:val="32"/>
          <w:szCs w:val="32"/>
          <w:highlight w:val="none"/>
          <w:lang w:val="en-US" w:eastAsia="zh-CN" w:bidi="ar-SA"/>
        </w:rPr>
        <w:t>分。</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Times New Roman" w:hAnsi="Times New Roman" w:eastAsia="黑体" w:cs="黑体"/>
          <w:b w:val="0"/>
          <w:bCs w:val="0"/>
          <w:color w:val="auto"/>
          <w:kern w:val="0"/>
          <w:sz w:val="32"/>
          <w:szCs w:val="32"/>
          <w:highlight w:val="none"/>
          <w:lang w:val="en-US" w:eastAsia="zh-CN" w:bidi="ar-SA"/>
        </w:rPr>
      </w:pPr>
      <w:r>
        <w:rPr>
          <w:rFonts w:hint="eastAsia" w:ascii="Times New Roman" w:hAnsi="Times New Roman" w:eastAsia="黑体" w:cs="黑体"/>
          <w:b w:val="0"/>
          <w:bCs w:val="0"/>
          <w:color w:val="auto"/>
          <w:kern w:val="0"/>
          <w:sz w:val="32"/>
          <w:szCs w:val="32"/>
          <w:highlight w:val="none"/>
          <w:lang w:val="en-US" w:eastAsia="zh-CN" w:bidi="ar-SA"/>
        </w:rPr>
        <w:t>一、商务总报价评分（≥85分）</w:t>
      </w:r>
    </w:p>
    <w:p>
      <w:pPr>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投标报价等于评标基准价时，商务总报价评分为满分；投标报价每低于评标基准价1%扣A分(A=2或3，由招标人自行在招标文件中明确)；每高于评标基准价1%扣2A分。不足一个百分点时，使用直线插入法计算，结果四舍五入保留两位小数。</w:t>
      </w:r>
    </w:p>
    <w:p>
      <w:pPr>
        <w:pStyle w:val="2"/>
        <w:keepNext w:val="0"/>
        <w:keepLines w:val="0"/>
        <w:pageBreakBefore w:val="0"/>
        <w:kinsoku/>
        <w:wordWrap/>
        <w:overflowPunct/>
        <w:topLinePunct w:val="0"/>
        <w:autoSpaceDE/>
        <w:autoSpaceDN/>
        <w:bidi w:val="0"/>
        <w:adjustRightInd/>
        <w:spacing w:after="0" w:line="560" w:lineRule="exact"/>
        <w:ind w:left="0" w:leftChars="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 xml:space="preserve">    评标基准价为进入综合评审的有效投标报价算术平均值。</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Times New Roman" w:hAnsi="Times New Roman" w:eastAsia="黑体" w:cs="黑体"/>
          <w:b w:val="0"/>
          <w:bCs w:val="0"/>
          <w:color w:val="auto"/>
          <w:kern w:val="0"/>
          <w:sz w:val="32"/>
          <w:szCs w:val="32"/>
          <w:highlight w:val="none"/>
          <w:lang w:val="en-US" w:eastAsia="zh-CN" w:bidi="ar-SA"/>
        </w:rPr>
      </w:pPr>
      <w:r>
        <w:rPr>
          <w:rFonts w:hint="eastAsia" w:ascii="Times New Roman" w:hAnsi="Times New Roman" w:eastAsia="黑体" w:cs="黑体"/>
          <w:b w:val="0"/>
          <w:bCs w:val="0"/>
          <w:color w:val="auto"/>
          <w:kern w:val="0"/>
          <w:sz w:val="32"/>
          <w:szCs w:val="32"/>
          <w:highlight w:val="none"/>
          <w:lang w:val="en-US" w:eastAsia="zh-CN" w:bidi="ar-SA"/>
        </w:rPr>
        <w:t>二、工程量清单综合单价评分（≤10分）</w:t>
      </w:r>
    </w:p>
    <w:p>
      <w:pPr>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仿宋_GB2312"/>
          <w:b/>
          <w:bCs/>
          <w:color w:val="auto"/>
          <w:kern w:val="0"/>
          <w:sz w:val="32"/>
          <w:szCs w:val="32"/>
          <w:highlight w:val="none"/>
          <w:lang w:val="en-US" w:eastAsia="zh-CN" w:bidi="ar-SA"/>
        </w:rPr>
      </w:pPr>
      <w:r>
        <w:rPr>
          <w:rFonts w:hint="eastAsia" w:ascii="楷体_GB2312" w:hAnsi="楷体_GB2312" w:eastAsia="楷体_GB2312" w:cs="楷体_GB2312"/>
          <w:b w:val="0"/>
          <w:bCs w:val="0"/>
          <w:color w:val="auto"/>
          <w:kern w:val="0"/>
          <w:sz w:val="32"/>
          <w:szCs w:val="32"/>
          <w:highlight w:val="none"/>
          <w:lang w:val="en-US" w:eastAsia="zh-CN" w:bidi="ar-SA"/>
        </w:rPr>
        <w:t>1.确定工程量清单的评价项目</w:t>
      </w:r>
    </w:p>
    <w:p>
      <w:pPr>
        <w:keepNext w:val="0"/>
        <w:keepLines w:val="0"/>
        <w:pageBreakBefore w:val="0"/>
        <w:kinsoku/>
        <w:wordWrap/>
        <w:overflowPunct/>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评价项目由招标人先行选定和计算机随机抽取两部分组成。招标人先行选定：由招标人在工程量清单中先行选定不超过10个项目（原则上取合计金额最大的项目）。计算机随机抽取：开标现场由招标人从招标文件工程量清单中（去除招标人自行选定项目）以计算机随机抽取的方式选定，数量同招标人先行选定数量一致。</w:t>
      </w:r>
    </w:p>
    <w:p>
      <w:pPr>
        <w:keepNext w:val="0"/>
        <w:keepLines w:val="0"/>
        <w:pageBreakBefore w:val="0"/>
        <w:numPr>
          <w:ilvl w:val="0"/>
          <w:numId w:val="0"/>
        </w:numPr>
        <w:kinsoku/>
        <w:wordWrap/>
        <w:overflowPunct/>
        <w:topLinePunct w:val="0"/>
        <w:autoSpaceDE/>
        <w:autoSpaceDN/>
        <w:bidi w:val="0"/>
        <w:adjustRightInd/>
        <w:spacing w:line="560" w:lineRule="exact"/>
        <w:ind w:left="0" w:leftChars="0" w:firstLine="640" w:firstLineChars="200"/>
        <w:jc w:val="both"/>
        <w:textAlignment w:val="auto"/>
        <w:rPr>
          <w:rFonts w:hint="eastAsia" w:ascii="楷体_GB2312" w:hAnsi="楷体_GB2312" w:eastAsia="楷体_GB2312" w:cs="楷体_GB2312"/>
          <w:b w:val="0"/>
          <w:bCs w:val="0"/>
          <w:color w:val="auto"/>
          <w:kern w:val="0"/>
          <w:sz w:val="32"/>
          <w:szCs w:val="32"/>
          <w:highlight w:val="none"/>
          <w:lang w:val="en-US" w:eastAsia="zh-CN" w:bidi="ar-SA"/>
        </w:rPr>
      </w:pPr>
      <w:r>
        <w:rPr>
          <w:rFonts w:hint="eastAsia" w:ascii="楷体_GB2312" w:hAnsi="楷体_GB2312" w:eastAsia="楷体_GB2312" w:cs="楷体_GB2312"/>
          <w:b w:val="0"/>
          <w:bCs w:val="0"/>
          <w:color w:val="auto"/>
          <w:kern w:val="0"/>
          <w:sz w:val="32"/>
          <w:szCs w:val="32"/>
          <w:highlight w:val="none"/>
          <w:lang w:val="en-US" w:eastAsia="zh-CN" w:bidi="ar-SA"/>
        </w:rPr>
        <w:t>2.综合单价的合理区间确定</w:t>
      </w:r>
    </w:p>
    <w:p>
      <w:pPr>
        <w:keepNext w:val="0"/>
        <w:keepLines w:val="0"/>
        <w:pageBreakBefore w:val="0"/>
        <w:numPr>
          <w:ilvl w:val="0"/>
          <w:numId w:val="0"/>
        </w:numPr>
        <w:kinsoku/>
        <w:wordWrap/>
        <w:overflowPunct/>
        <w:topLinePunct w:val="0"/>
        <w:autoSpaceDE/>
        <w:autoSpaceDN/>
        <w:bidi w:val="0"/>
        <w:adjustRightInd/>
        <w:spacing w:line="560" w:lineRule="exact"/>
        <w:ind w:left="0" w:leftChars="0"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以最高报价限价的相应清单项目综合单价为基准，由招标人自行设定各评价项目的合理区间[Ｋ</w:t>
      </w:r>
      <w:r>
        <w:rPr>
          <w:rFonts w:hint="eastAsia" w:ascii="Times New Roman" w:hAnsi="Times New Roman" w:eastAsia="仿宋_GB2312" w:cs="仿宋_GB2312"/>
          <w:b w:val="0"/>
          <w:bCs w:val="0"/>
          <w:color w:val="auto"/>
          <w:kern w:val="0"/>
          <w:sz w:val="32"/>
          <w:szCs w:val="32"/>
          <w:highlight w:val="none"/>
          <w:vertAlign w:val="subscript"/>
          <w:lang w:val="en-US" w:eastAsia="zh-CN" w:bidi="ar-SA"/>
        </w:rPr>
        <w:t>1</w:t>
      </w:r>
      <w:r>
        <w:rPr>
          <w:rFonts w:hint="eastAsia" w:ascii="Times New Roman" w:hAnsi="Times New Roman" w:eastAsia="仿宋_GB2312" w:cs="仿宋_GB2312"/>
          <w:b w:val="0"/>
          <w:bCs w:val="0"/>
          <w:color w:val="auto"/>
          <w:kern w:val="0"/>
          <w:sz w:val="32"/>
          <w:szCs w:val="32"/>
          <w:highlight w:val="none"/>
          <w:lang w:val="en-US" w:eastAsia="zh-CN" w:bidi="ar-SA"/>
        </w:rPr>
        <w:t>，Ｋ</w:t>
      </w:r>
      <w:r>
        <w:rPr>
          <w:rFonts w:hint="eastAsia" w:ascii="Times New Roman" w:hAnsi="Times New Roman" w:eastAsia="仿宋_GB2312" w:cs="仿宋_GB2312"/>
          <w:b w:val="0"/>
          <w:bCs w:val="0"/>
          <w:color w:val="auto"/>
          <w:kern w:val="0"/>
          <w:sz w:val="32"/>
          <w:szCs w:val="32"/>
          <w:highlight w:val="none"/>
          <w:vertAlign w:val="subscript"/>
          <w:lang w:val="en-US" w:eastAsia="zh-CN" w:bidi="ar-SA"/>
        </w:rPr>
        <w:t>2</w:t>
      </w:r>
      <w:r>
        <w:rPr>
          <w:rFonts w:hint="eastAsia" w:ascii="Times New Roman" w:hAnsi="Times New Roman" w:eastAsia="仿宋_GB2312" w:cs="仿宋_GB2312"/>
          <w:b w:val="0"/>
          <w:bCs w:val="0"/>
          <w:color w:val="auto"/>
          <w:kern w:val="0"/>
          <w:sz w:val="32"/>
          <w:szCs w:val="32"/>
          <w:highlight w:val="none"/>
          <w:lang w:val="en-US" w:eastAsia="zh-CN" w:bidi="ar-SA"/>
        </w:rPr>
        <w:t>]（Ｋ</w:t>
      </w:r>
      <w:r>
        <w:rPr>
          <w:rFonts w:hint="eastAsia" w:ascii="Times New Roman" w:hAnsi="Times New Roman" w:eastAsia="仿宋_GB2312" w:cs="仿宋_GB2312"/>
          <w:b w:val="0"/>
          <w:bCs w:val="0"/>
          <w:color w:val="auto"/>
          <w:kern w:val="0"/>
          <w:sz w:val="32"/>
          <w:szCs w:val="32"/>
          <w:highlight w:val="none"/>
          <w:vertAlign w:val="subscript"/>
          <w:lang w:val="en-US" w:eastAsia="zh-CN" w:bidi="ar-SA"/>
        </w:rPr>
        <w:t>1</w:t>
      </w:r>
      <w:r>
        <w:rPr>
          <w:rFonts w:hint="eastAsia" w:ascii="Times New Roman" w:hAnsi="Times New Roman" w:eastAsia="仿宋_GB2312" w:cs="仿宋_GB2312"/>
          <w:b w:val="0"/>
          <w:bCs w:val="0"/>
          <w:color w:val="auto"/>
          <w:kern w:val="0"/>
          <w:sz w:val="32"/>
          <w:szCs w:val="32"/>
          <w:highlight w:val="none"/>
          <w:lang w:val="en-US" w:eastAsia="zh-CN" w:bidi="ar-SA"/>
        </w:rPr>
        <w:t>≤-25％，Ｋ</w:t>
      </w:r>
      <w:r>
        <w:rPr>
          <w:rFonts w:hint="eastAsia" w:ascii="Times New Roman" w:hAnsi="Times New Roman" w:eastAsia="仿宋_GB2312" w:cs="仿宋_GB2312"/>
          <w:b w:val="0"/>
          <w:bCs w:val="0"/>
          <w:color w:val="auto"/>
          <w:kern w:val="0"/>
          <w:sz w:val="32"/>
          <w:szCs w:val="32"/>
          <w:highlight w:val="none"/>
          <w:vertAlign w:val="subscript"/>
          <w:lang w:val="en-US" w:eastAsia="zh-CN" w:bidi="ar-SA"/>
        </w:rPr>
        <w:t>2</w:t>
      </w:r>
      <w:r>
        <w:rPr>
          <w:rFonts w:hint="eastAsia" w:ascii="Times New Roman" w:hAnsi="Times New Roman" w:eastAsia="仿宋_GB2312" w:cs="仿宋_GB2312"/>
          <w:b w:val="0"/>
          <w:bCs w:val="0"/>
          <w:color w:val="auto"/>
          <w:kern w:val="0"/>
          <w:sz w:val="32"/>
          <w:szCs w:val="32"/>
          <w:highlight w:val="none"/>
          <w:lang w:val="en-US" w:eastAsia="zh-CN" w:bidi="ar-SA"/>
        </w:rPr>
        <w:t xml:space="preserve">≥5％），各评价项目的区间范围保持一致。 </w:t>
      </w:r>
    </w:p>
    <w:p>
      <w:pPr>
        <w:keepNext w:val="0"/>
        <w:keepLines w:val="0"/>
        <w:pageBreakBefore w:val="0"/>
        <w:numPr>
          <w:ilvl w:val="0"/>
          <w:numId w:val="0"/>
        </w:numPr>
        <w:kinsoku/>
        <w:wordWrap/>
        <w:overflowPunct/>
        <w:topLinePunct w:val="0"/>
        <w:autoSpaceDE/>
        <w:autoSpaceDN/>
        <w:bidi w:val="0"/>
        <w:adjustRightInd/>
        <w:spacing w:line="560" w:lineRule="exact"/>
        <w:ind w:left="0" w:leftChars="0" w:firstLine="640" w:firstLineChars="200"/>
        <w:jc w:val="both"/>
        <w:textAlignment w:val="auto"/>
        <w:rPr>
          <w:rFonts w:hint="eastAsia" w:ascii="楷体_GB2312" w:hAnsi="楷体_GB2312" w:eastAsia="楷体_GB2312" w:cs="楷体_GB2312"/>
          <w:b w:val="0"/>
          <w:bCs w:val="0"/>
          <w:color w:val="auto"/>
          <w:kern w:val="0"/>
          <w:sz w:val="32"/>
          <w:szCs w:val="32"/>
          <w:highlight w:val="none"/>
          <w:lang w:val="en-US" w:eastAsia="zh-CN" w:bidi="ar-SA"/>
        </w:rPr>
      </w:pPr>
      <w:r>
        <w:rPr>
          <w:rFonts w:hint="eastAsia" w:ascii="楷体_GB2312" w:hAnsi="楷体_GB2312" w:eastAsia="楷体_GB2312" w:cs="楷体_GB2312"/>
          <w:b w:val="0"/>
          <w:bCs w:val="0"/>
          <w:color w:val="auto"/>
          <w:kern w:val="0"/>
          <w:sz w:val="32"/>
          <w:szCs w:val="32"/>
          <w:highlight w:val="none"/>
          <w:lang w:val="en-US" w:eastAsia="zh-CN" w:bidi="ar-SA"/>
        </w:rPr>
        <w:t>3.综合单价评审</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 xml:space="preserve">综合单价报价超出合理区间范围的，每个评价项目扣（10／ 评审项目总数）分，10分扣完为止。（工程量清单综合单价分值小于10分的，按实际分值；该环节小数点精确程度在计算机辅助评标系统中确定）招标人先行选定的评价项目、合理区间均在招标文件中明确。 </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Times New Roman" w:hAnsi="Times New Roman" w:eastAsia="黑体" w:cs="黑体"/>
          <w:b w:val="0"/>
          <w:bCs w:val="0"/>
          <w:color w:val="auto"/>
          <w:kern w:val="0"/>
          <w:sz w:val="32"/>
          <w:szCs w:val="32"/>
          <w:highlight w:val="none"/>
          <w:lang w:val="en-US" w:eastAsia="zh-CN" w:bidi="ar-SA"/>
        </w:rPr>
      </w:pPr>
      <w:r>
        <w:rPr>
          <w:rFonts w:hint="eastAsia" w:ascii="Times New Roman" w:hAnsi="Times New Roman" w:eastAsia="黑体" w:cs="黑体"/>
          <w:b w:val="0"/>
          <w:bCs w:val="0"/>
          <w:color w:val="auto"/>
          <w:kern w:val="0"/>
          <w:sz w:val="32"/>
          <w:szCs w:val="32"/>
          <w:highlight w:val="none"/>
          <w:lang w:val="en-US" w:eastAsia="zh-CN" w:bidi="ar-SA"/>
        </w:rPr>
        <w:t>三、信用评价（履约评价）评分（5分）</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CESI仿宋-GB2312" w:hAnsi="CESI仿宋-GB2312" w:eastAsia="CESI仿宋-GB2312" w:cs="CESI仿宋-GB2312"/>
          <w:b w:val="0"/>
          <w:bCs w:val="0"/>
          <w:color w:val="auto"/>
          <w:sz w:val="32"/>
          <w:szCs w:val="32"/>
          <w:highlight w:val="none"/>
          <w:lang w:val="en-US" w:eastAsia="zh-CN"/>
        </w:rPr>
      </w:pPr>
      <w:r>
        <w:rPr>
          <w:rFonts w:hint="eastAsia" w:ascii="CESI仿宋-GB2312" w:hAnsi="CESI仿宋-GB2312" w:eastAsia="CESI仿宋-GB2312" w:cs="CESI仿宋-GB2312"/>
          <w:b w:val="0"/>
          <w:bCs w:val="0"/>
          <w:color w:val="auto"/>
          <w:sz w:val="32"/>
          <w:szCs w:val="32"/>
          <w:highlight w:val="none"/>
          <w:lang w:val="en-US" w:eastAsia="zh-CN"/>
        </w:rPr>
        <w:t>具体评审办法按《绍兴市房屋建筑和市政基础设施工程建筑施工企业信用评价招投标应用标准（试行）》编制。</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Times New Roman" w:hAnsi="Times New Roman" w:eastAsia="黑体" w:cs="黑体"/>
          <w:b w:val="0"/>
          <w:bCs w:val="0"/>
          <w:color w:val="auto"/>
          <w:kern w:val="0"/>
          <w:sz w:val="32"/>
          <w:szCs w:val="32"/>
          <w:highlight w:val="none"/>
          <w:lang w:val="en-US" w:eastAsia="zh-CN" w:bidi="ar-SA"/>
        </w:rPr>
      </w:pP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Times New Roman" w:hAnsi="Times New Roman" w:eastAsia="黑体" w:cs="黑体"/>
          <w:b w:val="0"/>
          <w:bCs w:val="0"/>
          <w:color w:val="auto"/>
          <w:kern w:val="0"/>
          <w:sz w:val="32"/>
          <w:szCs w:val="32"/>
          <w:highlight w:val="none"/>
          <w:lang w:val="en-US" w:eastAsia="zh-CN" w:bidi="ar-SA"/>
        </w:rPr>
      </w:pP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Times New Roman" w:hAnsi="Times New Roman" w:eastAsia="黑体" w:cs="黑体"/>
          <w:b w:val="0"/>
          <w:bCs w:val="0"/>
          <w:color w:val="auto"/>
          <w:kern w:val="0"/>
          <w:sz w:val="32"/>
          <w:szCs w:val="32"/>
          <w:highlight w:val="none"/>
          <w:lang w:val="en-US" w:eastAsia="zh-CN" w:bidi="ar-SA"/>
        </w:rPr>
      </w:pP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Times New Roman" w:hAnsi="Times New Roman" w:eastAsia="黑体" w:cs="黑体"/>
          <w:b w:val="0"/>
          <w:bCs w:val="0"/>
          <w:color w:val="auto"/>
          <w:kern w:val="0"/>
          <w:sz w:val="32"/>
          <w:szCs w:val="32"/>
          <w:highlight w:val="none"/>
          <w:lang w:val="en-US" w:eastAsia="zh-CN" w:bidi="ar-SA"/>
        </w:rPr>
      </w:pP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Times New Roman" w:hAnsi="Times New Roman" w:eastAsia="黑体" w:cs="黑体"/>
          <w:b w:val="0"/>
          <w:bCs w:val="0"/>
          <w:color w:val="auto"/>
          <w:kern w:val="0"/>
          <w:sz w:val="32"/>
          <w:szCs w:val="32"/>
          <w:highlight w:val="none"/>
          <w:lang w:val="en-US" w:eastAsia="zh-CN" w:bidi="ar-SA"/>
        </w:rPr>
      </w:pP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Times New Roman" w:hAnsi="Times New Roman" w:eastAsia="黑体" w:cs="黑体"/>
          <w:b w:val="0"/>
          <w:bCs w:val="0"/>
          <w:color w:val="auto"/>
          <w:kern w:val="0"/>
          <w:sz w:val="32"/>
          <w:szCs w:val="32"/>
          <w:highlight w:val="none"/>
          <w:lang w:val="en-US" w:eastAsia="zh-CN" w:bidi="ar-SA"/>
        </w:rPr>
      </w:pP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Times New Roman" w:hAnsi="Times New Roman" w:eastAsia="黑体" w:cs="黑体"/>
          <w:b w:val="0"/>
          <w:bCs w:val="0"/>
          <w:color w:val="auto"/>
          <w:kern w:val="0"/>
          <w:sz w:val="32"/>
          <w:szCs w:val="32"/>
          <w:highlight w:val="none"/>
          <w:lang w:val="en-US" w:eastAsia="zh-CN" w:bidi="ar-SA"/>
        </w:rPr>
      </w:pP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Times New Roman" w:hAnsi="Times New Roman" w:eastAsia="黑体" w:cs="黑体"/>
          <w:b w:val="0"/>
          <w:bCs w:val="0"/>
          <w:color w:val="auto"/>
          <w:kern w:val="0"/>
          <w:sz w:val="32"/>
          <w:szCs w:val="32"/>
          <w:highlight w:val="none"/>
          <w:lang w:val="en-US" w:eastAsia="zh-CN" w:bidi="ar-SA"/>
        </w:rPr>
      </w:pP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Times New Roman" w:hAnsi="Times New Roman" w:eastAsia="黑体" w:cs="黑体"/>
          <w:b w:val="0"/>
          <w:bCs w:val="0"/>
          <w:color w:val="auto"/>
          <w:kern w:val="0"/>
          <w:sz w:val="32"/>
          <w:szCs w:val="32"/>
          <w:highlight w:val="none"/>
          <w:lang w:val="en-US" w:eastAsia="zh-CN" w:bidi="ar-SA"/>
        </w:rPr>
      </w:pP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Times New Roman" w:hAnsi="Times New Roman" w:eastAsia="黑体" w:cs="黑体"/>
          <w:b w:val="0"/>
          <w:bCs w:val="0"/>
          <w:color w:val="auto"/>
          <w:kern w:val="0"/>
          <w:sz w:val="32"/>
          <w:szCs w:val="32"/>
          <w:highlight w:val="none"/>
          <w:lang w:val="en-US" w:eastAsia="zh-CN" w:bidi="ar-SA"/>
        </w:rPr>
      </w:pP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Times New Roman" w:hAnsi="Times New Roman" w:eastAsia="黑体" w:cs="黑体"/>
          <w:b w:val="0"/>
          <w:bCs w:val="0"/>
          <w:color w:val="auto"/>
          <w:kern w:val="0"/>
          <w:sz w:val="32"/>
          <w:szCs w:val="32"/>
          <w:highlight w:val="none"/>
          <w:lang w:val="en-US" w:eastAsia="zh-CN" w:bidi="ar-SA"/>
        </w:rPr>
      </w:pPr>
    </w:p>
    <w:p>
      <w:pPr>
        <w:pStyle w:val="2"/>
        <w:rPr>
          <w:rFonts w:hint="eastAsia" w:ascii="Times New Roman" w:hAnsi="Times New Roman" w:eastAsia="黑体" w:cs="黑体"/>
          <w:b w:val="0"/>
          <w:bCs w:val="0"/>
          <w:color w:val="auto"/>
          <w:kern w:val="0"/>
          <w:sz w:val="32"/>
          <w:szCs w:val="32"/>
          <w:highlight w:val="none"/>
          <w:lang w:val="en-US" w:eastAsia="zh-CN" w:bidi="ar-SA"/>
        </w:rPr>
      </w:pPr>
    </w:p>
    <w:p>
      <w:pPr>
        <w:rPr>
          <w:rFonts w:hint="eastAsia"/>
          <w:lang w:val="en-US" w:eastAsia="zh-CN"/>
        </w:rPr>
      </w:pPr>
    </w:p>
    <w:p>
      <w:pPr>
        <w:keepNext w:val="0"/>
        <w:keepLines w:val="0"/>
        <w:pageBreakBefore w:val="0"/>
        <w:widowControl/>
        <w:kinsoku/>
        <w:wordWrap/>
        <w:overflowPunct/>
        <w:topLinePunct w:val="0"/>
        <w:autoSpaceDE/>
        <w:autoSpaceDN/>
        <w:bidi w:val="0"/>
        <w:adjustRightInd/>
        <w:snapToGrid w:val="0"/>
        <w:spacing w:line="560" w:lineRule="exact"/>
        <w:ind w:left="0" w:leftChars="0" w:firstLine="640" w:firstLineChars="200"/>
        <w:jc w:val="both"/>
        <w:textAlignment w:val="auto"/>
        <w:rPr>
          <w:rFonts w:hint="eastAsia" w:ascii="Times New Roman" w:hAnsi="Times New Roman" w:eastAsia="黑体" w:cs="黑体"/>
          <w:b w:val="0"/>
          <w:bCs w:val="0"/>
          <w:color w:val="auto"/>
          <w:kern w:val="0"/>
          <w:sz w:val="32"/>
          <w:szCs w:val="32"/>
          <w:highlight w:val="none"/>
          <w:lang w:val="en-US" w:eastAsia="zh-CN" w:bidi="ar-SA"/>
        </w:rPr>
      </w:pPr>
    </w:p>
    <w:p>
      <w:pPr>
        <w:keepNext w:val="0"/>
        <w:keepLines w:val="0"/>
        <w:pageBreakBefore w:val="0"/>
        <w:widowControl/>
        <w:kinsoku/>
        <w:wordWrap/>
        <w:overflowPunct/>
        <w:topLinePunct w:val="0"/>
        <w:autoSpaceDE/>
        <w:autoSpaceDN/>
        <w:bidi w:val="0"/>
        <w:adjustRightInd/>
        <w:snapToGrid w:val="0"/>
        <w:spacing w:line="560" w:lineRule="exact"/>
        <w:jc w:val="both"/>
        <w:textAlignment w:val="auto"/>
        <w:rPr>
          <w:rFonts w:hint="default" w:ascii="Times New Roman" w:hAnsi="Times New Roman" w:eastAsia="黑体" w:cs="黑体"/>
          <w:b w:val="0"/>
          <w:bCs w:val="0"/>
          <w:color w:val="auto"/>
          <w:kern w:val="0"/>
          <w:sz w:val="32"/>
          <w:szCs w:val="32"/>
          <w:highlight w:val="none"/>
          <w:lang w:val="en-US" w:eastAsia="zh-CN" w:bidi="ar-SA"/>
        </w:rPr>
      </w:pPr>
      <w:r>
        <w:rPr>
          <w:rFonts w:hint="eastAsia" w:ascii="Times New Roman" w:hAnsi="Times New Roman" w:eastAsia="黑体" w:cs="黑体"/>
          <w:b w:val="0"/>
          <w:bCs w:val="0"/>
          <w:color w:val="auto"/>
          <w:kern w:val="0"/>
          <w:sz w:val="32"/>
          <w:szCs w:val="32"/>
          <w:highlight w:val="none"/>
          <w:lang w:val="en-US" w:eastAsia="zh-CN" w:bidi="ar-SA"/>
        </w:rPr>
        <w:t>附件5</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0" w:leftChars="0"/>
        <w:jc w:val="center"/>
        <w:textAlignment w:val="auto"/>
        <w:rPr>
          <w:rFonts w:hint="eastAsia" w:ascii="Times New Roman" w:hAnsi="Times New Roman" w:eastAsia="方正小标宋简体" w:cs="方正小标宋简体"/>
          <w:b w:val="0"/>
          <w:bCs w:val="0"/>
          <w:color w:val="auto"/>
          <w:sz w:val="44"/>
          <w:szCs w:val="44"/>
          <w:highlight w:val="none"/>
          <w:lang w:val="en-US" w:eastAsia="zh-CN"/>
        </w:rPr>
      </w:pPr>
      <w:r>
        <w:rPr>
          <w:rFonts w:hint="eastAsia" w:ascii="Times New Roman" w:hAnsi="Times New Roman" w:eastAsia="方正小标宋简体" w:cs="方正小标宋简体"/>
          <w:b w:val="0"/>
          <w:bCs w:val="0"/>
          <w:color w:val="auto"/>
          <w:sz w:val="44"/>
          <w:szCs w:val="44"/>
          <w:highlight w:val="none"/>
          <w:lang w:val="en-US" w:eastAsia="zh-CN"/>
        </w:rPr>
        <w:t>综合评审办法（二）</w:t>
      </w: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Times New Roman" w:hAnsi="Times New Roman" w:eastAsia="楷体_GB2312" w:cs="楷体_GB2312"/>
          <w:b w:val="0"/>
          <w:bCs/>
          <w:color w:val="auto"/>
          <w:sz w:val="32"/>
          <w:szCs w:val="32"/>
          <w:highlight w:val="none"/>
          <w:lang w:val="en-US" w:eastAsia="zh-CN"/>
        </w:rPr>
      </w:pPr>
      <w:r>
        <w:rPr>
          <w:rFonts w:hint="eastAsia" w:ascii="Times New Roman" w:hAnsi="Times New Roman" w:eastAsia="楷体_GB2312" w:cs="楷体_GB2312"/>
          <w:b w:val="0"/>
          <w:bCs/>
          <w:color w:val="auto"/>
          <w:sz w:val="32"/>
          <w:szCs w:val="32"/>
          <w:highlight w:val="none"/>
          <w:lang w:val="en-US" w:eastAsia="zh-CN"/>
        </w:rPr>
        <w:t>（适用</w:t>
      </w:r>
      <w:r>
        <w:rPr>
          <w:rFonts w:hint="eastAsia" w:ascii="Times New Roman" w:hAnsi="Times New Roman" w:eastAsia="楷体_GB2312" w:cs="楷体_GB2312"/>
          <w:b w:val="0"/>
          <w:bCs/>
          <w:color w:val="auto"/>
          <w:sz w:val="32"/>
          <w:szCs w:val="32"/>
          <w:highlight w:val="none"/>
        </w:rPr>
        <w:t>技术标打分制的综合评估法</w:t>
      </w:r>
      <w:r>
        <w:rPr>
          <w:rFonts w:hint="eastAsia" w:ascii="Times New Roman" w:hAnsi="Times New Roman" w:eastAsia="楷体_GB2312" w:cs="楷体_GB2312"/>
          <w:b w:val="0"/>
          <w:bCs/>
          <w:color w:val="auto"/>
          <w:sz w:val="32"/>
          <w:szCs w:val="32"/>
          <w:highlight w:val="none"/>
          <w:lang w:val="en-US" w:eastAsia="zh-CN"/>
        </w:rPr>
        <w:t>）</w:t>
      </w:r>
    </w:p>
    <w:p>
      <w:pPr>
        <w:pStyle w:val="2"/>
        <w:keepNext w:val="0"/>
        <w:keepLines w:val="0"/>
        <w:pageBreakBefore w:val="0"/>
        <w:widowControl/>
        <w:kinsoku/>
        <w:wordWrap/>
        <w:overflowPunct/>
        <w:topLinePunct w:val="0"/>
        <w:autoSpaceDE/>
        <w:autoSpaceDN/>
        <w:bidi w:val="0"/>
        <w:adjustRightInd/>
        <w:snapToGrid/>
        <w:spacing w:after="0" w:line="560" w:lineRule="exact"/>
        <w:ind w:left="0" w:leftChars="0"/>
        <w:textAlignment w:val="auto"/>
        <w:rPr>
          <w:rFonts w:hint="eastAsia" w:ascii="Times New Roman" w:hAnsi="Times New Roman"/>
          <w:color w:val="auto"/>
          <w:highlight w:val="none"/>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Times New Roman" w:hAnsi="Times New Roman" w:eastAsia="仿宋" w:cs="仿宋"/>
          <w:color w:val="auto"/>
          <w:sz w:val="32"/>
          <w:szCs w:val="32"/>
          <w:highlight w:val="none"/>
          <w:lang w:val="en-US" w:eastAsia="zh-CN"/>
        </w:rPr>
      </w:pPr>
      <w:r>
        <w:rPr>
          <w:rFonts w:hint="eastAsia" w:ascii="Times New Roman" w:hAnsi="Times New Roman" w:eastAsia="黑体" w:cs="黑体"/>
          <w:b w:val="0"/>
          <w:bCs w:val="0"/>
          <w:color w:val="auto"/>
          <w:sz w:val="32"/>
          <w:szCs w:val="32"/>
          <w:highlight w:val="none"/>
          <w:lang w:val="en-US" w:eastAsia="zh-CN"/>
        </w:rPr>
        <w:t>一、总分</w:t>
      </w:r>
      <w:r>
        <w:rPr>
          <w:rFonts w:hint="eastAsia" w:ascii="Times New Roman" w:hAnsi="Times New Roman" w:eastAsia="仿宋" w:cs="仿宋"/>
          <w:color w:val="auto"/>
          <w:sz w:val="32"/>
          <w:szCs w:val="32"/>
          <w:highlight w:val="none"/>
          <w:lang w:val="en-US" w:eastAsia="zh-CN"/>
        </w:rPr>
        <w:t>=技术标评分（≤30分）</w:t>
      </w:r>
      <w:r>
        <w:rPr>
          <w:rFonts w:hint="eastAsia" w:ascii="Times New Roman" w:hAnsi="Times New Roman" w:eastAsia="仿宋" w:cs="仿宋"/>
          <w:color w:val="auto"/>
          <w:sz w:val="32"/>
          <w:szCs w:val="32"/>
          <w:highlight w:val="none"/>
          <w:u w:val="single"/>
          <w:lang w:val="en-US" w:eastAsia="zh-CN"/>
        </w:rPr>
        <w:t xml:space="preserve">    </w:t>
      </w:r>
      <w:r>
        <w:rPr>
          <w:rFonts w:hint="eastAsia" w:ascii="Times New Roman" w:hAnsi="Times New Roman" w:eastAsia="仿宋" w:cs="仿宋"/>
          <w:color w:val="auto"/>
          <w:sz w:val="32"/>
          <w:szCs w:val="32"/>
          <w:highlight w:val="none"/>
          <w:lang w:val="en-US" w:eastAsia="zh-CN"/>
        </w:rPr>
        <w:t>分,资信标评分（≤10分）</w:t>
      </w:r>
      <w:r>
        <w:rPr>
          <w:rFonts w:hint="eastAsia" w:ascii="Times New Roman" w:hAnsi="Times New Roman" w:eastAsia="仿宋" w:cs="仿宋"/>
          <w:color w:val="auto"/>
          <w:sz w:val="32"/>
          <w:szCs w:val="32"/>
          <w:highlight w:val="none"/>
          <w:u w:val="single"/>
          <w:lang w:val="en-US" w:eastAsia="zh-CN"/>
        </w:rPr>
        <w:t xml:space="preserve">    </w:t>
      </w:r>
      <w:r>
        <w:rPr>
          <w:rFonts w:hint="eastAsia" w:ascii="Times New Roman" w:hAnsi="Times New Roman" w:eastAsia="仿宋" w:cs="仿宋"/>
          <w:color w:val="auto"/>
          <w:sz w:val="32"/>
          <w:szCs w:val="32"/>
          <w:highlight w:val="none"/>
          <w:lang w:val="en-US" w:eastAsia="zh-CN"/>
        </w:rPr>
        <w:t>分,商务标评分(≥60分）</w:t>
      </w:r>
      <w:r>
        <w:rPr>
          <w:rFonts w:hint="eastAsia" w:ascii="Times New Roman" w:hAnsi="Times New Roman" w:eastAsia="仿宋" w:cs="仿宋"/>
          <w:color w:val="auto"/>
          <w:sz w:val="32"/>
          <w:szCs w:val="32"/>
          <w:highlight w:val="none"/>
          <w:u w:val="single"/>
          <w:lang w:val="en-US" w:eastAsia="zh-CN"/>
        </w:rPr>
        <w:t xml:space="preserve">     </w:t>
      </w:r>
      <w:r>
        <w:rPr>
          <w:rFonts w:hint="eastAsia" w:ascii="Times New Roman" w:hAnsi="Times New Roman" w:eastAsia="仿宋" w:cs="仿宋"/>
          <w:color w:val="auto"/>
          <w:sz w:val="32"/>
          <w:szCs w:val="32"/>
          <w:highlight w:val="none"/>
          <w:lang w:val="en-US" w:eastAsia="zh-CN"/>
        </w:rPr>
        <w:t>分。</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Times New Roman" w:hAnsi="Times New Roman" w:eastAsia="黑体" w:cs="黑体"/>
          <w:b w:val="0"/>
          <w:bCs w:val="0"/>
          <w:color w:val="auto"/>
          <w:sz w:val="32"/>
          <w:szCs w:val="32"/>
          <w:highlight w:val="none"/>
          <w:lang w:val="en-US" w:eastAsia="zh-CN"/>
        </w:rPr>
      </w:pPr>
      <w:r>
        <w:rPr>
          <w:rFonts w:hint="eastAsia" w:ascii="Times New Roman" w:hAnsi="Times New Roman" w:eastAsia="黑体" w:cs="黑体"/>
          <w:b w:val="0"/>
          <w:bCs w:val="0"/>
          <w:color w:val="auto"/>
          <w:sz w:val="32"/>
          <w:szCs w:val="32"/>
          <w:highlight w:val="none"/>
          <w:lang w:val="en-US" w:eastAsia="zh-CN"/>
        </w:rPr>
        <w:t>二、技术标（≤30分）</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Times New Roman" w:hAnsi="Times New Roman" w:eastAsia="仿宋" w:cs="仿宋"/>
          <w:color w:val="auto"/>
          <w:sz w:val="32"/>
          <w:szCs w:val="32"/>
          <w:highlight w:val="none"/>
          <w:lang w:val="en-US" w:eastAsia="zh-CN"/>
        </w:rPr>
      </w:pPr>
      <w:r>
        <w:rPr>
          <w:rFonts w:hint="eastAsia" w:ascii="Times New Roman" w:hAnsi="Times New Roman" w:eastAsia="仿宋" w:cs="仿宋"/>
          <w:color w:val="auto"/>
          <w:sz w:val="32"/>
          <w:szCs w:val="32"/>
          <w:highlight w:val="none"/>
          <w:lang w:val="en-US" w:eastAsia="zh-CN"/>
        </w:rPr>
        <w:t>技术标一般评审因素</w:t>
      </w:r>
    </w:p>
    <w:tbl>
      <w:tblPr>
        <w:tblStyle w:val="8"/>
        <w:tblW w:w="85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7"/>
        <w:gridCol w:w="6614"/>
        <w:gridCol w:w="10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77"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left"/>
              <w:textAlignment w:val="auto"/>
              <w:rPr>
                <w:rFonts w:hint="eastAsia" w:ascii="Times New Roman" w:hAnsi="Times New Roman" w:eastAsia="仿宋" w:cs="仿宋"/>
                <w:color w:val="auto"/>
                <w:sz w:val="32"/>
                <w:szCs w:val="32"/>
                <w:highlight w:val="none"/>
                <w:lang w:val="en-US" w:eastAsia="zh-CN"/>
              </w:rPr>
            </w:pPr>
            <w:r>
              <w:rPr>
                <w:rFonts w:hint="eastAsia" w:ascii="Times New Roman" w:hAnsi="Times New Roman" w:eastAsia="仿宋" w:cs="仿宋"/>
                <w:color w:val="auto"/>
                <w:sz w:val="32"/>
                <w:szCs w:val="32"/>
                <w:highlight w:val="none"/>
                <w:lang w:val="en-US" w:eastAsia="zh-CN"/>
              </w:rPr>
              <w:t>序号</w:t>
            </w:r>
          </w:p>
        </w:tc>
        <w:tc>
          <w:tcPr>
            <w:tcW w:w="6614"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Times New Roman" w:hAnsi="Times New Roman" w:eastAsia="仿宋" w:cs="仿宋"/>
                <w:color w:val="auto"/>
                <w:sz w:val="32"/>
                <w:szCs w:val="32"/>
                <w:highlight w:val="none"/>
                <w:lang w:val="en-US" w:eastAsia="zh-CN"/>
              </w:rPr>
            </w:pPr>
            <w:r>
              <w:rPr>
                <w:rFonts w:hint="eastAsia" w:ascii="Times New Roman" w:hAnsi="Times New Roman" w:eastAsia="仿宋" w:cs="仿宋"/>
                <w:color w:val="auto"/>
                <w:sz w:val="32"/>
                <w:szCs w:val="32"/>
                <w:highlight w:val="none"/>
                <w:lang w:val="en-US" w:eastAsia="zh-CN"/>
              </w:rPr>
              <w:t>评审因素</w:t>
            </w:r>
          </w:p>
        </w:tc>
        <w:tc>
          <w:tcPr>
            <w:tcW w:w="1007"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left"/>
              <w:textAlignment w:val="auto"/>
              <w:rPr>
                <w:rFonts w:hint="eastAsia" w:ascii="Times New Roman" w:hAnsi="Times New Roman" w:eastAsia="仿宋" w:cs="仿宋"/>
                <w:color w:val="auto"/>
                <w:sz w:val="32"/>
                <w:szCs w:val="32"/>
                <w:highlight w:val="none"/>
                <w:lang w:val="en-US" w:eastAsia="zh-CN"/>
              </w:rPr>
            </w:pPr>
            <w:r>
              <w:rPr>
                <w:rFonts w:hint="eastAsia" w:ascii="Times New Roman" w:hAnsi="Times New Roman" w:eastAsia="仿宋" w:cs="仿宋"/>
                <w:color w:val="auto"/>
                <w:sz w:val="32"/>
                <w:szCs w:val="32"/>
                <w:highlight w:val="none"/>
                <w:lang w:val="en-US" w:eastAsia="zh-CN"/>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77"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left"/>
              <w:textAlignment w:val="auto"/>
              <w:rPr>
                <w:rFonts w:hint="eastAsia" w:ascii="Times New Roman" w:hAnsi="Times New Roman" w:eastAsia="仿宋" w:cs="仿宋"/>
                <w:color w:val="auto"/>
                <w:sz w:val="32"/>
                <w:szCs w:val="32"/>
                <w:highlight w:val="none"/>
                <w:lang w:val="en-US" w:eastAsia="zh-CN"/>
              </w:rPr>
            </w:pPr>
            <w:r>
              <w:rPr>
                <w:rFonts w:hint="eastAsia" w:ascii="Times New Roman" w:hAnsi="Times New Roman" w:eastAsia="仿宋" w:cs="仿宋"/>
                <w:color w:val="auto"/>
                <w:sz w:val="32"/>
                <w:szCs w:val="32"/>
                <w:highlight w:val="none"/>
                <w:lang w:val="en-US" w:eastAsia="zh-CN"/>
              </w:rPr>
              <w:t>1</w:t>
            </w:r>
          </w:p>
        </w:tc>
        <w:tc>
          <w:tcPr>
            <w:tcW w:w="6614"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left"/>
              <w:textAlignment w:val="auto"/>
              <w:rPr>
                <w:rFonts w:hint="eastAsia" w:ascii="Times New Roman" w:hAnsi="Times New Roman" w:eastAsia="仿宋" w:cs="仿宋"/>
                <w:color w:val="auto"/>
                <w:sz w:val="32"/>
                <w:szCs w:val="32"/>
                <w:highlight w:val="none"/>
                <w:lang w:val="en-US" w:eastAsia="zh-CN"/>
              </w:rPr>
            </w:pPr>
            <w:r>
              <w:rPr>
                <w:rFonts w:hint="eastAsia" w:ascii="Times New Roman" w:hAnsi="Times New Roman" w:eastAsia="仿宋" w:cs="仿宋"/>
                <w:color w:val="auto"/>
                <w:sz w:val="32"/>
                <w:szCs w:val="32"/>
                <w:highlight w:val="none"/>
                <w:lang w:val="en-US" w:eastAsia="zh-CN"/>
              </w:rPr>
              <w:t>总体施工部署、场地平面布置及说明</w:t>
            </w:r>
          </w:p>
        </w:tc>
        <w:tc>
          <w:tcPr>
            <w:tcW w:w="1007"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Times New Roman" w:hAnsi="Times New Roman" w:eastAsia="仿宋" w:cs="仿宋"/>
                <w:color w:val="auto"/>
                <w:sz w:val="32"/>
                <w:szCs w:val="32"/>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77"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left"/>
              <w:textAlignment w:val="auto"/>
              <w:rPr>
                <w:rFonts w:hint="eastAsia" w:ascii="Times New Roman" w:hAnsi="Times New Roman" w:eastAsia="仿宋" w:cs="仿宋"/>
                <w:color w:val="auto"/>
                <w:sz w:val="32"/>
                <w:szCs w:val="32"/>
                <w:highlight w:val="none"/>
                <w:lang w:val="en-US" w:eastAsia="zh-CN"/>
              </w:rPr>
            </w:pPr>
            <w:r>
              <w:rPr>
                <w:rFonts w:hint="eastAsia" w:ascii="Times New Roman" w:hAnsi="Times New Roman" w:eastAsia="仿宋" w:cs="仿宋"/>
                <w:color w:val="auto"/>
                <w:sz w:val="32"/>
                <w:szCs w:val="32"/>
                <w:highlight w:val="none"/>
                <w:lang w:val="en-US" w:eastAsia="zh-CN"/>
              </w:rPr>
              <w:t>2</w:t>
            </w:r>
          </w:p>
        </w:tc>
        <w:tc>
          <w:tcPr>
            <w:tcW w:w="6614"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left"/>
              <w:textAlignment w:val="auto"/>
              <w:rPr>
                <w:rFonts w:hint="eastAsia" w:ascii="Times New Roman" w:hAnsi="Times New Roman" w:eastAsia="仿宋" w:cs="仿宋"/>
                <w:color w:val="auto"/>
                <w:sz w:val="32"/>
                <w:szCs w:val="32"/>
                <w:highlight w:val="none"/>
                <w:lang w:val="en-US" w:eastAsia="zh-CN"/>
              </w:rPr>
            </w:pPr>
            <w:r>
              <w:rPr>
                <w:rFonts w:hint="eastAsia" w:ascii="Times New Roman" w:hAnsi="Times New Roman" w:eastAsia="仿宋" w:cs="仿宋"/>
                <w:color w:val="auto"/>
                <w:sz w:val="32"/>
                <w:szCs w:val="32"/>
                <w:highlight w:val="none"/>
                <w:lang w:val="en-US" w:eastAsia="zh-CN"/>
              </w:rPr>
              <w:t>主要施工方案</w:t>
            </w:r>
          </w:p>
        </w:tc>
        <w:tc>
          <w:tcPr>
            <w:tcW w:w="1007"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Times New Roman" w:hAnsi="Times New Roman" w:eastAsia="仿宋" w:cs="仿宋"/>
                <w:color w:val="auto"/>
                <w:sz w:val="32"/>
                <w:szCs w:val="32"/>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77"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left"/>
              <w:textAlignment w:val="auto"/>
              <w:rPr>
                <w:rFonts w:hint="eastAsia" w:ascii="Times New Roman" w:hAnsi="Times New Roman" w:eastAsia="仿宋" w:cs="仿宋"/>
                <w:color w:val="auto"/>
                <w:sz w:val="32"/>
                <w:szCs w:val="32"/>
                <w:highlight w:val="none"/>
                <w:lang w:val="en-US" w:eastAsia="zh-CN"/>
              </w:rPr>
            </w:pPr>
            <w:r>
              <w:rPr>
                <w:rFonts w:hint="eastAsia" w:ascii="Times New Roman" w:hAnsi="Times New Roman" w:eastAsia="仿宋" w:cs="仿宋"/>
                <w:color w:val="auto"/>
                <w:sz w:val="32"/>
                <w:szCs w:val="32"/>
                <w:highlight w:val="none"/>
                <w:lang w:val="en-US" w:eastAsia="zh-CN"/>
              </w:rPr>
              <w:t>3</w:t>
            </w:r>
          </w:p>
        </w:tc>
        <w:tc>
          <w:tcPr>
            <w:tcW w:w="6614"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left"/>
              <w:textAlignment w:val="auto"/>
              <w:rPr>
                <w:rFonts w:hint="eastAsia" w:ascii="Times New Roman" w:hAnsi="Times New Roman" w:eastAsia="仿宋" w:cs="仿宋"/>
                <w:color w:val="auto"/>
                <w:sz w:val="32"/>
                <w:szCs w:val="32"/>
                <w:highlight w:val="none"/>
                <w:lang w:val="en-US" w:eastAsia="zh-CN"/>
              </w:rPr>
            </w:pPr>
            <w:r>
              <w:rPr>
                <w:rFonts w:hint="eastAsia" w:ascii="Times New Roman" w:hAnsi="Times New Roman" w:eastAsia="仿宋" w:cs="仿宋"/>
                <w:color w:val="auto"/>
                <w:sz w:val="32"/>
                <w:szCs w:val="32"/>
                <w:highlight w:val="none"/>
                <w:lang w:val="en-US" w:eastAsia="zh-CN"/>
              </w:rPr>
              <w:t>工程质量保障措施</w:t>
            </w:r>
          </w:p>
        </w:tc>
        <w:tc>
          <w:tcPr>
            <w:tcW w:w="1007"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Times New Roman" w:hAnsi="Times New Roman" w:eastAsia="仿宋" w:cs="仿宋"/>
                <w:color w:val="auto"/>
                <w:sz w:val="32"/>
                <w:szCs w:val="32"/>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77"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left"/>
              <w:textAlignment w:val="auto"/>
              <w:rPr>
                <w:rFonts w:hint="eastAsia" w:ascii="Times New Roman" w:hAnsi="Times New Roman" w:eastAsia="仿宋" w:cs="仿宋"/>
                <w:color w:val="auto"/>
                <w:sz w:val="32"/>
                <w:szCs w:val="32"/>
                <w:highlight w:val="none"/>
                <w:lang w:val="en-US" w:eastAsia="zh-CN"/>
              </w:rPr>
            </w:pPr>
            <w:r>
              <w:rPr>
                <w:rFonts w:hint="eastAsia" w:ascii="Times New Roman" w:hAnsi="Times New Roman" w:eastAsia="仿宋" w:cs="仿宋"/>
                <w:color w:val="auto"/>
                <w:sz w:val="32"/>
                <w:szCs w:val="32"/>
                <w:highlight w:val="none"/>
                <w:lang w:val="en-US" w:eastAsia="zh-CN"/>
              </w:rPr>
              <w:t>4</w:t>
            </w:r>
          </w:p>
        </w:tc>
        <w:tc>
          <w:tcPr>
            <w:tcW w:w="6614"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left"/>
              <w:textAlignment w:val="auto"/>
              <w:rPr>
                <w:rFonts w:hint="eastAsia" w:ascii="Times New Roman" w:hAnsi="Times New Roman" w:eastAsia="仿宋" w:cs="仿宋"/>
                <w:color w:val="auto"/>
                <w:sz w:val="32"/>
                <w:szCs w:val="32"/>
                <w:highlight w:val="none"/>
                <w:lang w:val="en-US" w:eastAsia="zh-CN"/>
              </w:rPr>
            </w:pPr>
            <w:r>
              <w:rPr>
                <w:rFonts w:hint="eastAsia" w:ascii="Times New Roman" w:hAnsi="Times New Roman" w:eastAsia="仿宋" w:cs="仿宋"/>
                <w:color w:val="auto"/>
                <w:sz w:val="32"/>
                <w:szCs w:val="32"/>
                <w:highlight w:val="none"/>
                <w:lang w:val="en-US" w:eastAsia="zh-CN"/>
              </w:rPr>
              <w:t>施工进度计划和保障措施</w:t>
            </w:r>
          </w:p>
        </w:tc>
        <w:tc>
          <w:tcPr>
            <w:tcW w:w="1007"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Times New Roman" w:hAnsi="Times New Roman" w:eastAsia="仿宋" w:cs="仿宋"/>
                <w:color w:val="auto"/>
                <w:sz w:val="32"/>
                <w:szCs w:val="32"/>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77"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left"/>
              <w:textAlignment w:val="auto"/>
              <w:rPr>
                <w:rFonts w:hint="eastAsia" w:ascii="Times New Roman" w:hAnsi="Times New Roman" w:eastAsia="仿宋" w:cs="仿宋"/>
                <w:color w:val="auto"/>
                <w:sz w:val="32"/>
                <w:szCs w:val="32"/>
                <w:highlight w:val="none"/>
                <w:lang w:val="en-US" w:eastAsia="zh-CN"/>
              </w:rPr>
            </w:pPr>
            <w:r>
              <w:rPr>
                <w:rFonts w:hint="eastAsia" w:ascii="Times New Roman" w:hAnsi="Times New Roman" w:eastAsia="仿宋" w:cs="仿宋"/>
                <w:color w:val="auto"/>
                <w:sz w:val="32"/>
                <w:szCs w:val="32"/>
                <w:highlight w:val="none"/>
                <w:lang w:val="en-US" w:eastAsia="zh-CN"/>
              </w:rPr>
              <w:t>5</w:t>
            </w:r>
          </w:p>
        </w:tc>
        <w:tc>
          <w:tcPr>
            <w:tcW w:w="6614"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left"/>
              <w:textAlignment w:val="auto"/>
              <w:rPr>
                <w:rFonts w:hint="eastAsia" w:ascii="Times New Roman" w:hAnsi="Times New Roman" w:eastAsia="仿宋" w:cs="仿宋"/>
                <w:color w:val="auto"/>
                <w:sz w:val="32"/>
                <w:szCs w:val="32"/>
                <w:highlight w:val="none"/>
                <w:lang w:val="en-US" w:eastAsia="zh-CN"/>
              </w:rPr>
            </w:pPr>
            <w:r>
              <w:rPr>
                <w:rFonts w:hint="eastAsia" w:ascii="Times New Roman" w:hAnsi="Times New Roman" w:eastAsia="仿宋" w:cs="仿宋"/>
                <w:color w:val="auto"/>
                <w:sz w:val="32"/>
                <w:szCs w:val="32"/>
                <w:highlight w:val="none"/>
                <w:lang w:val="en-US" w:eastAsia="zh-CN"/>
              </w:rPr>
              <w:t>安全生产、文明施工、环境保护措施</w:t>
            </w:r>
          </w:p>
        </w:tc>
        <w:tc>
          <w:tcPr>
            <w:tcW w:w="1007"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Times New Roman" w:hAnsi="Times New Roman" w:eastAsia="仿宋" w:cs="仿宋"/>
                <w:color w:val="auto"/>
                <w:sz w:val="32"/>
                <w:szCs w:val="32"/>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77"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left"/>
              <w:textAlignment w:val="auto"/>
              <w:rPr>
                <w:rFonts w:hint="eastAsia" w:ascii="Times New Roman" w:hAnsi="Times New Roman" w:eastAsia="仿宋" w:cs="仿宋"/>
                <w:color w:val="auto"/>
                <w:sz w:val="32"/>
                <w:szCs w:val="32"/>
                <w:highlight w:val="none"/>
                <w:lang w:val="en-US" w:eastAsia="zh-CN"/>
              </w:rPr>
            </w:pPr>
            <w:r>
              <w:rPr>
                <w:rFonts w:hint="eastAsia" w:ascii="Times New Roman" w:hAnsi="Times New Roman" w:eastAsia="仿宋" w:cs="仿宋"/>
                <w:color w:val="auto"/>
                <w:sz w:val="32"/>
                <w:szCs w:val="32"/>
                <w:highlight w:val="none"/>
                <w:lang w:val="en-US" w:eastAsia="zh-CN"/>
              </w:rPr>
              <w:t>6</w:t>
            </w:r>
          </w:p>
        </w:tc>
        <w:tc>
          <w:tcPr>
            <w:tcW w:w="6614"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left"/>
              <w:textAlignment w:val="auto"/>
              <w:rPr>
                <w:rFonts w:hint="eastAsia" w:ascii="Times New Roman" w:hAnsi="Times New Roman" w:eastAsia="仿宋" w:cs="仿宋"/>
                <w:color w:val="auto"/>
                <w:sz w:val="32"/>
                <w:szCs w:val="32"/>
                <w:highlight w:val="none"/>
                <w:lang w:val="en-US" w:eastAsia="zh-CN"/>
              </w:rPr>
            </w:pPr>
            <w:r>
              <w:rPr>
                <w:rFonts w:hint="eastAsia" w:ascii="Times New Roman" w:hAnsi="Times New Roman" w:eastAsia="仿宋" w:cs="仿宋"/>
                <w:color w:val="auto"/>
                <w:sz w:val="32"/>
                <w:szCs w:val="32"/>
                <w:highlight w:val="none"/>
                <w:lang w:val="en-US" w:eastAsia="zh-CN"/>
              </w:rPr>
              <w:t>项目管理人员配置情况</w:t>
            </w:r>
          </w:p>
        </w:tc>
        <w:tc>
          <w:tcPr>
            <w:tcW w:w="1007"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Times New Roman" w:hAnsi="Times New Roman" w:eastAsia="仿宋" w:cs="仿宋"/>
                <w:color w:val="auto"/>
                <w:sz w:val="32"/>
                <w:szCs w:val="32"/>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77"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left"/>
              <w:textAlignment w:val="auto"/>
              <w:rPr>
                <w:rFonts w:hint="eastAsia" w:ascii="Times New Roman" w:hAnsi="Times New Roman" w:eastAsia="仿宋" w:cs="仿宋"/>
                <w:color w:val="auto"/>
                <w:sz w:val="32"/>
                <w:szCs w:val="32"/>
                <w:highlight w:val="none"/>
                <w:lang w:val="en-US" w:eastAsia="zh-CN"/>
              </w:rPr>
            </w:pPr>
            <w:r>
              <w:rPr>
                <w:rFonts w:hint="eastAsia" w:ascii="Times New Roman" w:hAnsi="Times New Roman" w:eastAsia="仿宋" w:cs="仿宋"/>
                <w:color w:val="auto"/>
                <w:sz w:val="32"/>
                <w:szCs w:val="32"/>
                <w:highlight w:val="none"/>
                <w:lang w:val="en-US" w:eastAsia="zh-CN"/>
              </w:rPr>
              <w:t>7</w:t>
            </w:r>
          </w:p>
        </w:tc>
        <w:tc>
          <w:tcPr>
            <w:tcW w:w="6614"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left"/>
              <w:textAlignment w:val="auto"/>
              <w:rPr>
                <w:rFonts w:hint="eastAsia" w:ascii="Times New Roman" w:hAnsi="Times New Roman" w:eastAsia="仿宋" w:cs="仿宋"/>
                <w:color w:val="auto"/>
                <w:sz w:val="32"/>
                <w:szCs w:val="32"/>
                <w:highlight w:val="none"/>
                <w:lang w:val="en-US" w:eastAsia="zh-CN"/>
              </w:rPr>
            </w:pPr>
            <w:r>
              <w:rPr>
                <w:rFonts w:hint="eastAsia" w:ascii="Times New Roman" w:hAnsi="Times New Roman" w:eastAsia="仿宋" w:cs="仿宋"/>
                <w:color w:val="auto"/>
                <w:sz w:val="32"/>
                <w:szCs w:val="32"/>
                <w:highlight w:val="none"/>
                <w:lang w:val="en-US" w:eastAsia="zh-CN"/>
              </w:rPr>
              <w:t>主要施工设备配置情况</w:t>
            </w:r>
          </w:p>
        </w:tc>
        <w:tc>
          <w:tcPr>
            <w:tcW w:w="1007"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Times New Roman" w:hAnsi="Times New Roman" w:eastAsia="仿宋" w:cs="仿宋"/>
                <w:color w:val="auto"/>
                <w:sz w:val="32"/>
                <w:szCs w:val="32"/>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77"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left"/>
              <w:textAlignment w:val="auto"/>
              <w:rPr>
                <w:rFonts w:hint="eastAsia" w:ascii="Times New Roman" w:hAnsi="Times New Roman" w:eastAsia="仿宋" w:cs="仿宋"/>
                <w:color w:val="auto"/>
                <w:sz w:val="32"/>
                <w:szCs w:val="32"/>
                <w:highlight w:val="none"/>
                <w:lang w:val="en-US" w:eastAsia="zh-CN"/>
              </w:rPr>
            </w:pPr>
            <w:r>
              <w:rPr>
                <w:rFonts w:hint="eastAsia" w:ascii="Times New Roman" w:hAnsi="Times New Roman" w:eastAsia="仿宋" w:cs="仿宋"/>
                <w:color w:val="auto"/>
                <w:sz w:val="32"/>
                <w:szCs w:val="32"/>
                <w:highlight w:val="none"/>
                <w:lang w:val="en-US" w:eastAsia="zh-CN"/>
              </w:rPr>
              <w:t>8</w:t>
            </w:r>
          </w:p>
        </w:tc>
        <w:tc>
          <w:tcPr>
            <w:tcW w:w="6614"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left"/>
              <w:textAlignment w:val="auto"/>
              <w:rPr>
                <w:rFonts w:hint="eastAsia" w:ascii="Times New Roman" w:hAnsi="Times New Roman" w:eastAsia="仿宋" w:cs="仿宋"/>
                <w:color w:val="auto"/>
                <w:sz w:val="32"/>
                <w:szCs w:val="32"/>
                <w:highlight w:val="none"/>
                <w:lang w:val="en-US" w:eastAsia="zh-CN"/>
              </w:rPr>
            </w:pPr>
            <w:r>
              <w:rPr>
                <w:rFonts w:hint="eastAsia" w:ascii="Times New Roman" w:hAnsi="Times New Roman" w:eastAsia="仿宋" w:cs="仿宋"/>
                <w:color w:val="auto"/>
                <w:sz w:val="32"/>
                <w:szCs w:val="32"/>
                <w:highlight w:val="none"/>
                <w:lang w:val="en-US" w:eastAsia="zh-CN"/>
              </w:rPr>
              <w:t>针对本工程的重点、难点和关键部分进行分析并阐明可行的施工组织方案</w:t>
            </w:r>
          </w:p>
        </w:tc>
        <w:tc>
          <w:tcPr>
            <w:tcW w:w="1007"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Times New Roman" w:hAnsi="Times New Roman" w:eastAsia="仿宋" w:cs="仿宋"/>
                <w:color w:val="auto"/>
                <w:sz w:val="32"/>
                <w:szCs w:val="32"/>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977"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left"/>
              <w:textAlignment w:val="auto"/>
              <w:rPr>
                <w:rFonts w:hint="eastAsia" w:ascii="Times New Roman" w:hAnsi="Times New Roman" w:eastAsia="仿宋" w:cs="仿宋"/>
                <w:color w:val="auto"/>
                <w:sz w:val="32"/>
                <w:szCs w:val="32"/>
                <w:highlight w:val="none"/>
                <w:lang w:val="en-US" w:eastAsia="zh-CN"/>
              </w:rPr>
            </w:pPr>
            <w:r>
              <w:rPr>
                <w:rFonts w:hint="eastAsia" w:ascii="Times New Roman" w:hAnsi="Times New Roman" w:eastAsia="仿宋" w:cs="仿宋"/>
                <w:color w:val="auto"/>
                <w:sz w:val="32"/>
                <w:szCs w:val="32"/>
                <w:highlight w:val="none"/>
                <w:lang w:val="en-US" w:eastAsia="zh-CN"/>
              </w:rPr>
              <w:t>9</w:t>
            </w:r>
          </w:p>
        </w:tc>
        <w:tc>
          <w:tcPr>
            <w:tcW w:w="6614"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jc w:val="left"/>
              <w:textAlignment w:val="auto"/>
              <w:rPr>
                <w:rFonts w:hint="eastAsia" w:ascii="Times New Roman" w:hAnsi="Times New Roman" w:eastAsia="仿宋" w:cs="仿宋"/>
                <w:color w:val="auto"/>
                <w:sz w:val="32"/>
                <w:szCs w:val="32"/>
                <w:highlight w:val="none"/>
                <w:lang w:val="en-US" w:eastAsia="zh-CN"/>
              </w:rPr>
            </w:pPr>
            <w:r>
              <w:rPr>
                <w:rFonts w:hint="eastAsia" w:ascii="Times New Roman" w:hAnsi="Times New Roman" w:eastAsia="仿宋" w:cs="仿宋"/>
                <w:color w:val="auto"/>
                <w:sz w:val="32"/>
                <w:szCs w:val="32"/>
                <w:highlight w:val="none"/>
                <w:lang w:val="en-US" w:eastAsia="zh-CN"/>
              </w:rPr>
              <w:t>投标人陈述和答辩（若有）</w:t>
            </w:r>
          </w:p>
        </w:tc>
        <w:tc>
          <w:tcPr>
            <w:tcW w:w="1007"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Times New Roman" w:hAnsi="Times New Roman" w:eastAsia="仿宋" w:cs="仿宋"/>
                <w:color w:val="auto"/>
                <w:sz w:val="32"/>
                <w:szCs w:val="32"/>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598" w:type="dxa"/>
            <w:gridSpan w:val="3"/>
            <w:noWrap w:val="0"/>
            <w:vAlign w:val="top"/>
          </w:tcPr>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Times New Roman" w:hAnsi="Times New Roman" w:eastAsia="仿宋" w:cs="仿宋"/>
                <w:color w:val="auto"/>
                <w:sz w:val="32"/>
                <w:szCs w:val="32"/>
                <w:highlight w:val="none"/>
                <w:lang w:val="en-US" w:eastAsia="zh-CN"/>
              </w:rPr>
            </w:pPr>
            <w:r>
              <w:rPr>
                <w:rFonts w:hint="eastAsia" w:ascii="Times New Roman" w:hAnsi="Times New Roman" w:eastAsia="仿宋" w:cs="仿宋"/>
                <w:color w:val="auto"/>
                <w:sz w:val="32"/>
                <w:szCs w:val="32"/>
                <w:highlight w:val="none"/>
                <w:lang w:val="en-US" w:eastAsia="zh-CN"/>
              </w:rPr>
              <w:t>备注：招标人可根据招标项目的实际需求要求投标人陈述和答辩，陈述和答辩具体要求见投标须知前附表，分值一般不超过5分；其余技术标打分条款由招标人根据项目实际情况进行设置，技术标总分设置不超过30分。</w:t>
            </w:r>
          </w:p>
        </w:tc>
      </w:tr>
    </w:tbl>
    <w:p>
      <w:pPr>
        <w:pStyle w:val="2"/>
        <w:keepNext w:val="0"/>
        <w:keepLines w:val="0"/>
        <w:pageBreakBefore w:val="0"/>
        <w:kinsoku/>
        <w:wordWrap/>
        <w:overflowPunct/>
        <w:topLinePunct w:val="0"/>
        <w:autoSpaceDE/>
        <w:autoSpaceDN/>
        <w:bidi w:val="0"/>
        <w:adjustRightInd/>
        <w:snapToGrid/>
        <w:spacing w:after="0" w:line="540" w:lineRule="exact"/>
        <w:ind w:left="0" w:leftChars="0"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招标人可根据招标项目的实际需求设置1-9项，每单项的分值不超过5分。 编制招标文件时，应进一步明确具体的评审因素。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各单项的分值一般按优、良、一般和未提供相应资料四挡，得分值一般分别按（0.9-1.0]*分值、(0.6-0.9]*分值、（0.4-0.6]*分值和0分，上限值包含本数，下限值不包含本数。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黑体" w:cs="黑体"/>
          <w:b w:val="0"/>
          <w:bCs w:val="0"/>
          <w:color w:val="auto"/>
          <w:kern w:val="0"/>
          <w:sz w:val="32"/>
          <w:szCs w:val="32"/>
          <w:highlight w:val="none"/>
          <w:lang w:val="en-US" w:eastAsia="zh-CN" w:bidi="ar-SA"/>
        </w:rPr>
      </w:pPr>
      <w:r>
        <w:rPr>
          <w:rFonts w:hint="eastAsia" w:ascii="Times New Roman" w:hAnsi="Times New Roman" w:eastAsia="黑体" w:cs="黑体"/>
          <w:b w:val="0"/>
          <w:bCs w:val="0"/>
          <w:color w:val="auto"/>
          <w:kern w:val="0"/>
          <w:sz w:val="32"/>
          <w:szCs w:val="32"/>
          <w:highlight w:val="none"/>
          <w:lang w:val="en-US" w:eastAsia="zh-CN" w:bidi="ar-SA"/>
        </w:rPr>
        <w:t>三、资信标评审（≤10分）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资信分可根据投标单位的企业综合实力、类似工程业绩、建设主管部门的信用评价体系、项目负责人及项目班子人员能力、其他因素等5个单项进行设置。建设主管部门的信用评价体系分值为5分，</w:t>
      </w:r>
      <w:r>
        <w:rPr>
          <w:rFonts w:hint="eastAsia" w:ascii="CESI仿宋-GB2312" w:hAnsi="CESI仿宋-GB2312" w:eastAsia="CESI仿宋-GB2312" w:cs="CESI仿宋-GB2312"/>
          <w:b w:val="0"/>
          <w:bCs w:val="0"/>
          <w:color w:val="auto"/>
          <w:sz w:val="32"/>
          <w:szCs w:val="32"/>
          <w:highlight w:val="none"/>
          <w:lang w:val="en-US" w:eastAsia="zh-CN"/>
        </w:rPr>
        <w:t>具体评审办法按《绍兴市房屋建筑和市政基础设施工程建筑施工企业信用评价招投标应用标准（试行）》编制。</w:t>
      </w:r>
      <w:r>
        <w:rPr>
          <w:rFonts w:hint="eastAsia" w:ascii="Times New Roman" w:hAnsi="Times New Roman" w:eastAsia="仿宋_GB2312" w:cs="仿宋_GB2312"/>
          <w:b w:val="0"/>
          <w:bCs w:val="0"/>
          <w:color w:val="auto"/>
          <w:kern w:val="0"/>
          <w:sz w:val="32"/>
          <w:szCs w:val="32"/>
          <w:highlight w:val="none"/>
          <w:lang w:val="en-US" w:eastAsia="zh-CN" w:bidi="ar-SA"/>
        </w:rPr>
        <w:t xml:space="preserve">其他每个单项的具体评审内容和分值由招标人自行确定。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黑体" w:cs="黑体"/>
          <w:b w:val="0"/>
          <w:bCs w:val="0"/>
          <w:color w:val="auto"/>
          <w:kern w:val="0"/>
          <w:sz w:val="32"/>
          <w:szCs w:val="32"/>
          <w:highlight w:val="none"/>
          <w:lang w:val="en-US" w:eastAsia="zh-CN" w:bidi="ar-SA"/>
        </w:rPr>
        <w:t>四、商务标评分（≥60分）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投标报价等于评标基准价时，商务总报价评分为满分；投标报价每低于评标基准价1%扣A分(A=2或3，由招标人自行在招标文件中明确)；每高于评标基准价1%扣2A分。不足一个百分点时，使用直线插入法计算，结果四舍五入保留两位小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仿宋_GB2312" w:cs="仿宋_GB2312"/>
          <w:b w:val="0"/>
          <w:bCs w:val="0"/>
          <w:color w:val="auto"/>
          <w:kern w:val="0"/>
          <w:sz w:val="32"/>
          <w:szCs w:val="32"/>
          <w:highlight w:val="none"/>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评标基准价确定方法等同《评审区间确定规则（适用技术标通过制的综合评估法）》中评审区间评标基准价D</w:t>
      </w:r>
      <w:r>
        <w:rPr>
          <w:rFonts w:hint="eastAsia" w:ascii="Times New Roman" w:hAnsi="Times New Roman" w:eastAsia="仿宋_GB2312" w:cs="仿宋_GB2312"/>
          <w:b w:val="0"/>
          <w:bCs w:val="0"/>
          <w:color w:val="auto"/>
          <w:kern w:val="0"/>
          <w:sz w:val="32"/>
          <w:szCs w:val="32"/>
          <w:highlight w:val="none"/>
          <w:vertAlign w:val="subscript"/>
          <w:lang w:val="en-US" w:eastAsia="zh-CN" w:bidi="ar-SA"/>
        </w:rPr>
        <w:t>1</w:t>
      </w:r>
      <w:r>
        <w:rPr>
          <w:rFonts w:hint="eastAsia" w:ascii="Times New Roman" w:hAnsi="Times New Roman" w:eastAsia="仿宋_GB2312" w:cs="仿宋_GB2312"/>
          <w:b w:val="0"/>
          <w:bCs w:val="0"/>
          <w:color w:val="auto"/>
          <w:kern w:val="0"/>
          <w:sz w:val="32"/>
          <w:szCs w:val="32"/>
          <w:highlight w:val="none"/>
          <w:lang w:val="en-US" w:eastAsia="zh-CN" w:bidi="ar-SA"/>
        </w:rPr>
        <w:t>，但平均浮动系数K</w:t>
      </w:r>
      <w:r>
        <w:rPr>
          <w:rFonts w:hint="eastAsia" w:ascii="Times New Roman" w:hAnsi="Times New Roman" w:eastAsia="仿宋_GB2312" w:cs="仿宋_GB2312"/>
          <w:b w:val="0"/>
          <w:bCs w:val="0"/>
          <w:color w:val="auto"/>
          <w:kern w:val="0"/>
          <w:sz w:val="32"/>
          <w:szCs w:val="32"/>
          <w:highlight w:val="none"/>
          <w:vertAlign w:val="subscript"/>
          <w:lang w:val="en-US" w:eastAsia="zh-CN" w:bidi="ar-SA"/>
        </w:rPr>
        <w:t>2</w:t>
      </w:r>
      <w:r>
        <w:rPr>
          <w:rFonts w:hint="eastAsia" w:ascii="Times New Roman" w:hAnsi="Times New Roman" w:eastAsia="仿宋_GB2312" w:cs="仿宋_GB2312"/>
          <w:b w:val="0"/>
          <w:bCs w:val="0"/>
          <w:color w:val="auto"/>
          <w:kern w:val="0"/>
          <w:sz w:val="32"/>
          <w:szCs w:val="32"/>
          <w:highlight w:val="none"/>
          <w:lang w:val="en-US" w:eastAsia="zh-CN" w:bidi="ar-SA"/>
        </w:rPr>
        <w:t>的范围为95%～85%：</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Times New Roman" w:hAnsi="Times New Roman" w:eastAsia="仿宋_GB2312" w:cs="仿宋_GB2312"/>
          <w:b w:val="0"/>
          <w:bCs w:val="0"/>
          <w:color w:val="auto"/>
          <w:kern w:val="0"/>
          <w:sz w:val="32"/>
          <w:szCs w:val="32"/>
          <w:highlight w:val="none"/>
          <w:vertAlign w:val="subscript"/>
          <w:lang w:val="en-US" w:eastAsia="zh-CN" w:bidi="ar-SA"/>
        </w:rPr>
      </w:pPr>
      <w:r>
        <w:rPr>
          <w:rFonts w:hint="eastAsia" w:ascii="Times New Roman" w:hAnsi="Times New Roman" w:eastAsia="仿宋_GB2312" w:cs="仿宋_GB2312"/>
          <w:b w:val="0"/>
          <w:bCs w:val="0"/>
          <w:color w:val="auto"/>
          <w:kern w:val="0"/>
          <w:sz w:val="32"/>
          <w:szCs w:val="32"/>
          <w:highlight w:val="none"/>
          <w:lang w:val="en-US" w:eastAsia="zh-CN" w:bidi="ar-SA"/>
        </w:rPr>
        <w:t>Ｄ</w:t>
      </w:r>
      <w:r>
        <w:rPr>
          <w:rFonts w:hint="eastAsia" w:ascii="Times New Roman" w:hAnsi="Times New Roman" w:eastAsia="仿宋_GB2312" w:cs="仿宋_GB2312"/>
          <w:b w:val="0"/>
          <w:bCs w:val="0"/>
          <w:color w:val="auto"/>
          <w:kern w:val="0"/>
          <w:sz w:val="32"/>
          <w:szCs w:val="32"/>
          <w:highlight w:val="none"/>
          <w:vertAlign w:val="subscript"/>
          <w:lang w:val="en-US" w:eastAsia="zh-CN" w:bidi="ar-SA"/>
        </w:rPr>
        <w:t>1</w:t>
      </w:r>
      <w:r>
        <w:rPr>
          <w:rFonts w:hint="eastAsia" w:ascii="Times New Roman" w:hAnsi="Times New Roman" w:eastAsia="仿宋_GB2312" w:cs="仿宋_GB2312"/>
          <w:b w:val="0"/>
          <w:bCs w:val="0"/>
          <w:color w:val="auto"/>
          <w:kern w:val="0"/>
          <w:sz w:val="32"/>
          <w:szCs w:val="32"/>
          <w:highlight w:val="none"/>
          <w:lang w:val="en-US" w:eastAsia="zh-CN" w:bidi="ar-SA"/>
        </w:rPr>
        <w:t>＝Ｋ</w:t>
      </w:r>
      <w:r>
        <w:rPr>
          <w:rFonts w:hint="eastAsia" w:ascii="Times New Roman" w:hAnsi="Times New Roman" w:eastAsia="仿宋_GB2312" w:cs="仿宋_GB2312"/>
          <w:b w:val="0"/>
          <w:bCs w:val="0"/>
          <w:color w:val="auto"/>
          <w:kern w:val="0"/>
          <w:sz w:val="32"/>
          <w:szCs w:val="32"/>
          <w:highlight w:val="none"/>
          <w:vertAlign w:val="subscript"/>
          <w:lang w:val="en-US" w:eastAsia="zh-CN" w:bidi="ar-SA"/>
        </w:rPr>
        <w:t>１</w:t>
      </w:r>
      <w:r>
        <w:rPr>
          <w:rFonts w:hint="eastAsia" w:ascii="Times New Roman" w:hAnsi="Times New Roman" w:eastAsia="仿宋_GB2312" w:cs="仿宋_GB2312"/>
          <w:b w:val="0"/>
          <w:bCs w:val="0"/>
          <w:color w:val="auto"/>
          <w:kern w:val="0"/>
          <w:sz w:val="32"/>
          <w:szCs w:val="32"/>
          <w:highlight w:val="none"/>
          <w:lang w:val="en-US" w:eastAsia="zh-CN" w:bidi="ar-SA"/>
        </w:rPr>
        <w:t>*Ａ+（１-Ｋ</w:t>
      </w:r>
      <w:r>
        <w:rPr>
          <w:rFonts w:hint="eastAsia" w:ascii="Times New Roman" w:hAnsi="Times New Roman" w:eastAsia="仿宋_GB2312" w:cs="仿宋_GB2312"/>
          <w:b w:val="0"/>
          <w:bCs w:val="0"/>
          <w:color w:val="auto"/>
          <w:kern w:val="0"/>
          <w:sz w:val="32"/>
          <w:szCs w:val="32"/>
          <w:highlight w:val="none"/>
          <w:vertAlign w:val="subscript"/>
          <w:lang w:val="en-US" w:eastAsia="zh-CN" w:bidi="ar-SA"/>
        </w:rPr>
        <w:t>１</w:t>
      </w:r>
      <w:r>
        <w:rPr>
          <w:rFonts w:hint="eastAsia" w:ascii="Times New Roman" w:hAnsi="Times New Roman" w:eastAsia="仿宋_GB2312" w:cs="仿宋_GB2312"/>
          <w:b w:val="0"/>
          <w:bCs w:val="0"/>
          <w:color w:val="auto"/>
          <w:kern w:val="0"/>
          <w:sz w:val="32"/>
          <w:szCs w:val="32"/>
          <w:highlight w:val="none"/>
          <w:lang w:val="en-US" w:eastAsia="zh-CN" w:bidi="ar-SA"/>
        </w:rPr>
        <w:t>）*Ｂ*Ｋ</w:t>
      </w:r>
      <w:r>
        <w:rPr>
          <w:rFonts w:hint="eastAsia" w:ascii="Times New Roman" w:hAnsi="Times New Roman" w:eastAsia="仿宋_GB2312" w:cs="仿宋_GB2312"/>
          <w:b w:val="0"/>
          <w:bCs w:val="0"/>
          <w:color w:val="auto"/>
          <w:kern w:val="0"/>
          <w:sz w:val="32"/>
          <w:szCs w:val="32"/>
          <w:highlight w:val="none"/>
          <w:vertAlign w:val="subscript"/>
          <w:lang w:val="en-US" w:eastAsia="zh-CN" w:bidi="ar-SA"/>
        </w:rPr>
        <w:t>２</w:t>
      </w:r>
    </w:p>
    <w:p>
      <w:pPr>
        <w:keepNext w:val="0"/>
        <w:keepLines w:val="0"/>
        <w:pageBreakBefore w:val="0"/>
        <w:widowControl/>
        <w:kinsoku/>
        <w:wordWrap/>
        <w:overflowPunct/>
        <w:topLinePunct w:val="0"/>
        <w:autoSpaceDE/>
        <w:autoSpaceDN/>
        <w:bidi w:val="0"/>
        <w:adjustRightInd/>
        <w:snapToGrid w:val="0"/>
        <w:spacing w:line="560" w:lineRule="exact"/>
        <w:jc w:val="both"/>
        <w:textAlignment w:val="auto"/>
        <w:rPr>
          <w:rFonts w:hint="eastAsia" w:ascii="Times New Roman" w:hAnsi="Times New Roman" w:eastAsia="黑体" w:cs="黑体"/>
          <w:b w:val="0"/>
          <w:bCs w:val="0"/>
          <w:color w:val="auto"/>
          <w:kern w:val="0"/>
          <w:sz w:val="32"/>
          <w:szCs w:val="32"/>
          <w:highlight w:val="none"/>
          <w:lang w:val="en-US" w:eastAsia="zh-CN" w:bidi="ar-SA"/>
        </w:rPr>
      </w:pPr>
    </w:p>
    <w:p>
      <w:pPr>
        <w:keepNext w:val="0"/>
        <w:keepLines w:val="0"/>
        <w:pageBreakBefore w:val="0"/>
        <w:widowControl/>
        <w:kinsoku/>
        <w:wordWrap/>
        <w:overflowPunct/>
        <w:topLinePunct w:val="0"/>
        <w:autoSpaceDE/>
        <w:autoSpaceDN/>
        <w:bidi w:val="0"/>
        <w:adjustRightInd/>
        <w:snapToGrid w:val="0"/>
        <w:spacing w:line="560" w:lineRule="exact"/>
        <w:jc w:val="both"/>
        <w:textAlignment w:val="auto"/>
        <w:rPr>
          <w:rFonts w:hint="eastAsia" w:ascii="Times New Roman" w:hAnsi="Times New Roman" w:eastAsia="黑体" w:cs="黑体"/>
          <w:b w:val="0"/>
          <w:bCs w:val="0"/>
          <w:color w:val="auto"/>
          <w:kern w:val="0"/>
          <w:sz w:val="32"/>
          <w:szCs w:val="32"/>
          <w:highlight w:val="none"/>
          <w:lang w:val="en-US" w:eastAsia="zh-CN" w:bidi="ar-SA"/>
        </w:rPr>
      </w:pPr>
      <w:r>
        <w:rPr>
          <w:rFonts w:hint="eastAsia" w:ascii="Times New Roman" w:hAnsi="Times New Roman" w:eastAsia="黑体" w:cs="黑体"/>
          <w:b w:val="0"/>
          <w:bCs w:val="0"/>
          <w:color w:val="auto"/>
          <w:kern w:val="0"/>
          <w:sz w:val="32"/>
          <w:szCs w:val="32"/>
          <w:highlight w:val="none"/>
          <w:lang w:val="en-US" w:eastAsia="zh-CN" w:bidi="ar-SA"/>
        </w:rPr>
        <w:t>附件6</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540" w:lineRule="exact"/>
        <w:ind w:left="0" w:firstLine="0"/>
        <w:jc w:val="left"/>
        <w:textAlignment w:val="auto"/>
        <w:rPr>
          <w:rFonts w:hint="eastAsia" w:ascii="方正小标宋简体" w:hAnsi="方正小标宋简体" w:eastAsia="方正小标宋简体" w:cs="方正小标宋简体"/>
          <w:color w:val="auto"/>
          <w:sz w:val="44"/>
          <w:szCs w:val="44"/>
          <w:highlight w:val="none"/>
          <w:lang w:val="en-US" w:eastAsia="zh-CN"/>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540" w:lineRule="exact"/>
        <w:ind w:left="0" w:firstLine="0"/>
        <w:jc w:val="center"/>
        <w:textAlignment w:val="auto"/>
        <w:rPr>
          <w:rFonts w:hint="eastAsia" w:ascii="方正小标宋简体" w:hAnsi="方正小标宋简体" w:eastAsia="方正小标宋简体" w:cs="方正小标宋简体"/>
          <w:color w:val="auto"/>
          <w:w w:val="90"/>
          <w:sz w:val="44"/>
          <w:szCs w:val="44"/>
          <w:highlight w:val="none"/>
          <w:lang w:val="en-US" w:eastAsia="zh-CN"/>
        </w:rPr>
      </w:pPr>
      <w:r>
        <w:rPr>
          <w:rFonts w:hint="eastAsia" w:ascii="方正小标宋简体" w:hAnsi="方正小标宋简体" w:eastAsia="方正小标宋简体" w:cs="方正小标宋简体"/>
          <w:color w:val="auto"/>
          <w:w w:val="90"/>
          <w:sz w:val="44"/>
          <w:szCs w:val="44"/>
          <w:highlight w:val="none"/>
          <w:lang w:val="en-US" w:eastAsia="zh-CN"/>
        </w:rPr>
        <w:t>绍兴市房屋建筑和市政基础设施工程建筑施工</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540" w:lineRule="exact"/>
        <w:ind w:left="0" w:firstLine="0"/>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企业信用评价招投标应用标准（试行）</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540" w:lineRule="exact"/>
        <w:ind w:left="0" w:firstLine="0"/>
        <w:jc w:val="center"/>
        <w:textAlignment w:val="auto"/>
        <w:rPr>
          <w:rFonts w:hint="eastAsia" w:ascii="CESI仿宋-GB2312" w:hAnsi="CESI仿宋-GB2312" w:eastAsia="CESI仿宋-GB2312" w:cs="CESI仿宋-GB2312"/>
          <w:i w:val="0"/>
          <w:caps w:val="0"/>
          <w:color w:val="auto"/>
          <w:spacing w:val="0"/>
          <w:kern w:val="0"/>
          <w:sz w:val="44"/>
          <w:szCs w:val="44"/>
          <w:highlight w:val="none"/>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540" w:lineRule="exact"/>
        <w:ind w:left="0" w:firstLine="640" w:firstLineChars="200"/>
        <w:jc w:val="both"/>
        <w:textAlignment w:val="auto"/>
        <w:rPr>
          <w:rFonts w:hint="eastAsia" w:ascii="CESI仿宋-GB2312" w:hAnsi="CESI仿宋-GB2312" w:eastAsia="CESI仿宋-GB2312" w:cs="CESI仿宋-GB2312"/>
          <w:i w:val="0"/>
          <w:caps w:val="0"/>
          <w:color w:val="auto"/>
          <w:spacing w:val="0"/>
          <w:kern w:val="0"/>
          <w:sz w:val="32"/>
          <w:szCs w:val="32"/>
          <w:highlight w:val="none"/>
          <w:shd w:val="clear" w:color="auto" w:fill="FFFFFF"/>
          <w:lang w:val="en-US" w:eastAsia="zh-CN" w:bidi="ar"/>
        </w:rPr>
      </w:pPr>
      <w:r>
        <w:rPr>
          <w:rFonts w:hint="eastAsia" w:ascii="CESI仿宋-GB2312" w:hAnsi="CESI仿宋-GB2312" w:eastAsia="CESI仿宋-GB2312" w:cs="CESI仿宋-GB2312"/>
          <w:i w:val="0"/>
          <w:caps w:val="0"/>
          <w:color w:val="auto"/>
          <w:spacing w:val="0"/>
          <w:kern w:val="0"/>
          <w:sz w:val="32"/>
          <w:szCs w:val="32"/>
          <w:highlight w:val="none"/>
          <w:shd w:val="clear" w:color="auto" w:fill="FFFFFF"/>
          <w:lang w:val="en-US" w:eastAsia="zh-CN" w:bidi="ar"/>
        </w:rPr>
        <w:t>根据《浙江省住房和城乡建设厅关于浙江省建筑施工企业信用评价的实施意见》（浙建〔2021〕8号）《浙江省住房和城乡建设厅 浙江省发展和改革委员会关于印发&lt;浙江省房屋建筑和市政基础设施施工招标文件示范文本&gt;的通知》（浙建〔2021〕5号），制定本应用标准，具体内容如下：</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一、施工技术通过制的综合评估法</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540" w:lineRule="exact"/>
        <w:ind w:left="0" w:firstLine="0"/>
        <w:jc w:val="both"/>
        <w:textAlignment w:val="auto"/>
        <w:rPr>
          <w:rFonts w:hint="eastAsia" w:ascii="CESI仿宋-GB2312" w:hAnsi="CESI仿宋-GB2312" w:eastAsia="CESI仿宋-GB2312" w:cs="CESI仿宋-GB2312"/>
          <w:i w:val="0"/>
          <w:caps w:val="0"/>
          <w:color w:val="auto"/>
          <w:spacing w:val="0"/>
          <w:kern w:val="0"/>
          <w:sz w:val="32"/>
          <w:szCs w:val="32"/>
          <w:highlight w:val="none"/>
          <w:shd w:val="clear" w:color="auto" w:fill="FFFFFF"/>
          <w:lang w:val="en-US" w:eastAsia="zh-CN" w:bidi="ar"/>
        </w:rPr>
      </w:pPr>
      <w:r>
        <w:rPr>
          <w:rFonts w:hint="eastAsia" w:ascii="CESI仿宋-GB2312" w:hAnsi="CESI仿宋-GB2312" w:eastAsia="CESI仿宋-GB2312" w:cs="CESI仿宋-GB2312"/>
          <w:i w:val="0"/>
          <w:caps w:val="0"/>
          <w:color w:val="auto"/>
          <w:spacing w:val="0"/>
          <w:kern w:val="0"/>
          <w:sz w:val="32"/>
          <w:szCs w:val="32"/>
          <w:highlight w:val="none"/>
          <w:shd w:val="clear" w:color="auto" w:fill="FFFFFF"/>
          <w:lang w:val="en-US" w:eastAsia="zh-CN" w:bidi="ar"/>
        </w:rPr>
        <w:t>     信用评价评分为5分。信用评价根据投标截止之日绍兴建筑信用监管平台上施工总承包企业按规定对应的信用等级进行计取并排序，无信用等级的不计分。信用分按招标控制价分类计算。</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1"/>
        <w:gridCol w:w="1074"/>
        <w:gridCol w:w="1074"/>
        <w:gridCol w:w="1074"/>
        <w:gridCol w:w="1074"/>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151" w:type="dxa"/>
            <w:noWrap w:val="0"/>
            <w:vAlign w:val="center"/>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pPr>
            <w:r>
              <w:rPr>
                <w:color w:val="auto"/>
                <w:sz w:val="28"/>
                <w:highlight w:val="none"/>
              </w:rPr>
              <mc:AlternateContent>
                <mc:Choice Requires="wps">
                  <w:drawing>
                    <wp:anchor distT="0" distB="0" distL="114300" distR="114300" simplePos="0" relativeHeight="251660288" behindDoc="0" locked="0" layoutInCell="1" allowOverlap="1">
                      <wp:simplePos x="0" y="0"/>
                      <wp:positionH relativeFrom="column">
                        <wp:posOffset>-81915</wp:posOffset>
                      </wp:positionH>
                      <wp:positionV relativeFrom="paragraph">
                        <wp:posOffset>19685</wp:posOffset>
                      </wp:positionV>
                      <wp:extent cx="2000885" cy="381000"/>
                      <wp:effectExtent l="635" t="4445" r="17780" b="14605"/>
                      <wp:wrapNone/>
                      <wp:docPr id="3" name="直线 2"/>
                      <wp:cNvGraphicFramePr/>
                      <a:graphic xmlns:a="http://schemas.openxmlformats.org/drawingml/2006/main">
                        <a:graphicData uri="http://schemas.microsoft.com/office/word/2010/wordprocessingShape">
                          <wps:wsp>
                            <wps:cNvCnPr/>
                            <wps:spPr>
                              <a:xfrm>
                                <a:off x="0" y="0"/>
                                <a:ext cx="2000885" cy="3810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6.45pt;margin-top:1.55pt;height:30pt;width:157.55pt;z-index:251660288;mso-width-relative:page;mso-height-relative:page;" filled="f" stroked="t" coordsize="21600,21600" o:gfxdata="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5Bh2zW&#10;AAAACAEAAA8AAAAAAAAAAQAgAAAAIgAAAGRycy9kb3ducmV2LnhtbFBLAQIUABQAAAAIAIdO4kCH&#10;VF/o6QEAAOADAAAOAAAAAAAAAAEAIAAAACUBAABkcnMvZTJvRG9jLnhtbFBLBQYAAAAABgAGAFkB&#10;AACABQAAAAA=&#10;">
                      <v:fill on="f" focussize="0,0"/>
                      <v:stroke color="#000000" joinstyle="round"/>
                      <v:imagedata o:title=""/>
                      <o:lock v:ext="edit" aspectratio="f"/>
                    </v:line>
                  </w:pict>
                </mc:Fallback>
              </mc:AlternateContent>
            </w:r>
            <w:r>
              <w:rPr>
                <w:color w:val="auto"/>
                <w:sz w:val="28"/>
                <w:highlight w:val="none"/>
              </w:rPr>
              <mc:AlternateContent>
                <mc:Choice Requires="wps">
                  <w:drawing>
                    <wp:anchor distT="0" distB="0" distL="114300" distR="114300" simplePos="0" relativeHeight="251661312" behindDoc="0" locked="0" layoutInCell="1" allowOverlap="1">
                      <wp:simplePos x="0" y="0"/>
                      <wp:positionH relativeFrom="column">
                        <wp:posOffset>-72390</wp:posOffset>
                      </wp:positionH>
                      <wp:positionV relativeFrom="paragraph">
                        <wp:posOffset>19685</wp:posOffset>
                      </wp:positionV>
                      <wp:extent cx="1370965" cy="904875"/>
                      <wp:effectExtent l="2540" t="3810" r="17145" b="5715"/>
                      <wp:wrapNone/>
                      <wp:docPr id="4" name="直线 3"/>
                      <wp:cNvGraphicFramePr/>
                      <a:graphic xmlns:a="http://schemas.openxmlformats.org/drawingml/2006/main">
                        <a:graphicData uri="http://schemas.microsoft.com/office/word/2010/wordprocessingShape">
                          <wps:wsp>
                            <wps:cNvCnPr/>
                            <wps:spPr>
                              <a:xfrm>
                                <a:off x="0" y="0"/>
                                <a:ext cx="1370965" cy="9048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5.7pt;margin-top:1.55pt;height:71.25pt;width:107.95pt;z-index:251661312;mso-width-relative:page;mso-height-relative:page;" filled="f" stroked="t" coordsize="21600,21600" o:gfxdata="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Nr&#10;HBfXAAAACQEAAA8AAAAAAAAAAQAgAAAAIgAAAGRycy9kb3ducmV2LnhtbFBLAQIUABQAAAAIAIdO&#10;4kBL2Rli6wEAAOADAAAOAAAAAAAAAAEAIAAAACYBAABkcnMvZTJvRG9jLnhtbFBLBQYAAAAABgAG&#10;AFkBAACDBQAAAAA=&#10;">
                      <v:fill on="f" focussize="0,0"/>
                      <v:stroke color="#000000" joinstyle="round"/>
                      <v:imagedata o:title=""/>
                      <o:lock v:ext="edit" aspectratio="f"/>
                    </v:line>
                  </w:pict>
                </mc:Fallback>
              </mc:AlternateContent>
            </w:r>
            <w:r>
              <w:rPr>
                <w:rFonts w:hint="eastAsia"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t xml:space="preserve">            信用等级  </w:t>
            </w:r>
          </w:p>
          <w:p>
            <w:pPr>
              <w:pStyle w:val="2"/>
              <w:keepNext w:val="0"/>
              <w:keepLines w:val="0"/>
              <w:pageBreakBefore w:val="0"/>
              <w:widowControl/>
              <w:kinsoku/>
              <w:wordWrap/>
              <w:overflowPunct/>
              <w:topLinePunct w:val="0"/>
              <w:autoSpaceDE/>
              <w:autoSpaceDN/>
              <w:bidi w:val="0"/>
              <w:adjustRightInd/>
              <w:snapToGrid/>
              <w:spacing w:line="400" w:lineRule="exact"/>
              <w:ind w:firstLine="1120" w:firstLineChars="400"/>
              <w:jc w:val="both"/>
              <w:textAlignment w:val="auto"/>
              <w:rPr>
                <w:rFonts w:hint="eastAsia"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pPr>
            <w:r>
              <w:rPr>
                <w:rFonts w:hint="eastAsia"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t>信用得分</w:t>
            </w:r>
          </w:p>
          <w:p>
            <w:pPr>
              <w:pStyle w:val="2"/>
              <w:keepNext w:val="0"/>
              <w:keepLines w:val="0"/>
              <w:pageBreakBefore w:val="0"/>
              <w:widowControl/>
              <w:kinsoku/>
              <w:wordWrap/>
              <w:overflowPunct/>
              <w:topLinePunct w:val="0"/>
              <w:autoSpaceDE/>
              <w:autoSpaceDN/>
              <w:bidi w:val="0"/>
              <w:adjustRightInd/>
              <w:snapToGrid/>
              <w:spacing w:line="400" w:lineRule="exact"/>
              <w:jc w:val="both"/>
              <w:textAlignment w:val="auto"/>
              <w:rPr>
                <w:rFonts w:hint="default"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pPr>
            <w:r>
              <w:rPr>
                <w:rFonts w:hint="eastAsia"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t>招标控制价</w:t>
            </w:r>
          </w:p>
        </w:tc>
        <w:tc>
          <w:tcPr>
            <w:tcW w:w="1074" w:type="dxa"/>
            <w:noWrap w:val="0"/>
            <w:vAlign w:val="center"/>
          </w:tcPr>
          <w:p>
            <w:pPr>
              <w:pStyle w:val="2"/>
              <w:jc w:val="center"/>
              <w:rPr>
                <w:rFonts w:hint="default"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pPr>
            <w:r>
              <w:rPr>
                <w:rFonts w:hint="eastAsia"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t>A</w:t>
            </w:r>
          </w:p>
        </w:tc>
        <w:tc>
          <w:tcPr>
            <w:tcW w:w="1074" w:type="dxa"/>
            <w:noWrap w:val="0"/>
            <w:vAlign w:val="center"/>
          </w:tcPr>
          <w:p>
            <w:pPr>
              <w:pStyle w:val="2"/>
              <w:jc w:val="center"/>
              <w:rPr>
                <w:rFonts w:hint="default"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pPr>
            <w:r>
              <w:rPr>
                <w:rFonts w:hint="eastAsia"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t>B</w:t>
            </w:r>
          </w:p>
        </w:tc>
        <w:tc>
          <w:tcPr>
            <w:tcW w:w="1074" w:type="dxa"/>
            <w:noWrap w:val="0"/>
            <w:vAlign w:val="center"/>
          </w:tcPr>
          <w:p>
            <w:pPr>
              <w:pStyle w:val="2"/>
              <w:jc w:val="center"/>
              <w:rPr>
                <w:rFonts w:hint="default"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pPr>
            <w:r>
              <w:rPr>
                <w:rFonts w:hint="eastAsia"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t>C</w:t>
            </w:r>
          </w:p>
        </w:tc>
        <w:tc>
          <w:tcPr>
            <w:tcW w:w="1074" w:type="dxa"/>
            <w:noWrap w:val="0"/>
            <w:vAlign w:val="center"/>
          </w:tcPr>
          <w:p>
            <w:pPr>
              <w:pStyle w:val="2"/>
              <w:jc w:val="center"/>
              <w:rPr>
                <w:rFonts w:hint="default"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pPr>
            <w:r>
              <w:rPr>
                <w:rFonts w:hint="eastAsia"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t>D</w:t>
            </w:r>
          </w:p>
        </w:tc>
        <w:tc>
          <w:tcPr>
            <w:tcW w:w="1075" w:type="dxa"/>
            <w:noWrap w:val="0"/>
            <w:vAlign w:val="center"/>
          </w:tcPr>
          <w:p>
            <w:pPr>
              <w:pStyle w:val="2"/>
              <w:jc w:val="center"/>
              <w:rPr>
                <w:rFonts w:hint="default"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pPr>
            <w:r>
              <w:rPr>
                <w:rFonts w:hint="eastAsia"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151" w:type="dxa"/>
            <w:noWrap w:val="0"/>
            <w:vAlign w:val="center"/>
          </w:tcPr>
          <w:p>
            <w:pPr>
              <w:pStyle w:val="2"/>
              <w:keepNext w:val="0"/>
              <w:keepLines w:val="0"/>
              <w:pageBreakBefore w:val="0"/>
              <w:widowControl/>
              <w:kinsoku/>
              <w:wordWrap/>
              <w:overflowPunct/>
              <w:topLinePunct w:val="0"/>
              <w:autoSpaceDE/>
              <w:autoSpaceDN/>
              <w:bidi w:val="0"/>
              <w:adjustRightInd/>
              <w:snapToGrid/>
              <w:spacing w:line="400" w:lineRule="exact"/>
              <w:jc w:val="both"/>
              <w:textAlignment w:val="auto"/>
              <w:rPr>
                <w:rFonts w:hint="default"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pPr>
            <w:r>
              <w:rPr>
                <w:rFonts w:hint="eastAsia"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t>房建工程10000万元及以上、市政工程5000万元及以上</w:t>
            </w:r>
          </w:p>
        </w:tc>
        <w:tc>
          <w:tcPr>
            <w:tcW w:w="1074" w:type="dxa"/>
            <w:noWrap w:val="0"/>
            <w:vAlign w:val="center"/>
          </w:tcPr>
          <w:p>
            <w:pPr>
              <w:pStyle w:val="2"/>
              <w:jc w:val="center"/>
              <w:rPr>
                <w:rFonts w:hint="default"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pPr>
            <w:r>
              <w:rPr>
                <w:rFonts w:hint="eastAsia"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t>5</w:t>
            </w:r>
          </w:p>
        </w:tc>
        <w:tc>
          <w:tcPr>
            <w:tcW w:w="1074" w:type="dxa"/>
            <w:noWrap w:val="0"/>
            <w:vAlign w:val="center"/>
          </w:tcPr>
          <w:p>
            <w:pPr>
              <w:pStyle w:val="2"/>
              <w:jc w:val="center"/>
              <w:rPr>
                <w:rFonts w:hint="default"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pPr>
            <w:r>
              <w:rPr>
                <w:rFonts w:hint="eastAsia"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t>4</w:t>
            </w:r>
          </w:p>
        </w:tc>
        <w:tc>
          <w:tcPr>
            <w:tcW w:w="1074" w:type="dxa"/>
            <w:noWrap w:val="0"/>
            <w:vAlign w:val="center"/>
          </w:tcPr>
          <w:p>
            <w:pPr>
              <w:pStyle w:val="2"/>
              <w:jc w:val="center"/>
              <w:rPr>
                <w:rFonts w:hint="default"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pPr>
            <w:r>
              <w:rPr>
                <w:rFonts w:hint="eastAsia"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t>2.5</w:t>
            </w:r>
          </w:p>
        </w:tc>
        <w:tc>
          <w:tcPr>
            <w:tcW w:w="1074" w:type="dxa"/>
            <w:noWrap w:val="0"/>
            <w:vAlign w:val="center"/>
          </w:tcPr>
          <w:p>
            <w:pPr>
              <w:pStyle w:val="2"/>
              <w:jc w:val="center"/>
              <w:rPr>
                <w:rFonts w:hint="default"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pPr>
            <w:r>
              <w:rPr>
                <w:rFonts w:hint="eastAsia"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t>1</w:t>
            </w:r>
          </w:p>
        </w:tc>
        <w:tc>
          <w:tcPr>
            <w:tcW w:w="1075" w:type="dxa"/>
            <w:noWrap w:val="0"/>
            <w:vAlign w:val="center"/>
          </w:tcPr>
          <w:p>
            <w:pPr>
              <w:pStyle w:val="2"/>
              <w:jc w:val="center"/>
              <w:rPr>
                <w:rFonts w:hint="default"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pPr>
            <w:r>
              <w:rPr>
                <w:rFonts w:hint="eastAsia"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151" w:type="dxa"/>
            <w:noWrap w:val="0"/>
            <w:vAlign w:val="center"/>
          </w:tcPr>
          <w:p>
            <w:pPr>
              <w:pStyle w:val="2"/>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pPr>
            <w:r>
              <w:rPr>
                <w:rFonts w:hint="eastAsia"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t>房建工程1000</w:t>
            </w:r>
            <w:r>
              <w:rPr>
                <w:rFonts w:hint="eastAsia" w:ascii="微软雅黑" w:hAnsi="微软雅黑" w:eastAsia="微软雅黑" w:cs="微软雅黑"/>
                <w:i w:val="0"/>
                <w:caps w:val="0"/>
                <w:color w:val="auto"/>
                <w:spacing w:val="0"/>
                <w:kern w:val="0"/>
                <w:sz w:val="28"/>
                <w:szCs w:val="28"/>
                <w:highlight w:val="none"/>
                <w:shd w:val="clear" w:color="auto" w:fill="FFFFFF"/>
                <w:vertAlign w:val="baseline"/>
                <w:lang w:val="en-US" w:eastAsia="zh-CN" w:bidi="ar"/>
              </w:rPr>
              <w:t>~</w:t>
            </w:r>
            <w:r>
              <w:rPr>
                <w:rFonts w:hint="eastAsia"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t>10000万元、市政工程1000</w:t>
            </w:r>
            <w:r>
              <w:rPr>
                <w:rFonts w:hint="eastAsia" w:ascii="微软雅黑" w:hAnsi="微软雅黑" w:eastAsia="微软雅黑" w:cs="微软雅黑"/>
                <w:i w:val="0"/>
                <w:caps w:val="0"/>
                <w:color w:val="auto"/>
                <w:spacing w:val="0"/>
                <w:kern w:val="0"/>
                <w:sz w:val="28"/>
                <w:szCs w:val="28"/>
                <w:highlight w:val="none"/>
                <w:shd w:val="clear" w:color="auto" w:fill="FFFFFF"/>
                <w:vertAlign w:val="baseline"/>
                <w:lang w:val="en-US" w:eastAsia="zh-CN" w:bidi="ar"/>
              </w:rPr>
              <w:t>~</w:t>
            </w:r>
            <w:r>
              <w:rPr>
                <w:rFonts w:hint="eastAsia"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t>5000万元</w:t>
            </w:r>
          </w:p>
        </w:tc>
        <w:tc>
          <w:tcPr>
            <w:tcW w:w="1074" w:type="dxa"/>
            <w:noWrap w:val="0"/>
            <w:vAlign w:val="center"/>
          </w:tcPr>
          <w:p>
            <w:pPr>
              <w:pStyle w:val="2"/>
              <w:jc w:val="center"/>
              <w:rPr>
                <w:rFonts w:hint="default"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pPr>
            <w:r>
              <w:rPr>
                <w:rFonts w:hint="eastAsia"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t>5</w:t>
            </w:r>
          </w:p>
        </w:tc>
        <w:tc>
          <w:tcPr>
            <w:tcW w:w="1074" w:type="dxa"/>
            <w:noWrap w:val="0"/>
            <w:vAlign w:val="center"/>
          </w:tcPr>
          <w:p>
            <w:pPr>
              <w:pStyle w:val="2"/>
              <w:jc w:val="center"/>
              <w:rPr>
                <w:rFonts w:hint="default"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pPr>
            <w:r>
              <w:rPr>
                <w:rFonts w:hint="eastAsia"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t>4.5</w:t>
            </w:r>
          </w:p>
        </w:tc>
        <w:tc>
          <w:tcPr>
            <w:tcW w:w="1074" w:type="dxa"/>
            <w:noWrap w:val="0"/>
            <w:vAlign w:val="center"/>
          </w:tcPr>
          <w:p>
            <w:pPr>
              <w:pStyle w:val="2"/>
              <w:jc w:val="center"/>
              <w:rPr>
                <w:rFonts w:hint="default"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pPr>
            <w:r>
              <w:rPr>
                <w:rFonts w:hint="eastAsia"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t>3</w:t>
            </w:r>
          </w:p>
        </w:tc>
        <w:tc>
          <w:tcPr>
            <w:tcW w:w="1074" w:type="dxa"/>
            <w:noWrap w:val="0"/>
            <w:vAlign w:val="center"/>
          </w:tcPr>
          <w:p>
            <w:pPr>
              <w:pStyle w:val="2"/>
              <w:jc w:val="center"/>
              <w:rPr>
                <w:rFonts w:hint="default"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pPr>
            <w:r>
              <w:rPr>
                <w:rFonts w:hint="eastAsia"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t>1</w:t>
            </w:r>
          </w:p>
        </w:tc>
        <w:tc>
          <w:tcPr>
            <w:tcW w:w="1075" w:type="dxa"/>
            <w:noWrap w:val="0"/>
            <w:vAlign w:val="center"/>
          </w:tcPr>
          <w:p>
            <w:pPr>
              <w:pStyle w:val="2"/>
              <w:jc w:val="center"/>
              <w:rPr>
                <w:rFonts w:hint="default"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pPr>
            <w:r>
              <w:rPr>
                <w:rFonts w:hint="eastAsia"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t>0</w:t>
            </w:r>
          </w:p>
        </w:tc>
      </w:tr>
    </w:tbl>
    <w:p>
      <w:pPr>
        <w:keepNext w:val="0"/>
        <w:keepLines w:val="0"/>
        <w:pageBreakBefore w:val="0"/>
        <w:widowControl/>
        <w:suppressLineNumbers w:val="0"/>
        <w:shd w:val="clear" w:color="auto" w:fill="FFFFFF"/>
        <w:kinsoku/>
        <w:wordWrap/>
        <w:overflowPunct/>
        <w:topLinePunct w:val="0"/>
        <w:autoSpaceDE/>
        <w:autoSpaceDN/>
        <w:bidi w:val="0"/>
        <w:adjustRightInd/>
        <w:snapToGrid/>
        <w:spacing w:line="540" w:lineRule="exact"/>
        <w:ind w:left="0" w:firstLine="640" w:firstLineChars="200"/>
        <w:jc w:val="left"/>
        <w:textAlignment w:val="auto"/>
        <w:rPr>
          <w:rFonts w:hint="eastAsia" w:ascii="CESI仿宋-GB2312" w:hAnsi="CESI仿宋-GB2312" w:eastAsia="CESI仿宋-GB2312" w:cs="CESI仿宋-GB2312"/>
          <w:i w:val="0"/>
          <w:caps w:val="0"/>
          <w:color w:val="auto"/>
          <w:spacing w:val="0"/>
          <w:kern w:val="0"/>
          <w:sz w:val="32"/>
          <w:szCs w:val="32"/>
          <w:highlight w:val="none"/>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540" w:lineRule="exact"/>
        <w:ind w:left="0" w:firstLine="640" w:firstLineChars="200"/>
        <w:jc w:val="both"/>
        <w:textAlignment w:val="auto"/>
        <w:rPr>
          <w:rFonts w:hint="eastAsia" w:ascii="CESI仿宋-GB2312" w:hAnsi="CESI仿宋-GB2312" w:eastAsia="CESI仿宋-GB2312" w:cs="CESI仿宋-GB2312"/>
          <w:i w:val="0"/>
          <w:caps w:val="0"/>
          <w:color w:val="auto"/>
          <w:spacing w:val="0"/>
          <w:sz w:val="32"/>
          <w:szCs w:val="32"/>
          <w:highlight w:val="none"/>
        </w:rPr>
      </w:pPr>
      <w:r>
        <w:rPr>
          <w:rFonts w:hint="eastAsia" w:ascii="CESI仿宋-GB2312" w:hAnsi="CESI仿宋-GB2312" w:eastAsia="CESI仿宋-GB2312" w:cs="CESI仿宋-GB2312"/>
          <w:i w:val="0"/>
          <w:caps w:val="0"/>
          <w:color w:val="auto"/>
          <w:spacing w:val="0"/>
          <w:kern w:val="0"/>
          <w:sz w:val="32"/>
          <w:szCs w:val="32"/>
          <w:highlight w:val="none"/>
          <w:shd w:val="clear" w:color="auto" w:fill="FFFFFF"/>
          <w:lang w:val="en-US" w:eastAsia="zh-CN" w:bidi="ar"/>
        </w:rPr>
        <w:t>招标控制价在1000万元及以下的房建工程、市政工程项目不计取信用分。</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540" w:lineRule="exact"/>
        <w:ind w:left="0"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二、施工技术打分制的综合评估法</w:t>
      </w: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line="540" w:lineRule="exact"/>
        <w:ind w:firstLine="640" w:firstLineChars="200"/>
        <w:jc w:val="both"/>
        <w:textAlignment w:val="auto"/>
        <w:rPr>
          <w:rFonts w:hint="eastAsia" w:ascii="CESI仿宋-GB2312" w:hAnsi="CESI仿宋-GB2312" w:eastAsia="CESI仿宋-GB2312" w:cs="CESI仿宋-GB2312"/>
          <w:i w:val="0"/>
          <w:caps w:val="0"/>
          <w:color w:val="auto"/>
          <w:spacing w:val="0"/>
          <w:kern w:val="0"/>
          <w:sz w:val="32"/>
          <w:szCs w:val="32"/>
          <w:highlight w:val="none"/>
          <w:shd w:val="clear" w:color="auto" w:fill="FFFFFF"/>
          <w:lang w:val="en-US" w:eastAsia="zh-CN" w:bidi="ar"/>
        </w:rPr>
      </w:pPr>
      <w:r>
        <w:rPr>
          <w:rFonts w:hint="eastAsia" w:ascii="CESI仿宋-GB2312" w:hAnsi="CESI仿宋-GB2312" w:eastAsia="CESI仿宋-GB2312" w:cs="CESI仿宋-GB2312"/>
          <w:i w:val="0"/>
          <w:caps w:val="0"/>
          <w:color w:val="auto"/>
          <w:spacing w:val="0"/>
          <w:kern w:val="0"/>
          <w:sz w:val="32"/>
          <w:szCs w:val="32"/>
          <w:highlight w:val="none"/>
          <w:shd w:val="clear" w:color="auto" w:fill="FFFFFF"/>
          <w:lang w:val="en-US" w:eastAsia="zh-CN" w:bidi="ar"/>
        </w:rPr>
        <w:t>信用评价根据投标截止之日绍兴市建筑信用监管平台上施工总承包企业按规定对应的信用等级进行计取并排序，无信用等级的不计分。信用分按信用等级计算。</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1"/>
        <w:gridCol w:w="1074"/>
        <w:gridCol w:w="1074"/>
        <w:gridCol w:w="1074"/>
        <w:gridCol w:w="1074"/>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151" w:type="dxa"/>
            <w:noWrap w:val="0"/>
            <w:vAlign w:val="center"/>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pPr>
            <w:r>
              <w:rPr>
                <w:rFonts w:hint="eastAsia"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t>信用等级</w:t>
            </w:r>
          </w:p>
        </w:tc>
        <w:tc>
          <w:tcPr>
            <w:tcW w:w="1074" w:type="dxa"/>
            <w:noWrap w:val="0"/>
            <w:vAlign w:val="center"/>
          </w:tcPr>
          <w:p>
            <w:pPr>
              <w:pStyle w:val="2"/>
              <w:jc w:val="center"/>
              <w:rPr>
                <w:rFonts w:hint="default"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pPr>
            <w:r>
              <w:rPr>
                <w:rFonts w:hint="eastAsia"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t>A</w:t>
            </w:r>
          </w:p>
        </w:tc>
        <w:tc>
          <w:tcPr>
            <w:tcW w:w="1074" w:type="dxa"/>
            <w:noWrap w:val="0"/>
            <w:vAlign w:val="center"/>
          </w:tcPr>
          <w:p>
            <w:pPr>
              <w:pStyle w:val="2"/>
              <w:jc w:val="center"/>
              <w:rPr>
                <w:rFonts w:hint="default"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pPr>
            <w:r>
              <w:rPr>
                <w:rFonts w:hint="eastAsia"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t>B</w:t>
            </w:r>
          </w:p>
        </w:tc>
        <w:tc>
          <w:tcPr>
            <w:tcW w:w="1074" w:type="dxa"/>
            <w:noWrap w:val="0"/>
            <w:vAlign w:val="center"/>
          </w:tcPr>
          <w:p>
            <w:pPr>
              <w:pStyle w:val="2"/>
              <w:jc w:val="center"/>
              <w:rPr>
                <w:rFonts w:hint="default"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pPr>
            <w:r>
              <w:rPr>
                <w:rFonts w:hint="eastAsia"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t>C</w:t>
            </w:r>
          </w:p>
        </w:tc>
        <w:tc>
          <w:tcPr>
            <w:tcW w:w="1074" w:type="dxa"/>
            <w:noWrap w:val="0"/>
            <w:vAlign w:val="center"/>
          </w:tcPr>
          <w:p>
            <w:pPr>
              <w:pStyle w:val="2"/>
              <w:jc w:val="center"/>
              <w:rPr>
                <w:rFonts w:hint="default"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pPr>
            <w:r>
              <w:rPr>
                <w:rFonts w:hint="eastAsia"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t>D</w:t>
            </w:r>
          </w:p>
        </w:tc>
        <w:tc>
          <w:tcPr>
            <w:tcW w:w="1075" w:type="dxa"/>
            <w:noWrap w:val="0"/>
            <w:vAlign w:val="center"/>
          </w:tcPr>
          <w:p>
            <w:pPr>
              <w:pStyle w:val="2"/>
              <w:jc w:val="center"/>
              <w:rPr>
                <w:rFonts w:hint="default"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pPr>
            <w:r>
              <w:rPr>
                <w:rFonts w:hint="eastAsia"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151" w:type="dxa"/>
            <w:noWrap w:val="0"/>
            <w:vAlign w:val="center"/>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pPr>
            <w:r>
              <w:rPr>
                <w:rFonts w:hint="eastAsia"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t>信用得分</w:t>
            </w:r>
          </w:p>
        </w:tc>
        <w:tc>
          <w:tcPr>
            <w:tcW w:w="1074" w:type="dxa"/>
            <w:noWrap w:val="0"/>
            <w:vAlign w:val="center"/>
          </w:tcPr>
          <w:p>
            <w:pPr>
              <w:pStyle w:val="2"/>
              <w:jc w:val="center"/>
              <w:rPr>
                <w:rFonts w:hint="default"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pPr>
            <w:r>
              <w:rPr>
                <w:rFonts w:hint="eastAsia"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t>5</w:t>
            </w:r>
          </w:p>
        </w:tc>
        <w:tc>
          <w:tcPr>
            <w:tcW w:w="1074" w:type="dxa"/>
            <w:noWrap w:val="0"/>
            <w:vAlign w:val="center"/>
          </w:tcPr>
          <w:p>
            <w:pPr>
              <w:pStyle w:val="2"/>
              <w:jc w:val="center"/>
              <w:rPr>
                <w:rFonts w:hint="default"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pPr>
            <w:r>
              <w:rPr>
                <w:rFonts w:hint="eastAsia"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t>4</w:t>
            </w:r>
          </w:p>
        </w:tc>
        <w:tc>
          <w:tcPr>
            <w:tcW w:w="1074" w:type="dxa"/>
            <w:noWrap w:val="0"/>
            <w:vAlign w:val="center"/>
          </w:tcPr>
          <w:p>
            <w:pPr>
              <w:pStyle w:val="2"/>
              <w:jc w:val="center"/>
              <w:rPr>
                <w:rFonts w:hint="default"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pPr>
            <w:r>
              <w:rPr>
                <w:rFonts w:hint="eastAsia"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t>2.75</w:t>
            </w:r>
          </w:p>
        </w:tc>
        <w:tc>
          <w:tcPr>
            <w:tcW w:w="1074" w:type="dxa"/>
            <w:noWrap w:val="0"/>
            <w:vAlign w:val="center"/>
          </w:tcPr>
          <w:p>
            <w:pPr>
              <w:pStyle w:val="2"/>
              <w:jc w:val="center"/>
              <w:rPr>
                <w:rFonts w:hint="default"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pPr>
            <w:r>
              <w:rPr>
                <w:rFonts w:hint="eastAsia"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t>1</w:t>
            </w:r>
          </w:p>
        </w:tc>
        <w:tc>
          <w:tcPr>
            <w:tcW w:w="1075" w:type="dxa"/>
            <w:noWrap w:val="0"/>
            <w:vAlign w:val="center"/>
          </w:tcPr>
          <w:p>
            <w:pPr>
              <w:pStyle w:val="2"/>
              <w:jc w:val="center"/>
              <w:rPr>
                <w:rFonts w:hint="default"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pPr>
            <w:r>
              <w:rPr>
                <w:rFonts w:hint="eastAsia"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t>0</w:t>
            </w:r>
          </w:p>
        </w:tc>
      </w:tr>
    </w:tbl>
    <w:p>
      <w:pPr>
        <w:pStyle w:val="2"/>
        <w:numPr>
          <w:ilvl w:val="0"/>
          <w:numId w:val="0"/>
        </w:numPr>
        <w:ind w:leftChars="200"/>
        <w:rPr>
          <w:rFonts w:hint="eastAsia"/>
          <w:color w:val="auto"/>
          <w:highlight w:val="none"/>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三、工程总承包综合评估法</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540" w:lineRule="exact"/>
        <w:ind w:left="0" w:firstLine="640" w:firstLineChars="200"/>
        <w:jc w:val="both"/>
        <w:textAlignment w:val="auto"/>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（一）施工总承包企业的信用评价根据投标截止之日绍兴建筑信用监管平台上施工总承包企业按规定对应的信用等级进行计取并排序，无信用等级的不计分。</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（二）设计、施工企业（包括同一单位）按信用等级分别设置信用评价分（设计1分，施工4分）。</w:t>
      </w:r>
    </w:p>
    <w:p>
      <w:pPr>
        <w:pStyle w:val="2"/>
        <w:ind w:firstLine="640" w:firstLineChars="200"/>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1、施工总承包企业信用得分</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1"/>
        <w:gridCol w:w="1074"/>
        <w:gridCol w:w="1074"/>
        <w:gridCol w:w="1074"/>
        <w:gridCol w:w="1074"/>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151" w:type="dxa"/>
            <w:noWrap w:val="0"/>
            <w:vAlign w:val="center"/>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pPr>
            <w:r>
              <w:rPr>
                <w:rFonts w:hint="eastAsia"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t>信用等级</w:t>
            </w:r>
          </w:p>
        </w:tc>
        <w:tc>
          <w:tcPr>
            <w:tcW w:w="1074" w:type="dxa"/>
            <w:noWrap w:val="0"/>
            <w:vAlign w:val="center"/>
          </w:tcPr>
          <w:p>
            <w:pPr>
              <w:pStyle w:val="2"/>
              <w:jc w:val="center"/>
              <w:rPr>
                <w:rFonts w:hint="default"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pPr>
            <w:r>
              <w:rPr>
                <w:rFonts w:hint="eastAsia"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t>A</w:t>
            </w:r>
          </w:p>
        </w:tc>
        <w:tc>
          <w:tcPr>
            <w:tcW w:w="1074" w:type="dxa"/>
            <w:noWrap w:val="0"/>
            <w:vAlign w:val="center"/>
          </w:tcPr>
          <w:p>
            <w:pPr>
              <w:pStyle w:val="2"/>
              <w:jc w:val="center"/>
              <w:rPr>
                <w:rFonts w:hint="default"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pPr>
            <w:r>
              <w:rPr>
                <w:rFonts w:hint="eastAsia"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t>B</w:t>
            </w:r>
          </w:p>
        </w:tc>
        <w:tc>
          <w:tcPr>
            <w:tcW w:w="1074" w:type="dxa"/>
            <w:noWrap w:val="0"/>
            <w:vAlign w:val="center"/>
          </w:tcPr>
          <w:p>
            <w:pPr>
              <w:pStyle w:val="2"/>
              <w:jc w:val="center"/>
              <w:rPr>
                <w:rFonts w:hint="default"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pPr>
            <w:r>
              <w:rPr>
                <w:rFonts w:hint="eastAsia"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t>C</w:t>
            </w:r>
          </w:p>
        </w:tc>
        <w:tc>
          <w:tcPr>
            <w:tcW w:w="1074" w:type="dxa"/>
            <w:noWrap w:val="0"/>
            <w:vAlign w:val="center"/>
          </w:tcPr>
          <w:p>
            <w:pPr>
              <w:pStyle w:val="2"/>
              <w:jc w:val="center"/>
              <w:rPr>
                <w:rFonts w:hint="default"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pPr>
            <w:r>
              <w:rPr>
                <w:rFonts w:hint="eastAsia"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t>D</w:t>
            </w:r>
          </w:p>
        </w:tc>
        <w:tc>
          <w:tcPr>
            <w:tcW w:w="1075" w:type="dxa"/>
            <w:noWrap w:val="0"/>
            <w:vAlign w:val="center"/>
          </w:tcPr>
          <w:p>
            <w:pPr>
              <w:pStyle w:val="2"/>
              <w:jc w:val="center"/>
              <w:rPr>
                <w:rFonts w:hint="default"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pPr>
            <w:r>
              <w:rPr>
                <w:rFonts w:hint="eastAsia"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151" w:type="dxa"/>
            <w:noWrap w:val="0"/>
            <w:vAlign w:val="center"/>
          </w:tcPr>
          <w:p>
            <w:pPr>
              <w:pStyle w:val="2"/>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pPr>
            <w:r>
              <w:rPr>
                <w:rFonts w:hint="eastAsia"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t>信用得分</w:t>
            </w:r>
          </w:p>
        </w:tc>
        <w:tc>
          <w:tcPr>
            <w:tcW w:w="1074" w:type="dxa"/>
            <w:noWrap w:val="0"/>
            <w:vAlign w:val="center"/>
          </w:tcPr>
          <w:p>
            <w:pPr>
              <w:pStyle w:val="2"/>
              <w:jc w:val="center"/>
              <w:rPr>
                <w:rFonts w:hint="default"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pPr>
            <w:r>
              <w:rPr>
                <w:rFonts w:hint="eastAsia"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t>4</w:t>
            </w:r>
          </w:p>
        </w:tc>
        <w:tc>
          <w:tcPr>
            <w:tcW w:w="1074" w:type="dxa"/>
            <w:noWrap w:val="0"/>
            <w:vAlign w:val="center"/>
          </w:tcPr>
          <w:p>
            <w:pPr>
              <w:pStyle w:val="2"/>
              <w:jc w:val="center"/>
              <w:rPr>
                <w:rFonts w:hint="default"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pPr>
            <w:r>
              <w:rPr>
                <w:rFonts w:hint="eastAsia"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t>3</w:t>
            </w:r>
          </w:p>
        </w:tc>
        <w:tc>
          <w:tcPr>
            <w:tcW w:w="1074" w:type="dxa"/>
            <w:noWrap w:val="0"/>
            <w:vAlign w:val="center"/>
          </w:tcPr>
          <w:p>
            <w:pPr>
              <w:pStyle w:val="2"/>
              <w:jc w:val="center"/>
              <w:rPr>
                <w:rFonts w:hint="default"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pPr>
            <w:r>
              <w:rPr>
                <w:rFonts w:hint="eastAsia"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t>1.75</w:t>
            </w:r>
          </w:p>
        </w:tc>
        <w:tc>
          <w:tcPr>
            <w:tcW w:w="1074" w:type="dxa"/>
            <w:noWrap w:val="0"/>
            <w:vAlign w:val="center"/>
          </w:tcPr>
          <w:p>
            <w:pPr>
              <w:pStyle w:val="2"/>
              <w:jc w:val="center"/>
              <w:rPr>
                <w:rFonts w:hint="default"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pPr>
            <w:r>
              <w:rPr>
                <w:rFonts w:hint="eastAsia"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t>0.25</w:t>
            </w:r>
          </w:p>
        </w:tc>
        <w:tc>
          <w:tcPr>
            <w:tcW w:w="1075" w:type="dxa"/>
            <w:noWrap w:val="0"/>
            <w:vAlign w:val="center"/>
          </w:tcPr>
          <w:p>
            <w:pPr>
              <w:pStyle w:val="2"/>
              <w:jc w:val="center"/>
              <w:rPr>
                <w:rFonts w:hint="default"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pPr>
            <w:r>
              <w:rPr>
                <w:rFonts w:hint="eastAsia" w:ascii="CESI仿宋-GB2312" w:hAnsi="CESI仿宋-GB2312" w:eastAsia="CESI仿宋-GB2312" w:cs="CESI仿宋-GB2312"/>
                <w:i w:val="0"/>
                <w:caps w:val="0"/>
                <w:color w:val="auto"/>
                <w:spacing w:val="0"/>
                <w:kern w:val="0"/>
                <w:sz w:val="28"/>
                <w:szCs w:val="28"/>
                <w:highlight w:val="none"/>
                <w:shd w:val="clear" w:color="auto" w:fill="FFFFFF"/>
                <w:vertAlign w:val="baseline"/>
                <w:lang w:val="en-US" w:eastAsia="zh-CN" w:bidi="ar"/>
              </w:rPr>
              <w:t>0</w:t>
            </w:r>
          </w:p>
        </w:tc>
      </w:tr>
    </w:tbl>
    <w:p>
      <w:pPr>
        <w:keepNext w:val="0"/>
        <w:keepLines w:val="0"/>
        <w:pageBreakBefore w:val="0"/>
        <w:widowControl/>
        <w:suppressLineNumbers w:val="0"/>
        <w:shd w:val="clear" w:color="auto" w:fill="FFFFFF"/>
        <w:kinsoku/>
        <w:wordWrap/>
        <w:overflowPunct/>
        <w:topLinePunct w:val="0"/>
        <w:autoSpaceDE/>
        <w:autoSpaceDN/>
        <w:bidi w:val="0"/>
        <w:adjustRightInd/>
        <w:snapToGrid/>
        <w:spacing w:line="540" w:lineRule="exact"/>
        <w:ind w:left="0" w:firstLine="640" w:firstLineChars="200"/>
        <w:jc w:val="both"/>
        <w:textAlignment w:val="auto"/>
        <w:rPr>
          <w:rFonts w:hint="eastAsia" w:ascii="CESI仿宋-GB2312" w:hAnsi="CESI仿宋-GB2312" w:eastAsia="CESI仿宋-GB2312" w:cs="CESI仿宋-GB2312"/>
          <w:b w:val="0"/>
          <w:bCs w:val="0"/>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2、设计企业信用分在绍兴设计企业信用评价等级未施行前，统一按1分计算。</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540" w:lineRule="exact"/>
        <w:ind w:left="0" w:firstLine="640" w:firstLineChars="200"/>
        <w:jc w:val="both"/>
        <w:textAlignment w:val="auto"/>
        <w:rPr>
          <w:rFonts w:hint="default"/>
          <w:color w:val="auto"/>
          <w:highlight w:val="none"/>
          <w:lang w:val="en-US" w:eastAsia="zh-CN"/>
        </w:rPr>
      </w:pPr>
      <w:r>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四、关于联合体投标信用得分的确定。</w:t>
      </w:r>
      <w:r>
        <w:rPr>
          <w:rFonts w:hint="eastAsia" w:ascii="CESI仿宋-GB2312" w:hAnsi="CESI仿宋-GB2312" w:eastAsia="CESI仿宋-GB2312" w:cs="CESI仿宋-GB2312"/>
          <w:b w:val="0"/>
          <w:bCs w:val="0"/>
          <w:i w:val="0"/>
          <w:caps w:val="0"/>
          <w:color w:val="auto"/>
          <w:spacing w:val="0"/>
          <w:kern w:val="0"/>
          <w:sz w:val="32"/>
          <w:szCs w:val="32"/>
          <w:highlight w:val="none"/>
          <w:shd w:val="clear" w:color="auto" w:fill="FFFFFF"/>
          <w:lang w:val="en-US" w:eastAsia="zh-CN" w:bidi="ar"/>
        </w:rPr>
        <w:t>施工总承包项目，以联合体牵头人的信用等级计取信用得分。工程总承包项目，当设计企业作为联合体牵头人，且有二个或二个以上施工企业组成联合体时，施工总承包企业信用得分以各自信用等级对应的信用得分的算术平均分计取；当施工总承包企业作为联合体牵头人时，以该牵头人的信用等级计取施工总承包企业信用得分。</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540" w:lineRule="exact"/>
        <w:ind w:left="0" w:firstLine="640" w:firstLineChars="200"/>
        <w:jc w:val="both"/>
        <w:textAlignment w:val="auto"/>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五、评价周期内新注册的施工企业需要先在浙江省建筑市场监管公共服务平台完成赋分，并在绍兴智慧建设平台完</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善企业相关信息，该周期企业信用等级根据省浙江建筑市场监管公共服务平台采集的赋分分数，按照我市信用管理办法的等级标准确定。</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540" w:lineRule="exact"/>
        <w:ind w:left="0"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pPr>
      <w:r>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bidi="ar"/>
        </w:rPr>
        <w:t>六、除房建、市政总承包企业以外的其他施工企业，评标时暂不应用信用评价结果。</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line="540" w:lineRule="exact"/>
        <w:ind w:left="0" w:firstLine="0"/>
        <w:jc w:val="left"/>
        <w:textAlignment w:val="auto"/>
        <w:rPr>
          <w:rFonts w:hint="eastAsia" w:ascii="黑体" w:hAnsi="黑体" w:eastAsia="黑体" w:cs="黑体"/>
          <w:i w:val="0"/>
          <w:caps w:val="0"/>
          <w:color w:val="auto"/>
          <w:spacing w:val="0"/>
          <w:kern w:val="0"/>
          <w:sz w:val="32"/>
          <w:szCs w:val="32"/>
          <w:highlight w:val="none"/>
          <w:shd w:val="clear" w:color="auto" w:fill="FFFFFF"/>
          <w:lang w:val="en-US" w:eastAsia="zh-CN" w:bidi="ar"/>
        </w:rPr>
      </w:pPr>
    </w:p>
    <w:p>
      <w:pPr>
        <w:keepNext w:val="0"/>
        <w:keepLines w:val="0"/>
        <w:pageBreakBefore w:val="0"/>
        <w:widowControl/>
        <w:shd w:val="clear" w:color="auto" w:fill="FFFFFF"/>
        <w:kinsoku/>
        <w:wordWrap/>
        <w:overflowPunct/>
        <w:topLinePunct w:val="0"/>
        <w:autoSpaceDE/>
        <w:bidi w:val="0"/>
        <w:snapToGrid/>
        <w:spacing w:beforeLines="0" w:afterLines="0" w:line="579" w:lineRule="exact"/>
        <w:jc w:val="both"/>
        <w:textAlignment w:val="auto"/>
        <w:rPr>
          <w:rFonts w:hint="eastAsia" w:ascii="黑体" w:hAnsi="黑体" w:eastAsia="黑体" w:cs="黑体"/>
          <w:b w:val="0"/>
          <w:bCs w:val="0"/>
          <w:snapToGrid/>
          <w:color w:val="auto"/>
          <w:spacing w:val="0"/>
          <w:kern w:val="2"/>
          <w:sz w:val="32"/>
          <w:szCs w:val="20"/>
          <w:highlight w:val="none"/>
          <w:lang w:val="en-US" w:eastAsia="zh-CN"/>
        </w:rPr>
      </w:pPr>
    </w:p>
    <w:p>
      <w:pPr>
        <w:keepNext w:val="0"/>
        <w:keepLines w:val="0"/>
        <w:pageBreakBefore w:val="0"/>
        <w:widowControl/>
        <w:shd w:val="clear" w:color="auto" w:fill="FFFFFF"/>
        <w:kinsoku/>
        <w:wordWrap/>
        <w:overflowPunct/>
        <w:topLinePunct w:val="0"/>
        <w:autoSpaceDE/>
        <w:bidi w:val="0"/>
        <w:snapToGrid/>
        <w:spacing w:beforeLines="0" w:afterLines="0" w:line="579" w:lineRule="exact"/>
        <w:jc w:val="both"/>
        <w:textAlignment w:val="auto"/>
        <w:rPr>
          <w:rFonts w:hint="eastAsia" w:ascii="黑体" w:hAnsi="黑体" w:eastAsia="黑体" w:cs="黑体"/>
          <w:b w:val="0"/>
          <w:bCs w:val="0"/>
          <w:snapToGrid/>
          <w:color w:val="auto"/>
          <w:spacing w:val="0"/>
          <w:kern w:val="2"/>
          <w:sz w:val="32"/>
          <w:szCs w:val="20"/>
          <w:highlight w:val="none"/>
          <w:lang w:val="en-US" w:eastAsia="zh-CN"/>
        </w:rPr>
      </w:pPr>
    </w:p>
    <w:p>
      <w:pPr>
        <w:keepNext w:val="0"/>
        <w:keepLines w:val="0"/>
        <w:pageBreakBefore w:val="0"/>
        <w:widowControl/>
        <w:shd w:val="clear" w:color="auto" w:fill="FFFFFF"/>
        <w:kinsoku/>
        <w:wordWrap/>
        <w:overflowPunct/>
        <w:topLinePunct w:val="0"/>
        <w:autoSpaceDE/>
        <w:bidi w:val="0"/>
        <w:snapToGrid/>
        <w:spacing w:beforeLines="0" w:afterLines="0" w:line="579" w:lineRule="exact"/>
        <w:jc w:val="both"/>
        <w:textAlignment w:val="auto"/>
        <w:rPr>
          <w:rFonts w:hint="eastAsia" w:ascii="黑体" w:hAnsi="黑体" w:eastAsia="黑体" w:cs="黑体"/>
          <w:b w:val="0"/>
          <w:bCs w:val="0"/>
          <w:snapToGrid/>
          <w:color w:val="auto"/>
          <w:spacing w:val="0"/>
          <w:kern w:val="2"/>
          <w:sz w:val="32"/>
          <w:szCs w:val="20"/>
          <w:highlight w:val="none"/>
          <w:lang w:val="en-US" w:eastAsia="zh-CN"/>
        </w:rPr>
      </w:pPr>
    </w:p>
    <w:p>
      <w:pPr>
        <w:keepNext w:val="0"/>
        <w:keepLines w:val="0"/>
        <w:pageBreakBefore w:val="0"/>
        <w:widowControl/>
        <w:shd w:val="clear" w:color="auto" w:fill="FFFFFF"/>
        <w:kinsoku/>
        <w:wordWrap/>
        <w:overflowPunct/>
        <w:topLinePunct w:val="0"/>
        <w:autoSpaceDE/>
        <w:bidi w:val="0"/>
        <w:snapToGrid/>
        <w:spacing w:beforeLines="0" w:afterLines="0" w:line="579" w:lineRule="exact"/>
        <w:jc w:val="both"/>
        <w:textAlignment w:val="auto"/>
        <w:rPr>
          <w:rFonts w:hint="eastAsia" w:ascii="黑体" w:hAnsi="黑体" w:eastAsia="黑体" w:cs="黑体"/>
          <w:b w:val="0"/>
          <w:bCs w:val="0"/>
          <w:snapToGrid/>
          <w:color w:val="auto"/>
          <w:spacing w:val="0"/>
          <w:kern w:val="2"/>
          <w:sz w:val="32"/>
          <w:szCs w:val="20"/>
          <w:highlight w:val="none"/>
          <w:lang w:val="en-US" w:eastAsia="zh-CN"/>
        </w:rPr>
      </w:pPr>
    </w:p>
    <w:p>
      <w:pPr>
        <w:keepNext w:val="0"/>
        <w:keepLines w:val="0"/>
        <w:pageBreakBefore w:val="0"/>
        <w:widowControl/>
        <w:shd w:val="clear" w:color="auto" w:fill="FFFFFF"/>
        <w:kinsoku/>
        <w:wordWrap/>
        <w:overflowPunct/>
        <w:topLinePunct w:val="0"/>
        <w:autoSpaceDE/>
        <w:bidi w:val="0"/>
        <w:snapToGrid/>
        <w:spacing w:beforeLines="0" w:afterLines="0" w:line="579" w:lineRule="exact"/>
        <w:jc w:val="both"/>
        <w:textAlignment w:val="auto"/>
        <w:rPr>
          <w:rFonts w:hint="eastAsia" w:ascii="黑体" w:hAnsi="黑体" w:eastAsia="黑体" w:cs="黑体"/>
          <w:b w:val="0"/>
          <w:bCs w:val="0"/>
          <w:snapToGrid/>
          <w:color w:val="auto"/>
          <w:spacing w:val="0"/>
          <w:kern w:val="2"/>
          <w:sz w:val="32"/>
          <w:szCs w:val="20"/>
          <w:highlight w:val="none"/>
          <w:lang w:val="en-US" w:eastAsia="zh-CN"/>
        </w:rPr>
      </w:pPr>
    </w:p>
    <w:p/>
    <w:sectPr>
      <w:headerReference r:id="rId3" w:type="default"/>
      <w:footerReference r:id="rId4" w:type="default"/>
      <w:pgSz w:w="11906" w:h="16838"/>
      <w:pgMar w:top="1701"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F201BC"/>
    <w:rsid w:val="526E0BA5"/>
    <w:rsid w:val="798A6F69"/>
    <w:rsid w:val="7B162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pPr>
      <w:widowControl/>
      <w:autoSpaceDE/>
      <w:autoSpaceDN/>
      <w:adjustRightInd/>
      <w:spacing w:after="100" w:line="259" w:lineRule="auto"/>
    </w:pPr>
    <w:rPr>
      <w:rFonts w:ascii="等线" w:hAnsi="等线" w:eastAsia="等线"/>
      <w:sz w:val="22"/>
      <w:szCs w:val="22"/>
    </w:rPr>
  </w:style>
  <w:style w:type="paragraph" w:styleId="3">
    <w:name w:val="Body Text"/>
    <w:basedOn w:val="1"/>
    <w:next w:val="4"/>
    <w:qFormat/>
    <w:uiPriority w:val="0"/>
    <w:pPr>
      <w:ind w:left="520"/>
    </w:pPr>
    <w:rPr>
      <w:rFonts w:ascii="Times New Roman" w:hAnsi="Times New Roman"/>
    </w:rPr>
  </w:style>
  <w:style w:type="paragraph" w:styleId="4">
    <w:name w:val="Body Text First Indent"/>
    <w:basedOn w:val="3"/>
    <w:next w:val="5"/>
    <w:qFormat/>
    <w:uiPriority w:val="0"/>
    <w:pPr>
      <w:tabs>
        <w:tab w:val="left" w:pos="9360"/>
      </w:tabs>
      <w:adjustRightInd/>
      <w:ind w:firstLine="420" w:firstLineChars="100"/>
    </w:pPr>
    <w:rPr>
      <w:sz w:val="21"/>
    </w:rPr>
  </w:style>
  <w:style w:type="paragraph" w:styleId="5">
    <w:name w:val="toc 6"/>
    <w:basedOn w:val="1"/>
    <w:next w:val="1"/>
    <w:qFormat/>
    <w:uiPriority w:val="0"/>
    <w:pPr>
      <w:autoSpaceDE/>
      <w:autoSpaceDN/>
      <w:adjustRightInd/>
      <w:ind w:left="2100" w:leftChars="1000"/>
      <w:jc w:val="both"/>
    </w:pPr>
    <w:rPr>
      <w:kern w:val="2"/>
      <w:sz w:val="21"/>
      <w:szCs w:val="2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font01"/>
    <w:basedOn w:val="10"/>
    <w:qFormat/>
    <w:uiPriority w:val="0"/>
    <w:rPr>
      <w:rFonts w:hint="eastAsia" w:ascii="宋体" w:hAnsi="宋体" w:eastAsia="宋体" w:cs="宋体"/>
      <w:color w:val="000000"/>
      <w:sz w:val="22"/>
      <w:szCs w:val="22"/>
      <w:u w:val="none"/>
    </w:rPr>
  </w:style>
  <w:style w:type="character" w:customStyle="1" w:styleId="12">
    <w:name w:val="font21"/>
    <w:basedOn w:val="10"/>
    <w:qFormat/>
    <w:uiPriority w:val="0"/>
    <w:rPr>
      <w:rFonts w:hint="eastAsia" w:ascii="宋体" w:hAnsi="宋体" w:eastAsia="宋体" w:cs="宋体"/>
      <w:color w:val="FF0000"/>
      <w:sz w:val="22"/>
      <w:szCs w:val="22"/>
      <w:u w:val="none"/>
    </w:rPr>
  </w:style>
  <w:style w:type="character" w:customStyle="1" w:styleId="13">
    <w:name w:val="font11"/>
    <w:basedOn w:val="10"/>
    <w:qFormat/>
    <w:uiPriority w:val="0"/>
    <w:rPr>
      <w:rFonts w:hint="eastAsia" w:ascii="宋体" w:hAnsi="宋体" w:eastAsia="宋体" w:cs="宋体"/>
      <w:color w:val="000000"/>
      <w:sz w:val="22"/>
      <w:szCs w:val="22"/>
      <w:u w:val="none"/>
    </w:rPr>
  </w:style>
  <w:style w:type="paragraph" w:customStyle="1" w:styleId="14">
    <w:name w:val="[Normal]"/>
    <w:qFormat/>
    <w:uiPriority w:val="0"/>
    <w:rPr>
      <w:rFonts w:ascii="宋体" w:hAnsi="宋体" w:eastAsia="宋体" w:cs="Times New Roman"/>
      <w:sz w:val="24"/>
      <w:szCs w:val="22"/>
      <w:lang w:val="zh-CN"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2022-06-21T08:59:00Z</dcterms:created>
  <dc:creator>Administrator</dc:creator>
  <cp:lastModifiedBy>政务服务办公室公文收发</cp:lastModifiedBy>
  <dcterms:modified xsi:type="dcterms:W3CDTF">2022-06-22T07:46:37Z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