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eastAsia="方正小标宋简体" w:cs="方正小标宋简体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spacing w:val="8"/>
          <w:sz w:val="44"/>
          <w:szCs w:val="44"/>
        </w:rPr>
      </w:pPr>
      <w:r>
        <w:rPr>
          <w:rFonts w:hint="eastAsia" w:eastAsia="方正小标宋简体" w:cs="方正小标宋简体"/>
          <w:spacing w:val="8"/>
          <w:sz w:val="44"/>
          <w:szCs w:val="44"/>
        </w:rPr>
        <w:t>关于加快发展重点领域新兴产业</w:t>
      </w:r>
    </w:p>
    <w:p>
      <w:pPr>
        <w:spacing w:line="580" w:lineRule="exact"/>
        <w:jc w:val="center"/>
        <w:rPr>
          <w:rFonts w:eastAsia="方正小标宋简体"/>
          <w:spacing w:val="8"/>
          <w:sz w:val="44"/>
          <w:szCs w:val="44"/>
        </w:rPr>
      </w:pPr>
      <w:r>
        <w:rPr>
          <w:rFonts w:hint="eastAsia" w:eastAsia="方正小标宋简体" w:cs="方正小标宋简体"/>
          <w:spacing w:val="8"/>
          <w:sz w:val="44"/>
          <w:szCs w:val="44"/>
        </w:rPr>
        <w:t>的十条政策举措</w:t>
      </w:r>
    </w:p>
    <w:p>
      <w:pPr>
        <w:widowControl/>
        <w:spacing w:line="580" w:lineRule="exact"/>
        <w:jc w:val="center"/>
        <w:rPr>
          <w:rFonts w:eastAsia="楷体_GB2312"/>
        </w:rPr>
      </w:pPr>
      <w:r>
        <w:rPr>
          <w:rFonts w:hint="eastAsia" w:eastAsia="楷体_GB2312" w:cs="楷体_GB2312"/>
        </w:rPr>
        <w:t>（</w:t>
      </w:r>
      <w:r>
        <w:rPr>
          <w:rFonts w:hint="eastAsia" w:eastAsia="楷体_GB2312" w:cs="楷体_GB2312"/>
          <w:lang w:val="en-US" w:eastAsia="zh-CN"/>
        </w:rPr>
        <w:t>征求意见</w:t>
      </w:r>
      <w:bookmarkStart w:id="1" w:name="_GoBack"/>
      <w:bookmarkEnd w:id="1"/>
      <w:r>
        <w:rPr>
          <w:rFonts w:hint="eastAsia" w:eastAsia="楷体_GB2312" w:cs="楷体_GB2312"/>
        </w:rPr>
        <w:t>稿）</w:t>
      </w:r>
    </w:p>
    <w:p>
      <w:pPr>
        <w:widowControl/>
        <w:spacing w:line="580" w:lineRule="exact"/>
        <w:jc w:val="center"/>
        <w:rPr>
          <w:rFonts w:eastAsia="楷体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eastAsia="仿宋_GB2312"/>
        </w:rPr>
      </w:pPr>
      <w:bookmarkStart w:id="0" w:name="_Toc23126"/>
      <w:r>
        <w:rPr>
          <w:rFonts w:hint="eastAsia" w:eastAsia="仿宋_GB2312" w:cs="仿宋_GB2312"/>
        </w:rPr>
        <w:t>为贯彻落实《关于抢抓机遇加快重点领域新兴产业发展的指导意见》（甬党发〔</w:t>
      </w:r>
      <w:r>
        <w:rPr>
          <w:rFonts w:eastAsia="仿宋_GB2312"/>
        </w:rPr>
        <w:t>2020</w:t>
      </w:r>
      <w:r>
        <w:rPr>
          <w:rFonts w:hint="eastAsia" w:eastAsia="仿宋_GB2312" w:cs="仿宋_GB2312"/>
        </w:rPr>
        <w:t>〕</w:t>
      </w:r>
      <w:r>
        <w:rPr>
          <w:rFonts w:eastAsia="仿宋_GB2312"/>
        </w:rPr>
        <w:t>9</w:t>
      </w:r>
      <w:r>
        <w:rPr>
          <w:rFonts w:hint="eastAsia" w:eastAsia="仿宋_GB2312" w:cs="仿宋_GB2312"/>
        </w:rPr>
        <w:t>号）文件精神，按照“政府引导、聚焦重点、市场主导、引领发展”的要求，重点围绕医疗健康、工业互联网、</w:t>
      </w:r>
      <w:r>
        <w:rPr>
          <w:rFonts w:eastAsia="仿宋_GB2312"/>
        </w:rPr>
        <w:t>“5G+”</w:t>
      </w:r>
      <w:r>
        <w:rPr>
          <w:rFonts w:hint="eastAsia" w:eastAsia="仿宋_GB2312" w:cs="仿宋_GB2312"/>
        </w:rPr>
        <w:t>产业、数字经济、智能物流等领域，加强领导、强化统筹，增强合力，加快推进新兴产业发展壮大，特制定以下政策举措。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outlineLvl w:val="1"/>
        <w:rPr>
          <w:rFonts w:ascii="仿宋"/>
        </w:rPr>
      </w:pPr>
      <w:r>
        <w:rPr>
          <w:rFonts w:hint="eastAsia" w:ascii="楷体_GB2312" w:hAnsi="楷体_GB2312" w:eastAsia="楷体_GB2312" w:cs="楷体_GB2312"/>
          <w:b/>
          <w:bCs/>
        </w:rPr>
        <w:t>一、加强补链型企业招引。</w:t>
      </w:r>
      <w:r>
        <w:rPr>
          <w:rFonts w:hint="eastAsia" w:eastAsia="仿宋_GB2312" w:cs="仿宋_GB2312"/>
        </w:rPr>
        <w:t>实施企业精准招商，加快落地一批补链性项目，对总投资5亿元以上的医疗器械、生物医药、集成电路、智能设备，总投资2亿元以上的5G核心器件、应用软件、大数据和软件等项目以及地方财政年贡献达到2亿元以上贸易物流企业、贸易物流综合服务商，</w:t>
      </w:r>
      <w:r>
        <w:rPr>
          <w:rFonts w:hint="eastAsia" w:eastAsia="仿宋_GB2312" w:cs="仿宋_GB2312"/>
          <w:lang w:val="en-US" w:eastAsia="zh-CN"/>
        </w:rPr>
        <w:t>具体按照宁波市招商引资管理办法予以补助</w:t>
      </w:r>
      <w:r>
        <w:rPr>
          <w:rFonts w:hint="eastAsia" w:eastAsia="仿宋_GB2312" w:cs="仿宋_GB2312"/>
        </w:rPr>
        <w:t>。</w:t>
      </w:r>
      <w:r>
        <w:rPr>
          <w:rFonts w:hint="eastAsia" w:ascii="仿宋" w:hAnsi="仿宋" w:cs="仿宋"/>
        </w:rPr>
        <w:t>（牵头单位：市发改委</w:t>
      </w:r>
      <w:r>
        <w:rPr>
          <w:rFonts w:hint="eastAsia" w:ascii="仿宋" w:hAnsi="仿宋" w:cs="仿宋"/>
          <w:lang w:eastAsia="zh-CN"/>
        </w:rPr>
        <w:t>、</w:t>
      </w:r>
      <w:r>
        <w:rPr>
          <w:rFonts w:hint="eastAsia" w:ascii="仿宋" w:hAnsi="仿宋" w:cs="仿宋"/>
          <w:lang w:val="en-US" w:eastAsia="zh-CN"/>
        </w:rPr>
        <w:t>市经信局、市服务业局</w:t>
      </w:r>
      <w:r>
        <w:rPr>
          <w:rFonts w:hint="eastAsia" w:ascii="仿宋" w:hAnsi="仿宋" w:cs="仿宋"/>
        </w:rPr>
        <w:t>，配合单位：市投促局、市财政局）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outlineLvl w:val="1"/>
        <w:rPr>
          <w:rFonts w:hint="eastAsia" w:eastAsia="仿宋_GB2312" w:cs="仿宋_GB2312"/>
        </w:rPr>
      </w:pPr>
      <w:r>
        <w:rPr>
          <w:rFonts w:hint="eastAsia" w:ascii="楷体_GB2312" w:hAnsi="楷体_GB2312" w:eastAsia="楷体_GB2312" w:cs="楷体_GB2312"/>
          <w:b/>
          <w:bCs/>
        </w:rPr>
        <w:t>二、鼓励企业延伸产业链。</w:t>
      </w:r>
      <w:r>
        <w:rPr>
          <w:rFonts w:hint="eastAsia" w:eastAsia="仿宋_GB2312" w:cs="仿宋_GB2312"/>
        </w:rPr>
        <w:t>促使企业增资扩产，实现产业链条延伸。对企业增资扩产</w:t>
      </w:r>
      <w:r>
        <w:rPr>
          <w:rFonts w:hint="eastAsia" w:eastAsia="仿宋_GB2312" w:cs="仿宋_GB2312"/>
          <w:lang w:val="en-US" w:eastAsia="zh-CN"/>
        </w:rPr>
        <w:t>投资1000万元以上的</w:t>
      </w:r>
      <w:r>
        <w:rPr>
          <w:rFonts w:hint="eastAsia" w:eastAsia="仿宋_GB2312" w:cs="仿宋_GB2312"/>
        </w:rPr>
        <w:t>项目再给予融资支持，按照项目投资（包括设备、技术、软件投入）实际贷款额度，在现有政策的基础上再给予贷款利息50%，最高200万元的贴息补助，资助年限为两年。（牵头单位：市经信局，配合单位：市发改委、市科技局、</w:t>
      </w:r>
      <w:r>
        <w:rPr>
          <w:rFonts w:hint="eastAsia" w:eastAsia="仿宋_GB2312" w:cs="仿宋_GB2312"/>
          <w:lang w:val="en-US" w:eastAsia="zh-CN"/>
        </w:rPr>
        <w:t>市服务业局、</w:t>
      </w:r>
      <w:r>
        <w:rPr>
          <w:rFonts w:hint="eastAsia" w:eastAsia="仿宋_GB2312" w:cs="仿宋_GB2312"/>
        </w:rPr>
        <w:t>市财政局）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outlineLvl w:val="1"/>
        <w:rPr>
          <w:rFonts w:eastAsia="仿宋_GB2312"/>
        </w:rPr>
      </w:pPr>
      <w:r>
        <w:rPr>
          <w:rFonts w:hint="eastAsia" w:ascii="楷体_GB2312" w:hAnsi="楷体_GB2312" w:eastAsia="楷体_GB2312" w:cs="楷体_GB2312"/>
          <w:b/>
          <w:bCs/>
        </w:rPr>
        <w:t>三、增强企业产业链韧性。</w:t>
      </w:r>
      <w:r>
        <w:rPr>
          <w:rFonts w:hint="eastAsia" w:eastAsia="仿宋_GB2312" w:cs="仿宋_GB2312"/>
        </w:rPr>
        <w:t>鼓励企业以市场为导向，开展新产品、新技术、新业态、新模式应用示范推广，增强企业链条韧性，对列入市级示范目录的企业，根据示范应用推广金额的</w:t>
      </w:r>
      <w:r>
        <w:rPr>
          <w:rFonts w:hint="eastAsia" w:eastAsia="仿宋_GB2312" w:cs="仿宋_GB2312"/>
          <w:lang w:val="en-US" w:eastAsia="zh-CN"/>
        </w:rPr>
        <w:t>3</w:t>
      </w:r>
      <w:r>
        <w:rPr>
          <w:rFonts w:hint="eastAsia" w:eastAsia="仿宋_GB2312" w:cs="仿宋_GB2312"/>
        </w:rPr>
        <w:t>0%予以补助，最高1000万元。（牵头单位：市发改委，配合单位：市科技局、市经信局、</w:t>
      </w:r>
      <w:r>
        <w:rPr>
          <w:rFonts w:hint="eastAsia" w:eastAsia="仿宋_GB2312" w:cs="仿宋_GB2312"/>
          <w:lang w:val="en-US" w:eastAsia="zh-CN"/>
        </w:rPr>
        <w:t>市服务业局、</w:t>
      </w:r>
      <w:r>
        <w:rPr>
          <w:rFonts w:hint="eastAsia" w:eastAsia="仿宋_GB2312" w:cs="仿宋_GB2312"/>
        </w:rPr>
        <w:t>市财政局）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outlineLvl w:val="1"/>
        <w:rPr>
          <w:rFonts w:eastAsia="仿宋_GB2312"/>
        </w:rPr>
      </w:pPr>
      <w:r>
        <w:rPr>
          <w:rFonts w:hint="eastAsia" w:ascii="楷体_GB2312" w:hAnsi="楷体_GB2312" w:eastAsia="楷体_GB2312" w:cs="楷体_GB2312"/>
          <w:b/>
          <w:bCs/>
        </w:rPr>
        <w:t>四、做大做强初创型企业。</w:t>
      </w:r>
      <w:r>
        <w:rPr>
          <w:rFonts w:hint="eastAsia" w:eastAsia="仿宋_GB2312" w:cs="仿宋_GB2312"/>
        </w:rPr>
        <w:t>开展新兴产业领域初创型企业认定。</w:t>
      </w:r>
      <w:r>
        <w:rPr>
          <w:rFonts w:hint="eastAsia" w:eastAsia="仿宋_GB2312" w:cs="仿宋_GB2312"/>
          <w:lang w:val="en-US" w:eastAsia="zh-CN"/>
        </w:rPr>
        <w:t>市财政设立最高不超过1亿元的初创型企业贷款风险池，引导金融机构为</w:t>
      </w:r>
      <w:r>
        <w:rPr>
          <w:rFonts w:hint="eastAsia" w:eastAsia="仿宋_GB2312" w:cs="仿宋_GB2312"/>
        </w:rPr>
        <w:t>营业收入1000万</w:t>
      </w:r>
      <w:r>
        <w:rPr>
          <w:rFonts w:hint="eastAsia" w:eastAsia="仿宋_GB2312" w:cs="仿宋_GB2312"/>
          <w:lang w:val="en-US" w:eastAsia="zh-CN"/>
        </w:rPr>
        <w:t>元</w:t>
      </w:r>
      <w:r>
        <w:rPr>
          <w:rFonts w:hint="eastAsia" w:eastAsia="仿宋_GB2312" w:cs="仿宋_GB2312"/>
        </w:rPr>
        <w:t>以下且获得注册私募基金投资的初创型苗子企业</w:t>
      </w:r>
      <w:r>
        <w:rPr>
          <w:rFonts w:hint="eastAsia" w:eastAsia="仿宋_GB2312" w:cs="仿宋_GB2312"/>
          <w:lang w:val="en-US" w:eastAsia="zh-CN"/>
        </w:rPr>
        <w:t>优先提供信贷支持。成熟型企业，按照营业收入比例给予最高200万元的奖励。</w:t>
      </w:r>
      <w:r>
        <w:rPr>
          <w:rFonts w:hint="eastAsia" w:eastAsia="仿宋_GB2312" w:cs="仿宋_GB2312"/>
        </w:rPr>
        <w:t>（牵头单位：市发改委，配合单位：市经信局、市科技局</w:t>
      </w:r>
      <w:r>
        <w:rPr>
          <w:rFonts w:hint="eastAsia" w:eastAsia="仿宋_GB2312" w:cs="仿宋_GB2312"/>
          <w:lang w:eastAsia="zh-CN"/>
        </w:rPr>
        <w:t>、</w:t>
      </w:r>
      <w:r>
        <w:rPr>
          <w:rFonts w:hint="eastAsia" w:eastAsia="仿宋_GB2312" w:cs="仿宋_GB2312"/>
          <w:lang w:val="en-US" w:eastAsia="zh-CN"/>
        </w:rPr>
        <w:t>市服务业局</w:t>
      </w:r>
      <w:r>
        <w:rPr>
          <w:rFonts w:hint="eastAsia" w:eastAsia="仿宋_GB2312" w:cs="仿宋_GB231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outlineLvl w:val="1"/>
        <w:rPr>
          <w:rFonts w:eastAsia="仿宋_GB2312"/>
        </w:rPr>
      </w:pPr>
      <w:r>
        <w:rPr>
          <w:rFonts w:hint="eastAsia" w:ascii="楷体_GB2312" w:hAnsi="楷体_GB2312" w:eastAsia="楷体_GB2312" w:cs="楷体_GB2312"/>
          <w:b/>
          <w:bCs/>
        </w:rPr>
        <w:t>五、加快企业创新发展。</w:t>
      </w:r>
      <w:r>
        <w:rPr>
          <w:rFonts w:hint="eastAsia" w:eastAsia="仿宋_GB2312" w:cs="仿宋_GB2312"/>
        </w:rPr>
        <w:t>支持企业申报和创建企业技术中心，对列入国家企业技术中心名单的企业，给予最高600万元的补助奖励。支持企业为主体</w:t>
      </w:r>
      <w:r>
        <w:rPr>
          <w:rFonts w:hint="eastAsia" w:eastAsia="仿宋_GB2312" w:cs="仿宋_GB2312"/>
          <w:lang w:val="en-US" w:eastAsia="zh-CN"/>
        </w:rPr>
        <w:t>的新建</w:t>
      </w:r>
      <w:r>
        <w:rPr>
          <w:rFonts w:hint="eastAsia" w:eastAsia="仿宋_GB2312" w:cs="仿宋_GB2312"/>
        </w:rPr>
        <w:t>创新载体，对获得省级以上双创示范基地、特色小镇、“万亩千亿”平台等创新载体的新兴产业企业，给予一次性最高300万的奖励。（牵头单位：市发改委，配合单位：市经信局、市科技局、市服务业局）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outlineLvl w:val="1"/>
        <w:rPr>
          <w:rFonts w:eastAsia="仿宋_GB2312"/>
        </w:rPr>
      </w:pPr>
      <w:r>
        <w:rPr>
          <w:rFonts w:hint="eastAsia" w:ascii="楷体_GB2312" w:hAnsi="楷体_GB2312" w:eastAsia="楷体_GB2312" w:cs="楷体_GB2312"/>
          <w:b/>
          <w:bCs/>
        </w:rPr>
        <w:t>六、推进新基建项目建设。</w:t>
      </w:r>
      <w:r>
        <w:rPr>
          <w:rFonts w:hint="eastAsia" w:eastAsia="仿宋_GB2312" w:cs="仿宋_GB2312"/>
        </w:rPr>
        <w:t>鼓励引导民间资本加大对5G基站、物联网、智能交通、智慧能源等新型基础设施投资力度，创新新基建投融资模式。对民营资本为主投资建设的新基建项目给予设备投入的20%</w:t>
      </w:r>
      <w:r>
        <w:rPr>
          <w:rFonts w:hint="eastAsia" w:eastAsia="仿宋_GB2312" w:cs="仿宋_GB2312"/>
          <w:lang w:eastAsia="zh-CN"/>
        </w:rPr>
        <w:t>，</w:t>
      </w:r>
      <w:r>
        <w:rPr>
          <w:rFonts w:hint="eastAsia" w:eastAsia="仿宋_GB2312" w:cs="仿宋_GB2312"/>
        </w:rPr>
        <w:t>最高1000万元的资金支持。（牵头单位：市发改委，配合单位：市经信局、市科技局、市交通局、市能源局）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outlineLvl w:val="1"/>
        <w:rPr>
          <w:rFonts w:eastAsia="仿宋_GB2312"/>
        </w:rPr>
      </w:pPr>
      <w:r>
        <w:rPr>
          <w:rFonts w:hint="eastAsia" w:ascii="楷体_GB2312" w:hAnsi="楷体_GB2312" w:eastAsia="楷体_GB2312" w:cs="楷体_GB2312"/>
          <w:b/>
          <w:bCs/>
        </w:rPr>
        <w:t>七、加速科技成果项目转化。</w:t>
      </w:r>
      <w:r>
        <w:rPr>
          <w:rFonts w:hint="eastAsia" w:eastAsia="仿宋_GB2312" w:cs="仿宋_GB2312"/>
        </w:rPr>
        <w:t>鼓励企业加快工艺、技术、产品高效转化，建设中试基地和中试生产线，每个项目予以总投资</w:t>
      </w:r>
      <w:r>
        <w:rPr>
          <w:rFonts w:hint="eastAsia" w:eastAsia="仿宋_GB2312" w:cs="仿宋_GB2312"/>
          <w:lang w:val="en-US" w:eastAsia="zh-CN"/>
        </w:rPr>
        <w:t>3</w:t>
      </w:r>
      <w:r>
        <w:rPr>
          <w:rFonts w:hint="eastAsia" w:eastAsia="仿宋_GB2312" w:cs="仿宋_GB2312"/>
        </w:rPr>
        <w:t>0%，最高1000万元支持。（牵头单位：市发改委，配合单位：市科技局、市经信局）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outlineLvl w:val="1"/>
        <w:rPr>
          <w:rFonts w:eastAsia="仿宋_GB2312"/>
        </w:rPr>
      </w:pPr>
      <w:r>
        <w:rPr>
          <w:rFonts w:hint="eastAsia" w:ascii="楷体_GB2312" w:hAnsi="楷体_GB2312" w:eastAsia="楷体_GB2312" w:cs="楷体_GB2312"/>
          <w:b/>
          <w:bCs/>
        </w:rPr>
        <w:t>八、加快应用场景示范项目实施。</w:t>
      </w:r>
      <w:r>
        <w:rPr>
          <w:rFonts w:hint="eastAsia" w:eastAsia="仿宋_GB2312" w:cs="仿宋_GB2312"/>
        </w:rPr>
        <w:t>支持“5G+”、人工智能等新技术新产品新模式在宁波率先运用，给予应用场景示范项目总投资的30%，最高1000万元的资助。对列入市级试点的推广项目，给予“一事一议”综合政策扶持。（牵头单位：市经信局、市发改委，配合单位：市级有关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outlineLvl w:val="1"/>
        <w:rPr>
          <w:rFonts w:eastAsia="仿宋_GB2312"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九、搭建高能级创新平台。</w:t>
      </w:r>
      <w:r>
        <w:rPr>
          <w:rFonts w:hint="eastAsia" w:eastAsia="仿宋_GB2312" w:cs="仿宋_GB2312"/>
          <w:color w:val="auto"/>
        </w:rPr>
        <w:t>鼓励企业联合高校、科研机构、配套企业，组建创新中心，开展相关关键核心技术攻关。</w:t>
      </w:r>
      <w:r>
        <w:rPr>
          <w:rFonts w:hint="eastAsia" w:eastAsia="仿宋_GB2312" w:cs="仿宋_GB2312"/>
          <w:color w:val="auto"/>
          <w:lang w:val="en-US" w:eastAsia="zh-CN"/>
        </w:rPr>
        <w:t>鼓励企业、高校院所，</w:t>
      </w:r>
      <w:r>
        <w:rPr>
          <w:rFonts w:hint="eastAsia" w:eastAsia="仿宋_GB2312" w:cs="仿宋_GB2312"/>
          <w:color w:val="auto"/>
        </w:rPr>
        <w:t>建设市级工程研究中心。对成功认定的市级创新中心、工程研究中心予以最高1000万元支持，分为组建和评定两个阶段，每阶段分别予以最高500万元支持。（牵头单位：市发改委，配合单位：市经信局、市科技局、市教育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outlineLvl w:val="1"/>
      </w:pPr>
      <w:r>
        <w:rPr>
          <w:rFonts w:hint="eastAsia" w:ascii="楷体_GB2312" w:hAnsi="楷体_GB2312" w:eastAsia="楷体_GB2312" w:cs="楷体_GB2312"/>
          <w:b/>
          <w:bCs/>
        </w:rPr>
        <w:t>十、强化要素人才保障。</w:t>
      </w:r>
      <w:r>
        <w:rPr>
          <w:rFonts w:hint="eastAsia" w:eastAsia="仿宋_GB2312" w:cs="仿宋_GB2312"/>
        </w:rPr>
        <w:t>将新兴产业布局纳入国土空间规划，对符合新兴产业重点领域项目准入条件的项目用地，可按不低于基准地价的80%确定土地出让底价。能耗、用电等指标优先保障新兴产业项目。实施“3315”和泛“3315”人才计划，面向全球招引新兴产业重点领域关键领军团队和人才。（牵头单位：市自然资源和规划局、市能源局、市委人才办，配合单位：市发改委、市经信局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eastAsia="仿宋_GB2312" w:cs="仿宋_GB2312"/>
        </w:rPr>
      </w:pPr>
      <w:r>
        <w:rPr>
          <w:rFonts w:hint="eastAsia" w:eastAsia="仿宋_GB2312" w:cs="仿宋_GB2312"/>
        </w:rPr>
        <w:t>本政策由宁波市战略性新兴产业领导小组办公室负责解释</w:t>
      </w:r>
      <w:r>
        <w:rPr>
          <w:rFonts w:hint="eastAsia" w:eastAsia="仿宋_GB2312" w:cs="仿宋_GB2312"/>
          <w:lang w:eastAsia="zh-CN"/>
        </w:rPr>
        <w:t>，</w:t>
      </w:r>
      <w:r>
        <w:rPr>
          <w:rFonts w:hint="eastAsia" w:eastAsia="仿宋_GB2312" w:cs="仿宋_GB2312"/>
          <w:lang w:val="en-US" w:eastAsia="zh-CN"/>
        </w:rPr>
        <w:t>所有政策扶持按从高不重复的原则执行</w:t>
      </w:r>
      <w:r>
        <w:rPr>
          <w:rFonts w:hint="eastAsia" w:eastAsia="仿宋_GB2312" w:cs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eastAsia="仿宋_GB2312" w:cs="仿宋_GB2312"/>
        </w:rPr>
      </w:pPr>
    </w:p>
    <w:sectPr>
      <w:footerReference r:id="rId3" w:type="default"/>
      <w:pgSz w:w="11906" w:h="16838"/>
      <w:pgMar w:top="1814" w:right="1417" w:bottom="1474" w:left="1417" w:header="851" w:footer="1418" w:gutter="0"/>
      <w:pgNumType w:fmt="numberInDash" w:start="1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2344B"/>
    <w:rsid w:val="00154AFC"/>
    <w:rsid w:val="0036624C"/>
    <w:rsid w:val="003C2782"/>
    <w:rsid w:val="0062467C"/>
    <w:rsid w:val="008807A0"/>
    <w:rsid w:val="0095615F"/>
    <w:rsid w:val="00995157"/>
    <w:rsid w:val="00B320DF"/>
    <w:rsid w:val="00D24630"/>
    <w:rsid w:val="00E73122"/>
    <w:rsid w:val="00E8473E"/>
    <w:rsid w:val="00F54C36"/>
    <w:rsid w:val="01ED4E24"/>
    <w:rsid w:val="020048AC"/>
    <w:rsid w:val="03267F30"/>
    <w:rsid w:val="036B5DB8"/>
    <w:rsid w:val="04911DC2"/>
    <w:rsid w:val="054B4279"/>
    <w:rsid w:val="084D230F"/>
    <w:rsid w:val="09740AE6"/>
    <w:rsid w:val="0B5351A4"/>
    <w:rsid w:val="0C1A1FDD"/>
    <w:rsid w:val="0D2531D5"/>
    <w:rsid w:val="0DDF1169"/>
    <w:rsid w:val="0EFC5BE8"/>
    <w:rsid w:val="101761C0"/>
    <w:rsid w:val="120D1BEB"/>
    <w:rsid w:val="13D64732"/>
    <w:rsid w:val="14396A46"/>
    <w:rsid w:val="16F40DB8"/>
    <w:rsid w:val="18FE3013"/>
    <w:rsid w:val="19977EC7"/>
    <w:rsid w:val="1AF238A2"/>
    <w:rsid w:val="1B805E59"/>
    <w:rsid w:val="1B9C69EF"/>
    <w:rsid w:val="1D2300E5"/>
    <w:rsid w:val="1E2B4F28"/>
    <w:rsid w:val="1EAF75C8"/>
    <w:rsid w:val="21380FF3"/>
    <w:rsid w:val="29F041C1"/>
    <w:rsid w:val="2DC56465"/>
    <w:rsid w:val="302D40AE"/>
    <w:rsid w:val="31F113D3"/>
    <w:rsid w:val="367903A5"/>
    <w:rsid w:val="374A659D"/>
    <w:rsid w:val="37E8245F"/>
    <w:rsid w:val="37EF1F8D"/>
    <w:rsid w:val="39FE4C02"/>
    <w:rsid w:val="3B4F0905"/>
    <w:rsid w:val="3C36723F"/>
    <w:rsid w:val="3C9C0637"/>
    <w:rsid w:val="3CA80E43"/>
    <w:rsid w:val="3ED61062"/>
    <w:rsid w:val="4374445F"/>
    <w:rsid w:val="44547ADE"/>
    <w:rsid w:val="471E61B7"/>
    <w:rsid w:val="48583249"/>
    <w:rsid w:val="4F3450E8"/>
    <w:rsid w:val="504A05D8"/>
    <w:rsid w:val="52BA5CC4"/>
    <w:rsid w:val="553039F4"/>
    <w:rsid w:val="55482295"/>
    <w:rsid w:val="55C236B2"/>
    <w:rsid w:val="58797C9A"/>
    <w:rsid w:val="5A461D86"/>
    <w:rsid w:val="5A670F8A"/>
    <w:rsid w:val="5B8A68EC"/>
    <w:rsid w:val="5BF21511"/>
    <w:rsid w:val="5BFF50E6"/>
    <w:rsid w:val="5C292CA9"/>
    <w:rsid w:val="5CD11561"/>
    <w:rsid w:val="5D147E0A"/>
    <w:rsid w:val="5EC602D0"/>
    <w:rsid w:val="614F5300"/>
    <w:rsid w:val="61816B26"/>
    <w:rsid w:val="64EE5D70"/>
    <w:rsid w:val="6807112E"/>
    <w:rsid w:val="69C15DB5"/>
    <w:rsid w:val="6A9826E1"/>
    <w:rsid w:val="6B58358A"/>
    <w:rsid w:val="6D392B79"/>
    <w:rsid w:val="6DC2624F"/>
    <w:rsid w:val="6F516598"/>
    <w:rsid w:val="70BB42CE"/>
    <w:rsid w:val="72E75B17"/>
    <w:rsid w:val="7454501C"/>
    <w:rsid w:val="75E139BD"/>
    <w:rsid w:val="76652ABB"/>
    <w:rsid w:val="769B09BB"/>
    <w:rsid w:val="77B15124"/>
    <w:rsid w:val="792718BB"/>
    <w:rsid w:val="7C542814"/>
    <w:rsid w:val="7CF97DC4"/>
    <w:rsid w:val="7E42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 w:locked="1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link w:val="5"/>
    <w:semiHidden/>
    <w:qFormat/>
    <w:locked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 w:eastAsia="宋体" w:cs="宋体"/>
      <w:sz w:val="21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customStyle="1" w:styleId="5">
    <w:name w:val="Char Char"/>
    <w:basedOn w:val="1"/>
    <w:link w:val="4"/>
    <w:qFormat/>
    <w:uiPriority w:val="99"/>
    <w:pPr>
      <w:widowControl/>
      <w:snapToGrid w:val="0"/>
      <w:spacing w:before="100" w:beforeAutospacing="1" w:after="100" w:afterAutospacing="1" w:line="360" w:lineRule="auto"/>
      <w:ind w:firstLine="200"/>
      <w:jc w:val="left"/>
    </w:pPr>
    <w:rPr>
      <w:rFonts w:eastAsia="宋体"/>
      <w:sz w:val="21"/>
      <w:szCs w:val="21"/>
    </w:rPr>
  </w:style>
  <w:style w:type="character" w:styleId="6">
    <w:name w:val="Hyperlink"/>
    <w:basedOn w:val="4"/>
    <w:qFormat/>
    <w:uiPriority w:val="99"/>
    <w:rPr>
      <w:color w:val="0000FF"/>
      <w:u w:val="single"/>
    </w:rPr>
  </w:style>
  <w:style w:type="character" w:customStyle="1" w:styleId="8">
    <w:name w:val="Footer Char"/>
    <w:basedOn w:val="4"/>
    <w:link w:val="3"/>
    <w:semiHidden/>
    <w:qFormat/>
    <w:uiPriority w:val="99"/>
    <w:rPr>
      <w:rFonts w:eastAsia="仿宋"/>
      <w:sz w:val="18"/>
      <w:szCs w:val="18"/>
    </w:rPr>
  </w:style>
  <w:style w:type="character" w:customStyle="1" w:styleId="9">
    <w:name w:val="Plain Text Char"/>
    <w:basedOn w:val="4"/>
    <w:link w:val="2"/>
    <w:semiHidden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312</Words>
  <Characters>1782</Characters>
  <Lines>0</Lines>
  <Paragraphs>0</Paragraphs>
  <TotalTime>140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2020-05-18T02:09:00Z</dcterms:created>
  <dc:creator>高海军</dc:creator>
  <cp:lastModifiedBy>朱封州</cp:lastModifiedBy>
  <cp:lastPrinted>2020-05-18T03:04:00Z</cp:lastPrinted>
  <dcterms:modified xsi:type="dcterms:W3CDTF">2020-05-28T05:25:51Z</dcterms:modified>
  <dc:title>关于征求《关于加快发展重点领域新兴产业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